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版本号：FHGJ26(ZBQ)363-00420260611001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2026年监测数据服务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FHGJ26(ZBQ)363-004</w:t>
      </w:r>
      <w:r>
        <w:br/>
      </w:r>
      <w:r>
        <w:br/>
      </w:r>
      <w:r>
        <w:br/>
      </w:r>
    </w:p>
    <w:p>
      <w:pPr>
        <w:pStyle w:val="null3"/>
        <w:jc w:val="center"/>
        <w:outlineLvl w:val="2"/>
      </w:pPr>
      <w:r>
        <w:rPr>
          <w:rFonts w:ascii="仿宋_GB2312" w:hAnsi="仿宋_GB2312" w:cs="仿宋_GB2312" w:eastAsia="仿宋_GB2312"/>
          <w:sz w:val="28"/>
          <w:b/>
        </w:rPr>
        <w:t>省地质环境监测总站</w:t>
      </w:r>
    </w:p>
    <w:p>
      <w:pPr>
        <w:pStyle w:val="null3"/>
        <w:jc w:val="center"/>
        <w:outlineLvl w:val="2"/>
      </w:pPr>
      <w:r>
        <w:rPr>
          <w:rFonts w:ascii="仿宋_GB2312" w:hAnsi="仿宋_GB2312" w:cs="仿宋_GB2312" w:eastAsia="仿宋_GB2312"/>
          <w:sz w:val="28"/>
          <w:b/>
        </w:rPr>
        <w:t>丰汇国际项目管理有限公司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丰汇国际项目管理有限公司</w:t>
      </w:r>
      <w:r>
        <w:rPr>
          <w:rFonts w:ascii="仿宋_GB2312" w:hAnsi="仿宋_GB2312" w:cs="仿宋_GB2312" w:eastAsia="仿宋_GB2312"/>
        </w:rPr>
        <w:t>（以下简称“代理机构”）受</w:t>
      </w:r>
      <w:r>
        <w:rPr>
          <w:rFonts w:ascii="仿宋_GB2312" w:hAnsi="仿宋_GB2312" w:cs="仿宋_GB2312" w:eastAsia="仿宋_GB2312"/>
        </w:rPr>
        <w:t>省地质环境监测总站</w:t>
      </w:r>
      <w:r>
        <w:rPr>
          <w:rFonts w:ascii="仿宋_GB2312" w:hAnsi="仿宋_GB2312" w:cs="仿宋_GB2312" w:eastAsia="仿宋_GB2312"/>
        </w:rPr>
        <w:t>委托，拟对</w:t>
      </w:r>
      <w:r>
        <w:rPr>
          <w:rFonts w:ascii="仿宋_GB2312" w:hAnsi="仿宋_GB2312" w:cs="仿宋_GB2312" w:eastAsia="仿宋_GB2312"/>
        </w:rPr>
        <w:t>2026年监测数据服务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FHGJ26(ZBQ)363-004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2026年监测数据服务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陕西省地质灾害专业监测数据服务，通过监测设备更新、维修等手段对超出运行维护期的4558处专业监测点开展运行维护，确保监测设备的监测数据持续稳定发送至省级地质灾害监测预警平台。</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投标的，须出示身份证；法定代表人授权他人参加投标的，须提供法定代表人授权委托书、被授权人提交投标文件截止时间前两年内任意一个月的社会保障资金（养老保险或医疗保险）的缴纳证明及被授权人身份证。</w:t>
      </w:r>
    </w:p>
    <w:p>
      <w:pPr>
        <w:pStyle w:val="null3"/>
      </w:pPr>
      <w:r>
        <w:rPr>
          <w:rFonts w:ascii="仿宋_GB2312" w:hAnsi="仿宋_GB2312" w:cs="仿宋_GB2312" w:eastAsia="仿宋_GB2312"/>
        </w:rPr>
        <w:t>2、声明函：本项目不接受联合体投标；单位负责人为同一人或者存在控股、管理关系的不同单位，不得参加同一项目的投标；并提供“国家企业信用信息公示系统”内股东截图。</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省地质环境监测总站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陕西省西安市碑林区雁塔北路100号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张嵩豪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029-87851040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丰汇国际项目管理有限公司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陕西省西安市碑林区长安北路113号大话南门壹中心14楼11401室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张尧</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13992541220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采购包1：7,748,600.00元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说明：合同签订后15日内，乙方向甲方缴纳合同金额5%作为履约保证金(在完成1年服务期后，无息退还乙方履约保证金50%，在完成3年质保期后，无息退还乙方剩余履约保证金50%</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代理服务费收费标准：代理服务费参照《招标代理服务收费管理暂行办法》（计价格[2002]1980号）和（发改价格[2011]534号），代理服务费最终以中标价为取费基数。</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省地质环境监测总站</w:t>
      </w:r>
      <w:r>
        <w:rPr>
          <w:rFonts w:ascii="仿宋_GB2312" w:hAnsi="仿宋_GB2312" w:cs="仿宋_GB2312" w:eastAsia="仿宋_GB2312"/>
        </w:rPr>
        <w:t>和</w:t>
      </w:r>
      <w:r>
        <w:rPr>
          <w:rFonts w:ascii="仿宋_GB2312" w:hAnsi="仿宋_GB2312" w:cs="仿宋_GB2312" w:eastAsia="仿宋_GB2312"/>
        </w:rPr>
        <w:t>丰汇国际项目管理有限公司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省地质环境监测总站</w:t>
      </w:r>
      <w:r>
        <w:rPr>
          <w:rFonts w:ascii="仿宋_GB2312" w:hAnsi="仿宋_GB2312" w:cs="仿宋_GB2312" w:eastAsia="仿宋_GB2312"/>
        </w:rPr>
        <w:t>负责解释。除上述招标文件内容，其他内容由</w:t>
      </w:r>
      <w:r>
        <w:rPr>
          <w:rFonts w:ascii="仿宋_GB2312" w:hAnsi="仿宋_GB2312" w:cs="仿宋_GB2312" w:eastAsia="仿宋_GB2312"/>
        </w:rPr>
        <w:t>丰汇国际项目管理有限公司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省地质环境监测总站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丰汇国际项目管理有限公司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到期前一个月内，乙方向甲方提交验收申请，以采购合同、招标文件、投标文件约定的服务内容与技术标准，以及国家及行业相关规范、省级地质灾害监测平台在线率和预警处置率指标定为验收依据，运维资料完整规范，无重大违约行为，方可通过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丰汇国际项目管理有限公司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丰汇国际项目管理有限公司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丰汇国际项目管理有限公司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联系人：张工</w:t>
      </w:r>
    </w:p>
    <w:p>
      <w:pPr>
        <w:pStyle w:val="null3"/>
      </w:pPr>
      <w:r>
        <w:rPr>
          <w:rFonts w:ascii="仿宋_GB2312" w:hAnsi="仿宋_GB2312" w:cs="仿宋_GB2312" w:eastAsia="仿宋_GB2312"/>
        </w:rPr>
        <w:t>联系电话：13992541220</w:t>
      </w:r>
    </w:p>
    <w:p>
      <w:pPr>
        <w:pStyle w:val="null3"/>
      </w:pPr>
      <w:r>
        <w:rPr>
          <w:rFonts w:ascii="仿宋_GB2312" w:hAnsi="仿宋_GB2312" w:cs="仿宋_GB2312" w:eastAsia="仿宋_GB2312"/>
        </w:rPr>
        <w:t>地址：陕西省西安市碑林区长安北路113号大话南门壹中心14楼11401室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本项目为2026 年监测数据服务，服务范围覆盖全省，针对4558 处超出运行维护期的地质灾害专业监测点位开展全周期运维保障工作，确保监测设备的监测数据持续稳定发送至省级地质灾害监测预警平台。 通过对监测设备开展更新、维修、补装、迁移、换卡等作业，配套搭建区域设备维护中心、落实野外巡检、24 小时预警信号值守与处置、监测网络调试等工作，确保监测数据持续稳定发送至省级监测平台，设备在线率、预警处置率达标。</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7,748,600.00</w:t>
      </w:r>
    </w:p>
    <w:p>
      <w:pPr>
        <w:pStyle w:val="null3"/>
      </w:pPr>
      <w:r>
        <w:rPr>
          <w:rFonts w:ascii="仿宋_GB2312" w:hAnsi="仿宋_GB2312" w:cs="仿宋_GB2312" w:eastAsia="仿宋_GB2312"/>
        </w:rPr>
        <w:t>采购包最高限价（元）: 7,748,600.00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2026年监测数据服务</w:t>
            </w:r>
          </w:p>
        </w:tc>
        <w:tc>
          <w:tcPr>
            <w:tcW w:type="dxa" w:w="755"/>
          </w:tcPr>
          <w:p>
            <w:pPr>
              <w:pStyle w:val="null3"/>
              <w:jc w:val="right"/>
            </w:pPr>
            <w:r>
              <w:rPr>
                <w:rFonts w:ascii="仿宋_GB2312" w:hAnsi="仿宋_GB2312" w:cs="仿宋_GB2312" w:eastAsia="仿宋_GB2312"/>
              </w:rPr>
              <w:t>4,558.00</w:t>
            </w:r>
          </w:p>
        </w:tc>
        <w:tc>
          <w:tcPr>
            <w:tcW w:type="dxa" w:w="755"/>
          </w:tcPr>
          <w:p>
            <w:pPr>
              <w:pStyle w:val="null3"/>
              <w:jc w:val="right"/>
            </w:pPr>
            <w:r>
              <w:rPr>
                <w:rFonts w:ascii="仿宋_GB2312" w:hAnsi="仿宋_GB2312" w:cs="仿宋_GB2312" w:eastAsia="仿宋_GB2312"/>
              </w:rPr>
              <w:t>7,748,600.00</w:t>
            </w:r>
          </w:p>
        </w:tc>
        <w:tc>
          <w:tcPr>
            <w:tcW w:type="dxa" w:w="755"/>
          </w:tcPr>
          <w:p>
            <w:pPr>
              <w:pStyle w:val="null3"/>
            </w:pPr>
            <w:r>
              <w:rPr>
                <w:rFonts w:ascii="仿宋_GB2312" w:hAnsi="仿宋_GB2312" w:cs="仿宋_GB2312" w:eastAsia="仿宋_GB2312"/>
              </w:rPr>
              <w:t>处</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标的名称：2026年监测数据服务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420"/>
              <w:jc w:val="both"/>
            </w:pPr>
            <w:r>
              <w:rPr>
                <w:rFonts w:ascii="仿宋_GB2312" w:hAnsi="仿宋_GB2312" w:cs="仿宋_GB2312" w:eastAsia="仿宋_GB2312"/>
                <w:sz w:val="21"/>
              </w:rPr>
              <w:t>一、</w:t>
            </w:r>
            <w:r>
              <w:rPr>
                <w:rFonts w:ascii="仿宋_GB2312" w:hAnsi="仿宋_GB2312" w:cs="仿宋_GB2312" w:eastAsia="仿宋_GB2312"/>
                <w:sz w:val="21"/>
              </w:rPr>
              <w:t>工作内容和技术要求</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乙方的工作内容</w:t>
            </w:r>
          </w:p>
          <w:p>
            <w:pPr>
              <w:pStyle w:val="null3"/>
              <w:ind w:firstLine="420"/>
              <w:jc w:val="both"/>
            </w:pPr>
            <w:r>
              <w:rPr>
                <w:rFonts w:ascii="仿宋_GB2312" w:hAnsi="仿宋_GB2312" w:cs="仿宋_GB2312" w:eastAsia="仿宋_GB2312"/>
                <w:sz w:val="21"/>
              </w:rPr>
              <w:t>总体目标：在全面调查我省已有地质灾害专业监测点建设和运行维护情况的基础上，</w:t>
            </w:r>
            <w:r>
              <w:rPr>
                <w:rFonts w:ascii="仿宋_GB2312" w:hAnsi="仿宋_GB2312" w:cs="仿宋_GB2312" w:eastAsia="仿宋_GB2312"/>
                <w:sz w:val="21"/>
              </w:rPr>
              <w:t>对监测点和</w:t>
            </w:r>
            <w:r>
              <w:rPr>
                <w:rFonts w:ascii="仿宋_GB2312" w:hAnsi="仿宋_GB2312" w:cs="仿宋_GB2312" w:eastAsia="仿宋_GB2312"/>
                <w:sz w:val="21"/>
              </w:rPr>
              <w:t>超出运维期的自动化监测设备进行维护，保证汛期设备在线率不低于</w:t>
            </w:r>
            <w:r>
              <w:rPr>
                <w:rFonts w:ascii="仿宋_GB2312" w:hAnsi="仿宋_GB2312" w:cs="仿宋_GB2312" w:eastAsia="仿宋_GB2312"/>
                <w:sz w:val="21"/>
              </w:rPr>
              <w:t>95%</w:t>
            </w:r>
            <w:r>
              <w:rPr>
                <w:rFonts w:ascii="仿宋_GB2312" w:hAnsi="仿宋_GB2312" w:cs="仿宋_GB2312" w:eastAsia="仿宋_GB2312"/>
                <w:sz w:val="21"/>
              </w:rPr>
              <w:t>，非汛期设备在线率不低于</w:t>
            </w:r>
            <w:r>
              <w:rPr>
                <w:rFonts w:ascii="仿宋_GB2312" w:hAnsi="仿宋_GB2312" w:cs="仿宋_GB2312" w:eastAsia="仿宋_GB2312"/>
                <w:sz w:val="21"/>
              </w:rPr>
              <w:t>90%</w:t>
            </w:r>
            <w:r>
              <w:rPr>
                <w:rFonts w:ascii="仿宋_GB2312" w:hAnsi="仿宋_GB2312" w:cs="仿宋_GB2312" w:eastAsia="仿宋_GB2312"/>
                <w:sz w:val="21"/>
              </w:rPr>
              <w:t>，预警处置率不低于</w:t>
            </w:r>
            <w:r>
              <w:rPr>
                <w:rFonts w:ascii="仿宋_GB2312" w:hAnsi="仿宋_GB2312" w:cs="仿宋_GB2312" w:eastAsia="仿宋_GB2312"/>
                <w:sz w:val="21"/>
              </w:rPr>
              <w:t>95%</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主要工作任务</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）对因</w:t>
            </w:r>
            <w:r>
              <w:rPr>
                <w:rFonts w:ascii="仿宋_GB2312" w:hAnsi="仿宋_GB2312" w:cs="仿宋_GB2312" w:eastAsia="仿宋_GB2312"/>
                <w:sz w:val="21"/>
              </w:rPr>
              <w:t>监测设备</w:t>
            </w:r>
            <w:r>
              <w:rPr>
                <w:rFonts w:ascii="仿宋_GB2312" w:hAnsi="仿宋_GB2312" w:cs="仿宋_GB2312" w:eastAsia="仿宋_GB2312"/>
                <w:sz w:val="21"/>
              </w:rPr>
              <w:t>整体损坏、丢失或传感器等主要功能部件损坏的设备进行换新</w:t>
            </w:r>
            <w:r>
              <w:rPr>
                <w:rFonts w:ascii="仿宋_GB2312" w:hAnsi="仿宋_GB2312" w:cs="仿宋_GB2312" w:eastAsia="仿宋_GB2312"/>
                <w:sz w:val="21"/>
              </w:rPr>
              <w:t>或补装</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）对因太阳能板、蓄电池等辅助部件损坏或丢失的设备进行维修</w:t>
            </w:r>
            <w:r>
              <w:rPr>
                <w:rFonts w:ascii="仿宋_GB2312" w:hAnsi="仿宋_GB2312" w:cs="仿宋_GB2312" w:eastAsia="仿宋_GB2312"/>
                <w:sz w:val="21"/>
              </w:rPr>
              <w:t>或补装</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）对损坏的标识牌、围栏等附属设施及时进行维修，对需调整位置的设备进行迁移，对因物联网流量逾期的设备更换甲方提供的物联网卡；</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）对监测点阈值进行设置和必要调整，调整前征求甲方意见；</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）对甲方收集到的地市申请应急监测的新增灾险情点位进行设备安装；</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开展</w:t>
            </w:r>
            <w:r>
              <w:rPr>
                <w:rFonts w:ascii="仿宋_GB2312" w:hAnsi="仿宋_GB2312" w:cs="仿宋_GB2312" w:eastAsia="仿宋_GB2312"/>
                <w:sz w:val="21"/>
              </w:rPr>
              <w:t>预警信号值守和处置</w:t>
            </w:r>
            <w:r>
              <w:rPr>
                <w:rFonts w:ascii="仿宋_GB2312" w:hAnsi="仿宋_GB2312" w:cs="仿宋_GB2312" w:eastAsia="仿宋_GB2312"/>
                <w:sz w:val="21"/>
              </w:rPr>
              <w:t>。</w:t>
            </w:r>
            <w:r>
              <w:rPr>
                <w:rFonts w:ascii="仿宋_GB2312" w:hAnsi="仿宋_GB2312" w:cs="仿宋_GB2312" w:eastAsia="仿宋_GB2312"/>
                <w:sz w:val="21"/>
              </w:rPr>
              <w:t>服务期内按照相关技术要求开展</w:t>
            </w:r>
            <w:r>
              <w:rPr>
                <w:rFonts w:ascii="仿宋_GB2312" w:hAnsi="仿宋_GB2312" w:cs="仿宋_GB2312" w:eastAsia="仿宋_GB2312"/>
                <w:sz w:val="21"/>
              </w:rPr>
              <w:t>24</w:t>
            </w:r>
            <w:r>
              <w:rPr>
                <w:rFonts w:ascii="仿宋_GB2312" w:hAnsi="仿宋_GB2312" w:cs="仿宋_GB2312" w:eastAsia="仿宋_GB2312"/>
                <w:sz w:val="21"/>
              </w:rPr>
              <w:t>小时预警值守、初步分析和预警信号处置</w:t>
            </w:r>
            <w:r>
              <w:rPr>
                <w:rFonts w:ascii="仿宋_GB2312" w:hAnsi="仿宋_GB2312" w:cs="仿宋_GB2312" w:eastAsia="仿宋_GB2312"/>
                <w:sz w:val="21"/>
              </w:rPr>
              <w:t>等工作</w:t>
            </w:r>
            <w:r>
              <w:rPr>
                <w:rFonts w:ascii="仿宋_GB2312" w:hAnsi="仿宋_GB2312" w:cs="仿宋_GB2312" w:eastAsia="仿宋_GB2312"/>
                <w:sz w:val="21"/>
              </w:rPr>
              <w:t>。</w:t>
            </w:r>
            <w:r>
              <w:rPr>
                <w:rFonts w:ascii="仿宋_GB2312" w:hAnsi="仿宋_GB2312" w:cs="仿宋_GB2312" w:eastAsia="仿宋_GB2312"/>
                <w:sz w:val="21"/>
              </w:rPr>
              <w:t>发现</w:t>
            </w:r>
            <w:r>
              <w:rPr>
                <w:rFonts w:ascii="仿宋_GB2312" w:hAnsi="仿宋_GB2312" w:cs="仿宋_GB2312" w:eastAsia="仿宋_GB2312"/>
                <w:sz w:val="21"/>
              </w:rPr>
              <w:t>疑似有效预警信息应及时通知相关县区地质灾害防治部门</w:t>
            </w:r>
            <w:r>
              <w:rPr>
                <w:rFonts w:ascii="仿宋_GB2312" w:hAnsi="仿宋_GB2312" w:cs="仿宋_GB2312" w:eastAsia="仿宋_GB2312"/>
                <w:sz w:val="21"/>
              </w:rPr>
              <w:t>，</w:t>
            </w:r>
            <w:r>
              <w:rPr>
                <w:rFonts w:ascii="仿宋_GB2312" w:hAnsi="仿宋_GB2312" w:cs="仿宋_GB2312" w:eastAsia="仿宋_GB2312"/>
                <w:sz w:val="21"/>
              </w:rPr>
              <w:t>并同时向甲方报备</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）建立维护中心</w:t>
            </w:r>
            <w:r>
              <w:rPr>
                <w:rFonts w:ascii="仿宋_GB2312" w:hAnsi="仿宋_GB2312" w:cs="仿宋_GB2312" w:eastAsia="仿宋_GB2312"/>
                <w:sz w:val="21"/>
              </w:rPr>
              <w:t>。</w:t>
            </w:r>
            <w:r>
              <w:rPr>
                <w:rFonts w:ascii="仿宋_GB2312" w:hAnsi="仿宋_GB2312" w:cs="仿宋_GB2312" w:eastAsia="仿宋_GB2312"/>
                <w:sz w:val="21"/>
              </w:rPr>
              <w:t>建立</w:t>
            </w:r>
            <w:r>
              <w:rPr>
                <w:rFonts w:ascii="仿宋_GB2312" w:hAnsi="仿宋_GB2312" w:cs="仿宋_GB2312" w:eastAsia="仿宋_GB2312"/>
                <w:sz w:val="21"/>
              </w:rPr>
              <w:t>4</w:t>
            </w:r>
            <w:r>
              <w:rPr>
                <w:rFonts w:ascii="仿宋_GB2312" w:hAnsi="仿宋_GB2312" w:cs="仿宋_GB2312" w:eastAsia="仿宋_GB2312"/>
                <w:sz w:val="21"/>
              </w:rPr>
              <w:t>个设备维护中心，每个维护中心在汛期（</w:t>
            </w:r>
            <w:r>
              <w:rPr>
                <w:rFonts w:ascii="仿宋_GB2312" w:hAnsi="仿宋_GB2312" w:cs="仿宋_GB2312" w:eastAsia="仿宋_GB2312"/>
                <w:sz w:val="21"/>
              </w:rPr>
              <w:t>5</w:t>
            </w:r>
            <w:r>
              <w:rPr>
                <w:rFonts w:ascii="仿宋_GB2312" w:hAnsi="仿宋_GB2312" w:cs="仿宋_GB2312" w:eastAsia="仿宋_GB2312"/>
                <w:sz w:val="21"/>
              </w:rPr>
              <w:t>月</w:t>
            </w:r>
            <w:r>
              <w:rPr>
                <w:rFonts w:ascii="仿宋_GB2312" w:hAnsi="仿宋_GB2312" w:cs="仿宋_GB2312" w:eastAsia="仿宋_GB2312"/>
                <w:sz w:val="21"/>
              </w:rPr>
              <w:t>-10</w:t>
            </w:r>
            <w:r>
              <w:rPr>
                <w:rFonts w:ascii="仿宋_GB2312" w:hAnsi="仿宋_GB2312" w:cs="仿宋_GB2312" w:eastAsia="仿宋_GB2312"/>
                <w:sz w:val="21"/>
              </w:rPr>
              <w:t>月）安排不少于</w:t>
            </w:r>
            <w:r>
              <w:rPr>
                <w:rFonts w:ascii="仿宋_GB2312" w:hAnsi="仿宋_GB2312" w:cs="仿宋_GB2312" w:eastAsia="仿宋_GB2312"/>
                <w:sz w:val="21"/>
              </w:rPr>
              <w:t>2</w:t>
            </w:r>
            <w:r>
              <w:rPr>
                <w:rFonts w:ascii="仿宋_GB2312" w:hAnsi="仿宋_GB2312" w:cs="仿宋_GB2312" w:eastAsia="仿宋_GB2312"/>
                <w:sz w:val="21"/>
              </w:rPr>
              <w:t>名运维技术人员驻守，提供全天</w:t>
            </w:r>
            <w:r>
              <w:rPr>
                <w:rFonts w:ascii="仿宋_GB2312" w:hAnsi="仿宋_GB2312" w:cs="仿宋_GB2312" w:eastAsia="仿宋_GB2312"/>
                <w:sz w:val="21"/>
              </w:rPr>
              <w:t>24</w:t>
            </w:r>
            <w:r>
              <w:rPr>
                <w:rFonts w:ascii="仿宋_GB2312" w:hAnsi="仿宋_GB2312" w:cs="仿宋_GB2312" w:eastAsia="仿宋_GB2312"/>
                <w:sz w:val="21"/>
              </w:rPr>
              <w:t>小时响应服务，维护中心应具备设备检测、维修所需的设备、工具、车辆和技术人员，备件库面积不小于</w:t>
            </w:r>
            <w:r>
              <w:rPr>
                <w:rFonts w:ascii="仿宋_GB2312" w:hAnsi="仿宋_GB2312" w:cs="仿宋_GB2312" w:eastAsia="仿宋_GB2312"/>
                <w:sz w:val="21"/>
              </w:rPr>
              <w:t>50</w:t>
            </w:r>
            <w:r>
              <w:rPr>
                <w:rFonts w:ascii="仿宋_GB2312" w:hAnsi="仿宋_GB2312" w:cs="仿宋_GB2312" w:eastAsia="仿宋_GB2312"/>
                <w:sz w:val="21"/>
              </w:rPr>
              <w:t>㎡，各类常规监测设备及配件常备有货，每种不少于</w:t>
            </w:r>
            <w:r>
              <w:rPr>
                <w:rFonts w:ascii="仿宋_GB2312" w:hAnsi="仿宋_GB2312" w:cs="仿宋_GB2312" w:eastAsia="仿宋_GB2312"/>
                <w:sz w:val="21"/>
              </w:rPr>
              <w:t>10</w:t>
            </w:r>
            <w:r>
              <w:rPr>
                <w:rFonts w:ascii="仿宋_GB2312" w:hAnsi="仿宋_GB2312" w:cs="仿宋_GB2312" w:eastAsia="仿宋_GB2312"/>
                <w:sz w:val="21"/>
              </w:rPr>
              <w:t>台。</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）野外巡检和日常维护</w:t>
            </w:r>
          </w:p>
          <w:p>
            <w:pPr>
              <w:pStyle w:val="null3"/>
              <w:ind w:firstLine="420"/>
              <w:jc w:val="both"/>
            </w:pPr>
            <w:r>
              <w:rPr>
                <w:rFonts w:ascii="仿宋_GB2312" w:hAnsi="仿宋_GB2312" w:cs="仿宋_GB2312" w:eastAsia="仿宋_GB2312"/>
                <w:sz w:val="21"/>
              </w:rPr>
              <w:t>配合甲方对监测点开展坡体变形</w:t>
            </w:r>
            <w:r>
              <w:rPr>
                <w:rFonts w:ascii="仿宋_GB2312" w:hAnsi="仿宋_GB2312" w:cs="仿宋_GB2312" w:eastAsia="仿宋_GB2312"/>
                <w:sz w:val="21"/>
              </w:rPr>
              <w:t>调查</w:t>
            </w:r>
            <w:r>
              <w:rPr>
                <w:rFonts w:ascii="仿宋_GB2312" w:hAnsi="仿宋_GB2312" w:cs="仿宋_GB2312" w:eastAsia="仿宋_GB2312"/>
                <w:sz w:val="21"/>
              </w:rPr>
              <w:t>、设备状态调查、布设位置的合理性判别等，对发现的异常设备及时开展维护工作。</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完成监测设备网络设置</w:t>
            </w:r>
          </w:p>
          <w:p>
            <w:pPr>
              <w:pStyle w:val="null3"/>
              <w:ind w:firstLine="420"/>
              <w:jc w:val="both"/>
            </w:pPr>
            <w:r>
              <w:rPr>
                <w:rFonts w:ascii="仿宋_GB2312" w:hAnsi="仿宋_GB2312" w:cs="仿宋_GB2312" w:eastAsia="仿宋_GB2312"/>
                <w:sz w:val="21"/>
              </w:rPr>
              <w:t>开展全省监测设备公网</w:t>
            </w:r>
            <w:r>
              <w:rPr>
                <w:rFonts w:ascii="仿宋_GB2312" w:hAnsi="仿宋_GB2312" w:cs="仿宋_GB2312" w:eastAsia="仿宋_GB2312"/>
                <w:sz w:val="21"/>
              </w:rPr>
              <w:t>IP</w:t>
            </w:r>
            <w:r>
              <w:rPr>
                <w:rFonts w:ascii="仿宋_GB2312" w:hAnsi="仿宋_GB2312" w:cs="仿宋_GB2312" w:eastAsia="仿宋_GB2312"/>
                <w:sz w:val="21"/>
              </w:rPr>
              <w:t>和端口的设置和调整，确保监测数据接入省地质灾害监测预警信息平台。</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技术要求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）设备在线率要求</w:t>
            </w:r>
          </w:p>
          <w:p>
            <w:pPr>
              <w:pStyle w:val="null3"/>
              <w:ind w:firstLine="420"/>
              <w:jc w:val="both"/>
            </w:pPr>
            <w:r>
              <w:rPr>
                <w:rFonts w:ascii="仿宋_GB2312" w:hAnsi="仿宋_GB2312" w:cs="仿宋_GB2312" w:eastAsia="仿宋_GB2312"/>
                <w:sz w:val="21"/>
              </w:rPr>
              <w:t>应确保服务区内设备在</w:t>
            </w:r>
            <w:r>
              <w:rPr>
                <w:rFonts w:ascii="仿宋_GB2312" w:hAnsi="仿宋_GB2312" w:cs="仿宋_GB2312" w:eastAsia="仿宋_GB2312"/>
                <w:sz w:val="21"/>
              </w:rPr>
              <w:t>2026</w:t>
            </w:r>
            <w:r>
              <w:rPr>
                <w:rFonts w:ascii="仿宋_GB2312" w:hAnsi="仿宋_GB2312" w:cs="仿宋_GB2312" w:eastAsia="仿宋_GB2312"/>
                <w:sz w:val="21"/>
              </w:rPr>
              <w:t>年</w:t>
            </w:r>
            <w:r>
              <w:rPr>
                <w:rFonts w:ascii="仿宋_GB2312" w:hAnsi="仿宋_GB2312" w:cs="仿宋_GB2312" w:eastAsia="仿宋_GB2312"/>
                <w:sz w:val="21"/>
              </w:rPr>
              <w:t>7</w:t>
            </w:r>
            <w:r>
              <w:rPr>
                <w:rFonts w:ascii="仿宋_GB2312" w:hAnsi="仿宋_GB2312" w:cs="仿宋_GB2312" w:eastAsia="仿宋_GB2312"/>
                <w:sz w:val="21"/>
              </w:rPr>
              <w:t>月</w:t>
            </w:r>
            <w:r>
              <w:rPr>
                <w:rFonts w:ascii="仿宋_GB2312" w:hAnsi="仿宋_GB2312" w:cs="仿宋_GB2312" w:eastAsia="仿宋_GB2312"/>
                <w:sz w:val="21"/>
              </w:rPr>
              <w:t>-10</w:t>
            </w:r>
            <w:r>
              <w:rPr>
                <w:rFonts w:ascii="仿宋_GB2312" w:hAnsi="仿宋_GB2312" w:cs="仿宋_GB2312" w:eastAsia="仿宋_GB2312"/>
                <w:sz w:val="21"/>
              </w:rPr>
              <w:t>月和</w:t>
            </w:r>
            <w:r>
              <w:rPr>
                <w:rFonts w:ascii="仿宋_GB2312" w:hAnsi="仿宋_GB2312" w:cs="仿宋_GB2312" w:eastAsia="仿宋_GB2312"/>
                <w:sz w:val="21"/>
              </w:rPr>
              <w:t>2027</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r>
              <w:rPr>
                <w:rFonts w:ascii="仿宋_GB2312" w:hAnsi="仿宋_GB2312" w:cs="仿宋_GB2312" w:eastAsia="仿宋_GB2312"/>
                <w:sz w:val="21"/>
              </w:rPr>
              <w:t>-6</w:t>
            </w:r>
            <w:r>
              <w:rPr>
                <w:rFonts w:ascii="仿宋_GB2312" w:hAnsi="仿宋_GB2312" w:cs="仿宋_GB2312" w:eastAsia="仿宋_GB2312"/>
                <w:sz w:val="21"/>
              </w:rPr>
              <w:t>月期间，月平均在线率不低于</w:t>
            </w:r>
            <w:r>
              <w:rPr>
                <w:rFonts w:ascii="仿宋_GB2312" w:hAnsi="仿宋_GB2312" w:cs="仿宋_GB2312" w:eastAsia="仿宋_GB2312"/>
                <w:sz w:val="21"/>
              </w:rPr>
              <w:t>95%</w:t>
            </w:r>
            <w:r>
              <w:rPr>
                <w:rFonts w:ascii="仿宋_GB2312" w:hAnsi="仿宋_GB2312" w:cs="仿宋_GB2312" w:eastAsia="仿宋_GB2312"/>
                <w:sz w:val="21"/>
              </w:rPr>
              <w:t>，</w:t>
            </w:r>
            <w:r>
              <w:rPr>
                <w:rFonts w:ascii="仿宋_GB2312" w:hAnsi="仿宋_GB2312" w:cs="仿宋_GB2312" w:eastAsia="仿宋_GB2312"/>
                <w:sz w:val="21"/>
              </w:rPr>
              <w:t>2026</w:t>
            </w:r>
            <w:r>
              <w:rPr>
                <w:rFonts w:ascii="仿宋_GB2312" w:hAnsi="仿宋_GB2312" w:cs="仿宋_GB2312" w:eastAsia="仿宋_GB2312"/>
                <w:sz w:val="21"/>
              </w:rPr>
              <w:t>年</w:t>
            </w:r>
            <w:r>
              <w:rPr>
                <w:rFonts w:ascii="仿宋_GB2312" w:hAnsi="仿宋_GB2312" w:cs="仿宋_GB2312" w:eastAsia="仿宋_GB2312"/>
                <w:sz w:val="21"/>
              </w:rPr>
              <w:t>11</w:t>
            </w:r>
            <w:r>
              <w:rPr>
                <w:rFonts w:ascii="仿宋_GB2312" w:hAnsi="仿宋_GB2312" w:cs="仿宋_GB2312" w:eastAsia="仿宋_GB2312"/>
                <w:sz w:val="21"/>
              </w:rPr>
              <w:t>月</w:t>
            </w:r>
            <w:r>
              <w:rPr>
                <w:rFonts w:ascii="仿宋_GB2312" w:hAnsi="仿宋_GB2312" w:cs="仿宋_GB2312" w:eastAsia="仿宋_GB2312"/>
                <w:sz w:val="21"/>
              </w:rPr>
              <w:t>-2027</w:t>
            </w:r>
            <w:r>
              <w:rPr>
                <w:rFonts w:ascii="仿宋_GB2312" w:hAnsi="仿宋_GB2312" w:cs="仿宋_GB2312" w:eastAsia="仿宋_GB2312"/>
                <w:sz w:val="21"/>
              </w:rPr>
              <w:t>年</w:t>
            </w:r>
            <w:r>
              <w:rPr>
                <w:rFonts w:ascii="仿宋_GB2312" w:hAnsi="仿宋_GB2312" w:cs="仿宋_GB2312" w:eastAsia="仿宋_GB2312"/>
                <w:sz w:val="21"/>
              </w:rPr>
              <w:t>4</w:t>
            </w:r>
            <w:r>
              <w:rPr>
                <w:rFonts w:ascii="仿宋_GB2312" w:hAnsi="仿宋_GB2312" w:cs="仿宋_GB2312" w:eastAsia="仿宋_GB2312"/>
                <w:sz w:val="21"/>
              </w:rPr>
              <w:t>月期间，月平均在线率不低于</w:t>
            </w:r>
            <w:r>
              <w:rPr>
                <w:rFonts w:ascii="仿宋_GB2312" w:hAnsi="仿宋_GB2312" w:cs="仿宋_GB2312" w:eastAsia="仿宋_GB2312"/>
                <w:sz w:val="21"/>
              </w:rPr>
              <w:t>90%</w:t>
            </w:r>
            <w:r>
              <w:rPr>
                <w:rFonts w:ascii="仿宋_GB2312" w:hAnsi="仿宋_GB2312" w:cs="仿宋_GB2312" w:eastAsia="仿宋_GB2312"/>
                <w:sz w:val="21"/>
              </w:rPr>
              <w:t>；</w:t>
            </w:r>
            <w:r>
              <w:rPr>
                <w:rFonts w:ascii="仿宋_GB2312" w:hAnsi="仿宋_GB2312" w:cs="仿宋_GB2312" w:eastAsia="仿宋_GB2312"/>
                <w:sz w:val="21"/>
              </w:rPr>
              <w:t>月平均预警处置率不低于</w:t>
            </w:r>
            <w:r>
              <w:rPr>
                <w:rFonts w:ascii="仿宋_GB2312" w:hAnsi="仿宋_GB2312" w:cs="仿宋_GB2312" w:eastAsia="仿宋_GB2312"/>
                <w:sz w:val="21"/>
              </w:rPr>
              <w:t>95%</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）数据服务要求</w:t>
            </w:r>
          </w:p>
          <w:p>
            <w:pPr>
              <w:pStyle w:val="null3"/>
              <w:ind w:firstLine="420"/>
              <w:jc w:val="both"/>
            </w:pPr>
            <w:r>
              <w:rPr>
                <w:rFonts w:ascii="仿宋_GB2312" w:hAnsi="仿宋_GB2312" w:cs="仿宋_GB2312" w:eastAsia="仿宋_GB2312"/>
                <w:sz w:val="21"/>
              </w:rPr>
              <w:t>除</w:t>
            </w:r>
            <w:r>
              <w:rPr>
                <w:rFonts w:ascii="仿宋_GB2312" w:hAnsi="仿宋_GB2312" w:cs="仿宋_GB2312" w:eastAsia="仿宋_GB2312"/>
                <w:sz w:val="21"/>
              </w:rPr>
              <w:t>地表位移计（</w:t>
            </w:r>
            <w:r>
              <w:rPr>
                <w:rFonts w:ascii="仿宋_GB2312" w:hAnsi="仿宋_GB2312" w:cs="仿宋_GB2312" w:eastAsia="仿宋_GB2312"/>
                <w:sz w:val="21"/>
              </w:rPr>
              <w:t>GNSS</w:t>
            </w:r>
            <w:r>
              <w:rPr>
                <w:rFonts w:ascii="仿宋_GB2312" w:hAnsi="仿宋_GB2312" w:cs="仿宋_GB2312" w:eastAsia="仿宋_GB2312"/>
                <w:sz w:val="21"/>
              </w:rPr>
              <w:t>）</w:t>
            </w:r>
            <w:r>
              <w:rPr>
                <w:rFonts w:ascii="仿宋_GB2312" w:hAnsi="仿宋_GB2312" w:cs="仿宋_GB2312" w:eastAsia="仿宋_GB2312"/>
                <w:sz w:val="21"/>
              </w:rPr>
              <w:t>监测数据以外，</w:t>
            </w:r>
            <w:r>
              <w:rPr>
                <w:rFonts w:ascii="仿宋_GB2312" w:hAnsi="仿宋_GB2312" w:cs="仿宋_GB2312" w:eastAsia="仿宋_GB2312"/>
                <w:sz w:val="21"/>
              </w:rPr>
              <w:t>换新</w:t>
            </w:r>
            <w:r>
              <w:rPr>
                <w:rFonts w:ascii="仿宋_GB2312" w:hAnsi="仿宋_GB2312" w:cs="仿宋_GB2312" w:eastAsia="仿宋_GB2312"/>
                <w:sz w:val="21"/>
              </w:rPr>
              <w:t>和补装</w:t>
            </w:r>
            <w:r>
              <w:rPr>
                <w:rFonts w:ascii="仿宋_GB2312" w:hAnsi="仿宋_GB2312" w:cs="仿宋_GB2312" w:eastAsia="仿宋_GB2312"/>
                <w:sz w:val="21"/>
              </w:rPr>
              <w:t>的设备应实现数据直发至陕西省地质灾害监测预警信息平台，</w:t>
            </w:r>
            <w:r>
              <w:rPr>
                <w:rFonts w:ascii="仿宋_GB2312" w:hAnsi="仿宋_GB2312" w:cs="仿宋_GB2312" w:eastAsia="仿宋_GB2312"/>
                <w:sz w:val="21"/>
              </w:rPr>
              <w:t>换新</w:t>
            </w:r>
            <w:r>
              <w:rPr>
                <w:rFonts w:ascii="仿宋_GB2312" w:hAnsi="仿宋_GB2312" w:cs="仿宋_GB2312" w:eastAsia="仿宋_GB2312"/>
                <w:sz w:val="21"/>
              </w:rPr>
              <w:t>和补装</w:t>
            </w:r>
            <w:r>
              <w:rPr>
                <w:rFonts w:ascii="仿宋_GB2312" w:hAnsi="仿宋_GB2312" w:cs="仿宋_GB2312" w:eastAsia="仿宋_GB2312"/>
                <w:sz w:val="21"/>
              </w:rPr>
              <w:t>的设备</w:t>
            </w:r>
            <w:r>
              <w:rPr>
                <w:rFonts w:ascii="仿宋_GB2312" w:hAnsi="仿宋_GB2312" w:cs="仿宋_GB2312" w:eastAsia="仿宋_GB2312"/>
                <w:sz w:val="21"/>
              </w:rPr>
              <w:t>应</w:t>
            </w:r>
            <w:r>
              <w:rPr>
                <w:rFonts w:ascii="仿宋_GB2312" w:hAnsi="仿宋_GB2312" w:cs="仿宋_GB2312" w:eastAsia="仿宋_GB2312"/>
                <w:sz w:val="21"/>
              </w:rPr>
              <w:t>提供</w:t>
            </w:r>
            <w:r>
              <w:rPr>
                <w:rFonts w:ascii="仿宋_GB2312" w:hAnsi="仿宋_GB2312" w:cs="仿宋_GB2312" w:eastAsia="仿宋_GB2312"/>
                <w:sz w:val="21"/>
              </w:rPr>
              <w:t>3</w:t>
            </w:r>
            <w:r>
              <w:rPr>
                <w:rFonts w:ascii="仿宋_GB2312" w:hAnsi="仿宋_GB2312" w:cs="仿宋_GB2312" w:eastAsia="仿宋_GB2312"/>
                <w:sz w:val="21"/>
              </w:rPr>
              <w:t>年</w:t>
            </w:r>
            <w:r>
              <w:rPr>
                <w:rFonts w:ascii="仿宋_GB2312" w:hAnsi="仿宋_GB2312" w:cs="仿宋_GB2312" w:eastAsia="仿宋_GB2312"/>
                <w:sz w:val="21"/>
              </w:rPr>
              <w:t>的质保，</w:t>
            </w:r>
            <w:r>
              <w:rPr>
                <w:rFonts w:ascii="仿宋_GB2312" w:hAnsi="仿宋_GB2312" w:cs="仿宋_GB2312" w:eastAsia="仿宋_GB2312"/>
                <w:sz w:val="21"/>
              </w:rPr>
              <w:t>维修的设备</w:t>
            </w:r>
            <w:r>
              <w:rPr>
                <w:rFonts w:ascii="仿宋_GB2312" w:hAnsi="仿宋_GB2312" w:cs="仿宋_GB2312" w:eastAsia="仿宋_GB2312"/>
                <w:sz w:val="21"/>
              </w:rPr>
              <w:t>应</w:t>
            </w:r>
            <w:r>
              <w:rPr>
                <w:rFonts w:ascii="仿宋_GB2312" w:hAnsi="仿宋_GB2312" w:cs="仿宋_GB2312" w:eastAsia="仿宋_GB2312"/>
                <w:sz w:val="21"/>
              </w:rPr>
              <w:t>提供</w:t>
            </w:r>
            <w:r>
              <w:rPr>
                <w:rFonts w:ascii="仿宋_GB2312" w:hAnsi="仿宋_GB2312" w:cs="仿宋_GB2312" w:eastAsia="仿宋_GB2312"/>
                <w:sz w:val="21"/>
              </w:rPr>
              <w:t>1</w:t>
            </w:r>
            <w:r>
              <w:rPr>
                <w:rFonts w:ascii="仿宋_GB2312" w:hAnsi="仿宋_GB2312" w:cs="仿宋_GB2312" w:eastAsia="仿宋_GB2312"/>
                <w:sz w:val="21"/>
              </w:rPr>
              <w:t>年</w:t>
            </w:r>
            <w:r>
              <w:rPr>
                <w:rFonts w:ascii="仿宋_GB2312" w:hAnsi="仿宋_GB2312" w:cs="仿宋_GB2312" w:eastAsia="仿宋_GB2312"/>
                <w:sz w:val="21"/>
              </w:rPr>
              <w:t>的质保。质保期内提供监测数据服务</w:t>
            </w:r>
            <w:r>
              <w:rPr>
                <w:rFonts w:ascii="仿宋_GB2312" w:hAnsi="仿宋_GB2312" w:cs="仿宋_GB2312" w:eastAsia="仿宋_GB2312"/>
                <w:sz w:val="21"/>
              </w:rPr>
              <w:t>、</w:t>
            </w:r>
            <w:r>
              <w:rPr>
                <w:rFonts w:ascii="仿宋_GB2312" w:hAnsi="仿宋_GB2312" w:cs="仿宋_GB2312" w:eastAsia="仿宋_GB2312"/>
                <w:sz w:val="21"/>
              </w:rPr>
              <w:t>预警信号值守</w:t>
            </w:r>
            <w:r>
              <w:rPr>
                <w:rFonts w:ascii="仿宋_GB2312" w:hAnsi="仿宋_GB2312" w:cs="仿宋_GB2312" w:eastAsia="仿宋_GB2312"/>
                <w:sz w:val="21"/>
              </w:rPr>
              <w:t>和处置</w:t>
            </w:r>
            <w:r>
              <w:rPr>
                <w:rFonts w:ascii="仿宋_GB2312" w:hAnsi="仿宋_GB2312" w:cs="仿宋_GB2312" w:eastAsia="仿宋_GB2312"/>
                <w:sz w:val="21"/>
              </w:rPr>
              <w:t>，</w:t>
            </w:r>
            <w:r>
              <w:rPr>
                <w:rFonts w:ascii="仿宋_GB2312" w:hAnsi="仿宋_GB2312" w:cs="仿宋_GB2312" w:eastAsia="仿宋_GB2312"/>
                <w:sz w:val="21"/>
              </w:rPr>
              <w:t>质保</w:t>
            </w:r>
            <w:r>
              <w:rPr>
                <w:rFonts w:ascii="仿宋_GB2312" w:hAnsi="仿宋_GB2312" w:cs="仿宋_GB2312" w:eastAsia="仿宋_GB2312"/>
                <w:sz w:val="21"/>
              </w:rPr>
              <w:t>期自设备</w:t>
            </w:r>
            <w:r>
              <w:rPr>
                <w:rFonts w:ascii="仿宋_GB2312" w:hAnsi="仿宋_GB2312" w:cs="仿宋_GB2312" w:eastAsia="仿宋_GB2312"/>
                <w:sz w:val="21"/>
              </w:rPr>
              <w:t>维护</w:t>
            </w:r>
            <w:r>
              <w:rPr>
                <w:rFonts w:ascii="仿宋_GB2312" w:hAnsi="仿宋_GB2312" w:cs="仿宋_GB2312" w:eastAsia="仿宋_GB2312"/>
                <w:sz w:val="21"/>
              </w:rPr>
              <w:t>完成之日起算。</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）离线设备处理时限要求</w:t>
            </w:r>
          </w:p>
          <w:p>
            <w:pPr>
              <w:pStyle w:val="null3"/>
              <w:ind w:firstLine="420"/>
              <w:jc w:val="both"/>
            </w:pPr>
            <w:r>
              <w:rPr>
                <w:rFonts w:ascii="仿宋_GB2312" w:hAnsi="仿宋_GB2312" w:cs="仿宋_GB2312" w:eastAsia="仿宋_GB2312"/>
                <w:sz w:val="21"/>
              </w:rPr>
              <w:t>服务期内出现的离线设备应于</w:t>
            </w:r>
            <w:r>
              <w:rPr>
                <w:rFonts w:ascii="仿宋_GB2312" w:hAnsi="仿宋_GB2312" w:cs="仿宋_GB2312" w:eastAsia="仿宋_GB2312"/>
                <w:sz w:val="21"/>
              </w:rPr>
              <w:t>3</w:t>
            </w:r>
            <w:r>
              <w:rPr>
                <w:rFonts w:ascii="仿宋_GB2312" w:hAnsi="仿宋_GB2312" w:cs="仿宋_GB2312" w:eastAsia="仿宋_GB2312"/>
                <w:sz w:val="21"/>
              </w:rPr>
              <w:t>日内完成</w:t>
            </w:r>
            <w:r>
              <w:rPr>
                <w:rFonts w:ascii="仿宋_GB2312" w:hAnsi="仿宋_GB2312" w:cs="仿宋_GB2312" w:eastAsia="仿宋_GB2312"/>
                <w:sz w:val="21"/>
              </w:rPr>
              <w:t>维修</w:t>
            </w:r>
            <w:r>
              <w:rPr>
                <w:rFonts w:ascii="仿宋_GB2312" w:hAnsi="仿宋_GB2312" w:cs="仿宋_GB2312" w:eastAsia="仿宋_GB2312"/>
                <w:sz w:val="21"/>
              </w:rPr>
              <w:t>或</w:t>
            </w:r>
            <w:r>
              <w:rPr>
                <w:rFonts w:ascii="仿宋_GB2312" w:hAnsi="仿宋_GB2312" w:cs="仿宋_GB2312" w:eastAsia="仿宋_GB2312"/>
                <w:sz w:val="21"/>
              </w:rPr>
              <w:t>换新</w:t>
            </w:r>
            <w:r>
              <w:rPr>
                <w:rFonts w:ascii="仿宋_GB2312" w:hAnsi="仿宋_GB2312" w:cs="仿宋_GB2312" w:eastAsia="仿宋_GB2312"/>
                <w:sz w:val="21"/>
              </w:rPr>
              <w:t>并重新上线，如遇不可抗力等情况，应于不可抗力消除之日起</w:t>
            </w:r>
            <w:r>
              <w:rPr>
                <w:rFonts w:ascii="仿宋_GB2312" w:hAnsi="仿宋_GB2312" w:cs="仿宋_GB2312" w:eastAsia="仿宋_GB2312"/>
                <w:sz w:val="21"/>
              </w:rPr>
              <w:t>5</w:t>
            </w:r>
            <w:r>
              <w:rPr>
                <w:rFonts w:ascii="仿宋_GB2312" w:hAnsi="仿宋_GB2312" w:cs="仿宋_GB2312" w:eastAsia="仿宋_GB2312"/>
                <w:sz w:val="21"/>
              </w:rPr>
              <w:t>日内完成。</w:t>
            </w:r>
            <w:r>
              <w:rPr>
                <w:rFonts w:ascii="仿宋_GB2312" w:hAnsi="仿宋_GB2312" w:cs="仿宋_GB2312" w:eastAsia="仿宋_GB2312"/>
                <w:sz w:val="21"/>
              </w:rPr>
              <w:t>如同一天内出现同一厂商生产的</w:t>
            </w:r>
            <w:r>
              <w:rPr>
                <w:rFonts w:ascii="仿宋_GB2312" w:hAnsi="仿宋_GB2312" w:cs="仿宋_GB2312" w:eastAsia="仿宋_GB2312"/>
                <w:sz w:val="21"/>
              </w:rPr>
              <w:t>10</w:t>
            </w:r>
            <w:r>
              <w:rPr>
                <w:rFonts w:ascii="仿宋_GB2312" w:hAnsi="仿宋_GB2312" w:cs="仿宋_GB2312" w:eastAsia="仿宋_GB2312"/>
                <w:sz w:val="21"/>
              </w:rPr>
              <w:t>台及以上设备整批离线</w:t>
            </w:r>
            <w:r>
              <w:rPr>
                <w:rFonts w:ascii="仿宋_GB2312" w:hAnsi="仿宋_GB2312" w:cs="仿宋_GB2312" w:eastAsia="仿宋_GB2312"/>
                <w:sz w:val="21"/>
              </w:rPr>
              <w:t>，该批设备处理时限可延长至</w:t>
            </w:r>
            <w:r>
              <w:rPr>
                <w:rFonts w:ascii="仿宋_GB2312" w:hAnsi="仿宋_GB2312" w:cs="仿宋_GB2312" w:eastAsia="仿宋_GB2312"/>
                <w:sz w:val="21"/>
              </w:rPr>
              <w:t>20</w:t>
            </w:r>
            <w:r>
              <w:rPr>
                <w:rFonts w:ascii="仿宋_GB2312" w:hAnsi="仿宋_GB2312" w:cs="仿宋_GB2312" w:eastAsia="仿宋_GB2312"/>
                <w:sz w:val="21"/>
              </w:rPr>
              <w:t>日，但仍应保持在线率和预警处置率达标。</w:t>
            </w:r>
          </w:p>
          <w:p>
            <w:pPr>
              <w:pStyle w:val="null3"/>
              <w:ind w:firstLine="420"/>
              <w:jc w:val="both"/>
            </w:pPr>
            <w:r>
              <w:rPr>
                <w:rFonts w:ascii="仿宋_GB2312" w:hAnsi="仿宋_GB2312" w:cs="仿宋_GB2312" w:eastAsia="仿宋_GB2312"/>
                <w:sz w:val="21"/>
              </w:rPr>
              <w:t>（4）预警通道要求</w:t>
            </w:r>
          </w:p>
          <w:p>
            <w:pPr>
              <w:pStyle w:val="null3"/>
              <w:ind w:firstLine="420"/>
              <w:jc w:val="both"/>
            </w:pPr>
            <w:r>
              <w:rPr>
                <w:rFonts w:ascii="仿宋_GB2312" w:hAnsi="仿宋_GB2312" w:cs="仿宋_GB2312" w:eastAsia="仿宋_GB2312"/>
                <w:sz w:val="21"/>
              </w:rPr>
              <w:t>应确保地表位移计、雨量计、裂缝计、倾角</w:t>
            </w:r>
            <w:r>
              <w:rPr>
                <w:rFonts w:ascii="仿宋_GB2312" w:hAnsi="仿宋_GB2312" w:cs="仿宋_GB2312" w:eastAsia="仿宋_GB2312"/>
                <w:sz w:val="21"/>
              </w:rPr>
              <w:t>/</w:t>
            </w:r>
            <w:r>
              <w:rPr>
                <w:rFonts w:ascii="仿宋_GB2312" w:hAnsi="仿宋_GB2312" w:cs="仿宋_GB2312" w:eastAsia="仿宋_GB2312"/>
                <w:sz w:val="21"/>
              </w:rPr>
              <w:t>加速度计、次声计、泥位计等监测设备的预警通道畅通，所有预警信号设定有相应的阈值和短信接收人，高等级预警信号</w:t>
            </w:r>
            <w:r>
              <w:rPr>
                <w:rFonts w:ascii="仿宋_GB2312" w:hAnsi="仿宋_GB2312" w:cs="仿宋_GB2312" w:eastAsia="仿宋_GB2312"/>
                <w:sz w:val="21"/>
              </w:rPr>
              <w:t>同时</w:t>
            </w:r>
            <w:r>
              <w:rPr>
                <w:rFonts w:ascii="仿宋_GB2312" w:hAnsi="仿宋_GB2312" w:cs="仿宋_GB2312" w:eastAsia="仿宋_GB2312"/>
                <w:sz w:val="21"/>
              </w:rPr>
              <w:t>通过预警广播发布。</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）技术人员要求</w:t>
            </w:r>
          </w:p>
          <w:p>
            <w:pPr>
              <w:pStyle w:val="null3"/>
              <w:ind w:firstLine="420"/>
              <w:jc w:val="both"/>
            </w:pPr>
            <w:r>
              <w:rPr>
                <w:rFonts w:ascii="仿宋_GB2312" w:hAnsi="仿宋_GB2312" w:cs="仿宋_GB2312" w:eastAsia="仿宋_GB2312"/>
                <w:sz w:val="21"/>
              </w:rPr>
              <w:t>乙方应具备地质灾害防治相关专业技术能力，拥有具备地质相关专业</w:t>
            </w:r>
            <w:r>
              <w:rPr>
                <w:rFonts w:ascii="仿宋_GB2312" w:hAnsi="仿宋_GB2312" w:cs="仿宋_GB2312" w:eastAsia="仿宋_GB2312"/>
                <w:sz w:val="21"/>
              </w:rPr>
              <w:t>（</w:t>
            </w:r>
            <w:r>
              <w:rPr>
                <w:rFonts w:ascii="仿宋_GB2312" w:hAnsi="仿宋_GB2312" w:cs="仿宋_GB2312" w:eastAsia="仿宋_GB2312"/>
                <w:sz w:val="21"/>
              </w:rPr>
              <w:t>水文地质或工程地质或环境地质</w:t>
            </w:r>
            <w:r>
              <w:rPr>
                <w:rFonts w:ascii="仿宋_GB2312" w:hAnsi="仿宋_GB2312" w:cs="仿宋_GB2312" w:eastAsia="仿宋_GB2312"/>
                <w:sz w:val="21"/>
              </w:rPr>
              <w:t>）</w:t>
            </w:r>
            <w:r>
              <w:rPr>
                <w:rFonts w:ascii="仿宋_GB2312" w:hAnsi="仿宋_GB2312" w:cs="仿宋_GB2312" w:eastAsia="仿宋_GB2312"/>
                <w:sz w:val="21"/>
              </w:rPr>
              <w:t>本科及以上</w:t>
            </w:r>
            <w:r>
              <w:rPr>
                <w:rFonts w:ascii="仿宋_GB2312" w:hAnsi="仿宋_GB2312" w:cs="仿宋_GB2312" w:eastAsia="仿宋_GB2312"/>
                <w:sz w:val="21"/>
              </w:rPr>
              <w:t>教育背景的专职技术人员。</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）设备精度要求</w:t>
            </w:r>
          </w:p>
          <w:p>
            <w:pPr>
              <w:pStyle w:val="null3"/>
            </w:pPr>
            <w:r>
              <w:rPr>
                <w:rFonts w:ascii="仿宋_GB2312" w:hAnsi="仿宋_GB2312" w:cs="仿宋_GB2312" w:eastAsia="仿宋_GB2312"/>
                <w:sz w:val="21"/>
              </w:rPr>
              <w:t xml:space="preserve">  换新</w:t>
            </w:r>
            <w:r>
              <w:rPr>
                <w:rFonts w:ascii="仿宋_GB2312" w:hAnsi="仿宋_GB2312" w:cs="仿宋_GB2312" w:eastAsia="仿宋_GB2312"/>
                <w:sz w:val="21"/>
              </w:rPr>
              <w:t>和补装</w:t>
            </w:r>
            <w:r>
              <w:rPr>
                <w:rFonts w:ascii="仿宋_GB2312" w:hAnsi="仿宋_GB2312" w:cs="仿宋_GB2312" w:eastAsia="仿宋_GB2312"/>
                <w:sz w:val="21"/>
              </w:rPr>
              <w:t>设备的安装调试按照相关规范执行。</w:t>
            </w:r>
            <w:r>
              <w:rPr>
                <w:rFonts w:ascii="仿宋_GB2312" w:hAnsi="仿宋_GB2312" w:cs="仿宋_GB2312" w:eastAsia="仿宋_GB2312"/>
                <w:sz w:val="21"/>
              </w:rPr>
              <w:t>地表位移计（</w:t>
            </w:r>
            <w:r>
              <w:rPr>
                <w:rFonts w:ascii="仿宋_GB2312" w:hAnsi="仿宋_GB2312" w:cs="仿宋_GB2312" w:eastAsia="仿宋_GB2312"/>
                <w:sz w:val="21"/>
              </w:rPr>
              <w:t>GNSS</w:t>
            </w:r>
            <w:r>
              <w:rPr>
                <w:rFonts w:ascii="仿宋_GB2312" w:hAnsi="仿宋_GB2312" w:cs="仿宋_GB2312" w:eastAsia="仿宋_GB2312"/>
                <w:sz w:val="21"/>
              </w:rPr>
              <w:t>）</w:t>
            </w:r>
            <w:r>
              <w:rPr>
                <w:rFonts w:ascii="仿宋_GB2312" w:hAnsi="仿宋_GB2312" w:cs="仿宋_GB2312" w:eastAsia="仿宋_GB2312"/>
                <w:sz w:val="21"/>
              </w:rPr>
              <w:t>和预警广播可采用铅酸电池，容量不小于</w:t>
            </w:r>
            <w:r>
              <w:rPr>
                <w:rFonts w:ascii="仿宋_GB2312" w:hAnsi="仿宋_GB2312" w:cs="仿宋_GB2312" w:eastAsia="仿宋_GB2312"/>
                <w:sz w:val="21"/>
              </w:rPr>
              <w:t>100AH</w:t>
            </w:r>
            <w:r>
              <w:rPr>
                <w:rFonts w:ascii="仿宋_GB2312" w:hAnsi="仿宋_GB2312" w:cs="仿宋_GB2312" w:eastAsia="仿宋_GB2312"/>
                <w:sz w:val="21"/>
              </w:rPr>
              <w:t>；其他设备均应采用锂离子电池供电，并可单独更换；</w:t>
            </w:r>
            <w:r>
              <w:rPr>
                <w:rFonts w:ascii="仿宋_GB2312" w:hAnsi="仿宋_GB2312" w:cs="仿宋_GB2312" w:eastAsia="仿宋_GB2312"/>
                <w:sz w:val="21"/>
              </w:rPr>
              <w:t>换新和补装的设备所使用物联网卡需由甲方提供；地表位移计（</w:t>
            </w:r>
            <w:r>
              <w:rPr>
                <w:rFonts w:ascii="仿宋_GB2312" w:hAnsi="仿宋_GB2312" w:cs="仿宋_GB2312" w:eastAsia="仿宋_GB2312"/>
                <w:sz w:val="21"/>
              </w:rPr>
              <w:t>GNSS</w:t>
            </w:r>
            <w:r>
              <w:rPr>
                <w:rFonts w:ascii="仿宋_GB2312" w:hAnsi="仿宋_GB2312" w:cs="仿宋_GB2312" w:eastAsia="仿宋_GB2312"/>
                <w:sz w:val="21"/>
              </w:rPr>
              <w:t>）</w:t>
            </w:r>
            <w:r>
              <w:rPr>
                <w:rFonts w:ascii="仿宋_GB2312" w:hAnsi="仿宋_GB2312" w:cs="仿宋_GB2312" w:eastAsia="仿宋_GB2312"/>
                <w:sz w:val="21"/>
              </w:rPr>
              <w:t>必须能够实现单独国产卫星定位的功能。相关设备具体参数应符合《地质灾害自动化仪器监测预警规范》要求（见附件）</w:t>
            </w:r>
            <w:r>
              <w:rPr>
                <w:rFonts w:ascii="仿宋_GB2312" w:hAnsi="仿宋_GB2312" w:cs="仿宋_GB2312" w:eastAsia="仿宋_GB2312"/>
                <w:sz w:val="21"/>
              </w:rPr>
              <w:t>。</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针对本项目提供明确的项目团队人员，要求人员为投标单位在职人员，具体详见评审细则及标准。</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按照项目需求自行配置。</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服务标准：满足国家和省级相关技术规范要求。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陕西省内采购人指定地点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（一）提交成果 （1）合同签订后10日内，提交委托业务实施方案； （2）2026年9月30日前，提交委托业务中期总结报告； （3）服务期满前一个月，提交委托业务成果报告； （4）应按甲方要求，及时向甲方提交相关过程资料，包含但不限于：换新和补装设备清单及合格证、维修维护设备清单、现场记录及照片、整改回执单、服务日志及有关原始凭证等。 （二）项目验收 甲方收到乙方提交的验收申请后20日内，组织有关人员进行验收，验收产生的相关费用由乙方承担。</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进度款，完成2026年7月监测数据服务，达到付款条件起22个工作日内，支付合同总金额的20.0%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进度款，完成2026年8月监测数据服务，达到付款条件起22个工作日内，支付合同总金额的20.0%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进度款，完成2026年9月监测数据服务，达到付款条件起22个工作日内，支付合同总金额的20.0%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进度款，完成2026年10月监测数据服务，达到付款条件起22个工作日内，支付合同总金额的20.0%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进度款，完成2026年11月监测数据服务，达到付款条件起22个工作日内，支付合同总金额的20.0%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1因甲方原因导致合同终止，甲方应向乙方支付已完成工作所发生的实际成本支出；若因乙方原因导致合同终止，乙方需赔偿甲方因合同终止产生的直接、间接全部损失。 2 因甲方未按时付款导致项目停滞、延期等后果，由甲方自行承担。 3 若乙方不能按照本合同的约定按时完成工作内容，提交成果，每逾期一天，乙方按合同总金额的1‰向甲方支付违约金。逾期超过30日的，甲方有权解除合同，乙方应退还全部已支付款项，并承担本合同总金额30%的违约金。 4 如乙方服务质量不符合合同约定，应于20日内完成整改，经整改后仍不能满足要求，甲方有权解除合同，乙方应退还全部已支付款项，并承担本合同总金额30%的违约金。 5 若乙方维护的监测点发生地质灾害，同时满足下列两项条件的，乙方应当对该地质灾害承担相应的法律责任： （1）该监测点有监测设备处于离线状态； （2）该监测点所在地市当月监测设备平均在线率低于90%。 6 若乙方维护的监测点发生地质灾害，同时满足下列两项条件的，乙方应当对该地质灾害承担相应的法律责任： （1）该监测点监测设备处于在线状态； （2）该监测点未发出预警信号。 7 若乙方未按照本合同第二条2.3节第（3）款离线设备处理时限要求，没有在处理时限内对离线设备完成维护重新上线，乙方应对该设备离线期间所在监测点发生的地质灾害承担相应的法律责任。</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1.采购标的对应的中小企业划分标准所属行业为其他未列明行业。2.落实的政府采购政策： （1）财政部、工业和信息化部关于印发《政府采购促进中小企业发展管理办法》的通知-财库〔2020〕46号；（2）关于进一步加大政府采购支持中小企业力度的通知-财库〔2022〕19号；（3）财政部 司法部关于政府采购支持监狱企业发展有关问题的通知-财库〔2014〕68号；（4）财政部 民政部 中国残疾人联合会关于促进残疾人就业政府采购政策的通知-财库〔2017〕141号；（5）关于调整优化节能产品、环境标志产品政府采购执行机制的通知-财库〔2019〕9号；（6）财政部生态 环境部关于印发环境标志产品政府采购品目清单的通知-财库〔2019〕18号；（7）财政部发展改革委关于印发节能产品政府采购品目清单的通知-财库〔2019〕19号；（8）财政部 农业农村部 国家乡村振兴局关于运用政府采购政策支持乡村产业振兴的通知-财库〔2021〕19 号；（9）财政部、农业农村部、国家乡村振兴局、中华全国供销合作总社关于印发《关于深入开展政府采购脱贫地区农副产品工作推进乡村产业振兴的实施意见》的通知-财库〔2021〕20号；（10）陕西省财政厅关于落实政府采购支持中小企业政策有关事项的通知-陕财办采函〔2022〕10 号；（11）陕西省财政厅关于进一步加强政府绿色采购有关问题的通知-陕财办采〔2021〕29号；（12）陕西省财政厅关于印发《陕西省中小企业政府采购信用融资办法》-陕财办采〔2018〕23号；（13）陕西省财政厅关于加快推进我省中小企业政府采购信用融资工作的通知-陕财办采〔2020〕15号；（14）陕西省财政厅 中国人民银行西安分行关于深入推进政府采购信用融资业务的通知-陕财办采〔2023〕5号；（15）国务院办公厅关于在政府采购中实施本国产品标准及相关政策的通知国办发〔2026〕34号；（16）《财政部 工业和信息化部关于贯彻落实&lt;国务院办公厅关于在政府采购中实施本国产品标准及相关政策的通知&gt;的意见》（财库〔2026〕30 号）；（17）《关于推动解决政府采购异常低价问题的通知》（财库〔2026〕 2号）；（18）如有最新颁布的政府采购政策，按最新的文件执行。3.中标人中标后向招标代理公司提交纸质投标文件叁份、U盘贰份（纸质投标文件应通过专用制作软件直接打印，确保与项目电子化交易系统中的电子响应文件保持一致，不允许修改和补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具有独立承担民事责任能力的法人、其他组织或自然人，并出具合法有效的营业执照或事业单位法人证书等国家规定的相关证明，自然人参与的提供其身份证明； 2、财务状况报告：（三种形式的资料提供任何一种即可）1）提供2024年或2025年经有资质的会计事务所审计的财务审计报告（成立时间至开标时间不足一年的可提供成立后任意时段的资产负债表）；2）提供基本存款账户信息及开标日期前三个月内其基本存款账户开户银行出具的资信证明；3）财政部门认可的政府采购专业担保机构出具的投标担保函；（依法不需要提供财务状况的投标供应商应提供相关证明） 3、税收缴纳证明：提供投标文件截止时间一年内至少一个月的依法缴纳税收的相关凭据（时间以税款所属日期为准、税种须至少包含增值税或企业所得税），凭据应有税务机关或代收机关的公章或业务专用章。依法免税或无须缴纳税收的投标人，应提供相应证明文件； 4、社会保障资金缴纳证明：提供投标文件截止时间一年内至少一个月的社会保障资金缴存单据或社保机构开具的社会保险参保缴费情况证明或完税证明，单据或证明上应有社保机构或代收机构的公章或业务专用章；（依法不需要缴纳社会保障资金的投标供应商应提供相关证明） 5、信用主体查询及声明：供应商未被列入“信用中国”网站（www.creditchina.gov.cn）记录失信被执行人；不处于中国政府采购网（www.ccgp.gov.cn）政府采购严重违法失信行为信息记录中的禁止参加政府采购活动期间；供应商应提供参加本次政府采购活动前3年内在经营活动中没有重大违纪、未被列入失信被执行人、重大税收违法案件当事人名单、政府采购严重违法失信行为记录名单的书面声明。开标评审将登陆“信用中国”网站（www.creditchina.gov.cn）和“中国政府采购网”（www.ccgp.gov.cn）进行审查。</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三种形式的资料提供任何一种即可）法人提供经审计的2024年度或2025年度完整的财务报告，应满足以下要求：须提供会计师事务所出具的审计报告复印件,复印件至少须包括报告正文、资产负债表、现金流量表、利润表、附注和会计师事务所营业执照、事务所执业证书、会计师注册证书，报告正文应当有会计师事务所公章和2名注册会计师的签字及盖章。（成立时间至响应文件递交截止时间不足一年的可提供成立后任意时段的资产负债表）或响应文件递交截止时间前六个月内基本账户银行出具的资信证明或财政部门认可的政府采购专业担保机构出具的投标担保函。注：提供资信证明的，必须提供资信证明全部页以及基本户信息（提供开户许可证或提供基本银行账户信息），银行出具的存款证明不能代替资信证明，存款证明无效；或提供基本银行账户信息），银行出具的存款证明不能代替资信证明，存款证明无效；｝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出示身份证；法定代表人授权他人参加投标的，须提供法定代表人授权委托书、被授权人提交投标文件截止时间前两年内任意一个月的社会保障资金（养老保险或医疗保险）的缴纳证明及被授权人身份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声明函</w:t>
            </w:r>
          </w:p>
        </w:tc>
        <w:tc>
          <w:tcPr>
            <w:tcW w:type="dxa" w:w="3322"/>
          </w:tcPr>
          <w:p>
            <w:pPr>
              <w:pStyle w:val="null3"/>
            </w:pPr>
            <w:r>
              <w:rPr>
                <w:rFonts w:ascii="仿宋_GB2312" w:hAnsi="仿宋_GB2312" w:cs="仿宋_GB2312" w:eastAsia="仿宋_GB2312"/>
              </w:rPr>
              <w:t>本项目不接受联合体投标；单位负责人为同一人或者存在控股、管理关系的不同单位，不得参加同一项目的投标；并提供“国家企业信用信息公示系统”内股东截图。</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投标人名称与营业执照一致</w:t>
            </w:r>
          </w:p>
        </w:tc>
        <w:tc>
          <w:tcPr>
            <w:tcW w:type="dxa" w:w="3322"/>
          </w:tcPr>
          <w:p>
            <w:pPr>
              <w:pStyle w:val="null3"/>
            </w:pPr>
            <w:r>
              <w:rPr>
                <w:rFonts w:ascii="仿宋_GB2312" w:hAnsi="仿宋_GB2312" w:cs="仿宋_GB2312" w:eastAsia="仿宋_GB2312"/>
              </w:rPr>
              <w:t>投标人名称与营业执照一致（合格）投标人名称与营业执照不一致（不合格）</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投标文件按招标文件要求的数量、计量单位、报价货币及签字盖章</w:t>
            </w:r>
          </w:p>
        </w:tc>
        <w:tc>
          <w:tcPr>
            <w:tcW w:type="dxa" w:w="3322"/>
          </w:tcPr>
          <w:p>
            <w:pPr>
              <w:pStyle w:val="null3"/>
            </w:pPr>
            <w:r>
              <w:rPr>
                <w:rFonts w:ascii="仿宋_GB2312" w:hAnsi="仿宋_GB2312" w:cs="仿宋_GB2312" w:eastAsia="仿宋_GB2312"/>
              </w:rPr>
              <w:t>投标文件按招标文件要求的计量单位、报价货币及签字盖章（合格）投标文件未按招标文件要求的计量单位、报价货币及签字盖章（不合格）</w:t>
            </w:r>
          </w:p>
        </w:tc>
        <w:tc>
          <w:tcPr>
            <w:tcW w:type="dxa" w:w="1661"/>
          </w:tcPr>
          <w:p>
            <w:pPr>
              <w:pStyle w:val="null3"/>
            </w:pPr>
            <w:r>
              <w:rPr>
                <w:rFonts w:ascii="仿宋_GB2312" w:hAnsi="仿宋_GB2312" w:cs="仿宋_GB2312" w:eastAsia="仿宋_GB2312"/>
              </w:rPr>
              <w:t>投标函 标的清单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投标文件的有效期达到招标文件要求</w:t>
            </w:r>
          </w:p>
        </w:tc>
        <w:tc>
          <w:tcPr>
            <w:tcW w:type="dxa" w:w="3322"/>
          </w:tcPr>
          <w:p>
            <w:pPr>
              <w:pStyle w:val="null3"/>
            </w:pPr>
            <w:r>
              <w:rPr>
                <w:rFonts w:ascii="仿宋_GB2312" w:hAnsi="仿宋_GB2312" w:cs="仿宋_GB2312" w:eastAsia="仿宋_GB2312"/>
              </w:rPr>
              <w:t>投标有效期达到招标文件要求（合格）投标有效期未达到招标文件要求（不合格）</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响应内容符合实质性要求</w:t>
            </w:r>
          </w:p>
        </w:tc>
        <w:tc>
          <w:tcPr>
            <w:tcW w:type="dxa" w:w="3322"/>
          </w:tcPr>
          <w:p>
            <w:pPr>
              <w:pStyle w:val="null3"/>
            </w:pPr>
            <w:r>
              <w:rPr>
                <w:rFonts w:ascii="仿宋_GB2312" w:hAnsi="仿宋_GB2312" w:cs="仿宋_GB2312" w:eastAsia="仿宋_GB2312"/>
              </w:rPr>
              <w:t>技术参数响应满足第三章中标“★”项要求，商务响应满足第三章3.3商务要求及3.5其他要求（合格），任意一条不满足（不合格）。</w:t>
            </w:r>
          </w:p>
        </w:tc>
        <w:tc>
          <w:tcPr>
            <w:tcW w:type="dxa" w:w="1661"/>
          </w:tcPr>
          <w:p>
            <w:pPr>
              <w:pStyle w:val="null3"/>
            </w:pPr>
            <w:r>
              <w:rPr>
                <w:rFonts w:ascii="仿宋_GB2312" w:hAnsi="仿宋_GB2312" w:cs="仿宋_GB2312" w:eastAsia="仿宋_GB2312"/>
              </w:rPr>
              <w:t>开标一览表 商务应答表 服务内容及服务要求应答表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符合法律、法规和招标文件中规的其他实质性要求</w:t>
            </w:r>
          </w:p>
        </w:tc>
        <w:tc>
          <w:tcPr>
            <w:tcW w:type="dxa" w:w="3322"/>
          </w:tcPr>
          <w:p>
            <w:pPr>
              <w:pStyle w:val="null3"/>
            </w:pPr>
            <w:r>
              <w:rPr>
                <w:rFonts w:ascii="仿宋_GB2312" w:hAnsi="仿宋_GB2312" w:cs="仿宋_GB2312" w:eastAsia="仿宋_GB2312"/>
              </w:rPr>
              <w:t>符合法律、法规和招标文件中规定的其他实质性要求（合格）不符合法律、法规和招标文件中规定的其他实质性要求（不合格）</w:t>
            </w:r>
          </w:p>
        </w:tc>
        <w:tc>
          <w:tcPr>
            <w:tcW w:type="dxa" w:w="1661"/>
          </w:tcPr>
          <w:p>
            <w:pPr>
              <w:pStyle w:val="null3"/>
            </w:pPr>
            <w:r>
              <w:rPr>
                <w:rFonts w:ascii="仿宋_GB2312" w:hAnsi="仿宋_GB2312" w:cs="仿宋_GB2312" w:eastAsia="仿宋_GB2312"/>
              </w:rPr>
              <w:t>投标函 投标文件封面 投标人应提交的相关资格证明材料</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投标人具有有效的： ①质量管理体系认证证书； ②环境管理体系认证证书； ③职业健康安全管理体系认证证书； 每提供一项证书得1分，未提供或提供不全不得分。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项目团队人员配备</w:t>
            </w:r>
          </w:p>
        </w:tc>
        <w:tc>
          <w:tcPr>
            <w:tcW w:type="dxa" w:w="2492"/>
          </w:tcPr>
          <w:p>
            <w:pPr>
              <w:pStyle w:val="null3"/>
            </w:pPr>
            <w:r>
              <w:rPr>
                <w:rFonts w:ascii="仿宋_GB2312" w:hAnsi="仿宋_GB2312" w:cs="仿宋_GB2312" w:eastAsia="仿宋_GB2312"/>
              </w:rPr>
              <w:t>依据供应商的项目团队人员配备： ①人员配置齐全，技术经验丰富，机构设置全面合理，且有明确的分工及责任制度，完全满足项目需求计5分； ②人员配置较合理，技术经验较丰富，有分工但责任制度不明确，满足项目需求计3分； ③人员配置基本合理，技术经验一般，分工不明确且无责任制度，基本能满足项目需求计2分； ④人员配置不合理，不能满足本项目需求计1分； ⑤未提供计0分。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团队人员职称</w:t>
            </w:r>
          </w:p>
        </w:tc>
        <w:tc>
          <w:tcPr>
            <w:tcW w:type="dxa" w:w="2492"/>
          </w:tcPr>
          <w:p>
            <w:pPr>
              <w:pStyle w:val="null3"/>
            </w:pPr>
            <w:r>
              <w:rPr>
                <w:rFonts w:ascii="仿宋_GB2312" w:hAnsi="仿宋_GB2312" w:cs="仿宋_GB2312" w:eastAsia="仿宋_GB2312"/>
              </w:rPr>
              <w:t>项目组人员中具备地质相关（水文地质、工程地质、环境地质、地质工程、岩土工程）本科及以上专业教育背景的专职技术人员，需提供全日制高等教育毕业证书，每提供一个得2分，最高10分。 注：须提供本单位的在职证明材料（投标文件递交截止时间前一年内任意三个月所在单位社保证明或劳动合同等）复印件并承诺上述专业人员在项目开工后全部到场，加盖单位公章。未提供不得分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设备生产、制造、检验、维修实力1</w:t>
            </w:r>
          </w:p>
        </w:tc>
        <w:tc>
          <w:tcPr>
            <w:tcW w:type="dxa" w:w="2492"/>
          </w:tcPr>
          <w:p>
            <w:pPr>
              <w:pStyle w:val="null3"/>
            </w:pPr>
            <w:r>
              <w:rPr>
                <w:rFonts w:ascii="仿宋_GB2312" w:hAnsi="仿宋_GB2312" w:cs="仿宋_GB2312" w:eastAsia="仿宋_GB2312"/>
              </w:rPr>
              <w:t>1.投标人具备地质灾害监测设备的生产、制造的能力得分5分（需提供场地、生产设备、检验设备、维修设备、生产人员、生产工艺等证明材料，不能提供的不得分。）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设备生产、制造、检验、维修实力2</w:t>
            </w:r>
          </w:p>
        </w:tc>
        <w:tc>
          <w:tcPr>
            <w:tcW w:type="dxa" w:w="2492"/>
          </w:tcPr>
          <w:p>
            <w:pPr>
              <w:pStyle w:val="null3"/>
            </w:pPr>
            <w:r>
              <w:rPr>
                <w:rFonts w:ascii="仿宋_GB2312" w:hAnsi="仿宋_GB2312" w:cs="仿宋_GB2312" w:eastAsia="仿宋_GB2312"/>
              </w:rPr>
              <w:t>2.具备检验、维修的能力，有详细的实施方案： ①方案完善全面，合理性和可操作性强10分； ②方案较完善全面，合理性和可操作性较强 ,得8分； ③方案一般，合理性和可操作性欠缺，得5分； ④方案不合理，不能满足本项目需求，得2分； ⑤未提供计0分。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运维设备及备件配备</w:t>
            </w:r>
          </w:p>
        </w:tc>
        <w:tc>
          <w:tcPr>
            <w:tcW w:type="dxa" w:w="2492"/>
          </w:tcPr>
          <w:p>
            <w:pPr>
              <w:pStyle w:val="null3"/>
            </w:pPr>
            <w:r>
              <w:rPr>
                <w:rFonts w:ascii="仿宋_GB2312" w:hAnsi="仿宋_GB2312" w:cs="仿宋_GB2312" w:eastAsia="仿宋_GB2312"/>
              </w:rPr>
              <w:t>①设备及备件配备齐全、数量充足，并能明确设备来源及使用情况，完全满足项目实施需求计7分； ②设备及备件配备基本齐全，数量较充足，有对设备来源及使用情况说明，能够满足项目实施需求计5分； ③设备及备件配备基本齐全，数量较充足，但无设备来源及使用情况说明，计3分； ④备件配备不足，无设备来源及使用情况说明，无法满足项目实施需求，计1分； ⑤未提供计0分。 （设备来源证明：包括但不限于生产厂家授权）</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系统运行维护能力1</w:t>
            </w:r>
          </w:p>
        </w:tc>
        <w:tc>
          <w:tcPr>
            <w:tcW w:type="dxa" w:w="2492"/>
          </w:tcPr>
          <w:p>
            <w:pPr>
              <w:pStyle w:val="null3"/>
            </w:pPr>
            <w:r>
              <w:rPr>
                <w:rFonts w:ascii="仿宋_GB2312" w:hAnsi="仿宋_GB2312" w:cs="仿宋_GB2312" w:eastAsia="仿宋_GB2312"/>
              </w:rPr>
              <w:t>投标人具有专业的机构设置，保证有专人对后台数据进行7*24小时值守的得2分（需提供场地、人员、值班制度等证明材料，不能提供的不得分。）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系统运行维护能力2</w:t>
            </w:r>
          </w:p>
        </w:tc>
        <w:tc>
          <w:tcPr>
            <w:tcW w:type="dxa" w:w="2492"/>
          </w:tcPr>
          <w:p>
            <w:pPr>
              <w:pStyle w:val="null3"/>
            </w:pPr>
            <w:r>
              <w:rPr>
                <w:rFonts w:ascii="仿宋_GB2312" w:hAnsi="仿宋_GB2312" w:cs="仿宋_GB2312" w:eastAsia="仿宋_GB2312"/>
              </w:rPr>
              <w:t>在地质灾害监测预警建设或运维中实现成功预报案例，投标人需提供证明文件，每提供一项得1分 ，最高得5分，不提供或无证明文件不计分。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投标人2022年5月1日之后承担过类似项目业绩并提供相关证明材料（以加盖公章的合同书复印或扫描件为准），每提供一份得2分，最高得10分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1.实施方案：设置了项目管理机构，并且有科学、具体的项目保障措施，内容包含：实施计划、实施进度保障措施、质量保障措施、预警响应保障措施，安全保障措施。 2.评审标准： ①实施计划：包含项目规划、项目实施、项目验收，内容完整可行，完全符合或优于本项目实际需求； ②实施进度：设备改建和维修数据服务的时限满足招标文件要求，保障措施得当，具备保障能力，完全符合或优于本项目实际需求； ③质量保障措施：月均设备在线率满足招标文件要求，保障措施得当，具备保障能力，完全符合或优于本项目实际需求； ④预警响应保障措施：预警信号值守和处置，能够满足招标文件要求，保障措施得当，具备保障能力，完全符合或优于本项目实际需求； ⑤安全保障措施：包含提供数据服务、设备改建、维修及施工等方面的安全保障措施、应急处置措施，完全符合或优于本项目实际需求。 以上要求理解准确，内容齐全、结构完整、表述准确、条理清晰有具体详细的阐述且符合项目要求的，每项得3分，最高得15分。每项中每有一处表述不清楚、针对性不强、逻辑不清晰的扣0.5分，每缺失一项扣5分，扣完为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设备适用性</w:t>
            </w:r>
          </w:p>
        </w:tc>
        <w:tc>
          <w:tcPr>
            <w:tcW w:type="dxa" w:w="2492"/>
          </w:tcPr>
          <w:p>
            <w:pPr>
              <w:pStyle w:val="null3"/>
            </w:pPr>
            <w:r>
              <w:rPr>
                <w:rFonts w:ascii="仿宋_GB2312" w:hAnsi="仿宋_GB2312" w:cs="仿宋_GB2312" w:eastAsia="仿宋_GB2312"/>
              </w:rPr>
              <w:t>所生产设备获得中国计量认证（CMA）或计量器具型式批准证书（CPA）证书。提供一个得1分，最高得2分。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应急处理措施</w:t>
            </w:r>
          </w:p>
        </w:tc>
        <w:tc>
          <w:tcPr>
            <w:tcW w:type="dxa" w:w="2492"/>
          </w:tcPr>
          <w:p>
            <w:pPr>
              <w:pStyle w:val="null3"/>
            </w:pPr>
            <w:r>
              <w:rPr>
                <w:rFonts w:ascii="仿宋_GB2312" w:hAnsi="仿宋_GB2312" w:cs="仿宋_GB2312" w:eastAsia="仿宋_GB2312"/>
              </w:rPr>
              <w:t>根据供应商提供的应急响应及突发事件（1）有具体可行的应急措施（2）解决方案（3）相关承诺 以上内容完整全面、与项目技术、服务需求吻合、思路清晰、层次结构细化，有具体详细的阐述且符合项目要求的，每项得2分，最高得6分。每项中每有一处表述不清楚、针对性不强、逻辑不清晰的扣0.5分，每缺失一项扣1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售后服务方案包含以下内容：（1）售后服务内容（2）售后服务流程及服务方式（3）服务响应时间（4）服务质量保障（5）售后服务人员。 以上内容完整全面、与项目技术、服务需求吻合、思路清晰、层次结构细化，有具体详细的阐述且符合项目要求的，每项得2分，最高得10分。每项中每有一处表述不清楚、针对性不强、逻辑不清晰的扣0.5分，每缺失一项扣1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计算：投标报价得分=10×（评标基准价/投标报价）价格分计算四舍五入，保留两位小数。满足落实政府采购相关政策的，用扣除后的价格参与评审。</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详见附件：服务合同.docx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