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57B6">
      <w:pPr>
        <w:pStyle w:val="2"/>
        <w:wordWrap w:val="0"/>
        <w:spacing w:line="520" w:lineRule="exact"/>
        <w:ind w:firstLine="0" w:firstLineChars="0"/>
        <w:jc w:val="right"/>
        <w:rPr>
          <w:rFonts w:hint="default" w:ascii="宋体" w:hAnsi="宋体" w:eastAsia="宋体" w:cs="宋体"/>
          <w:color w:val="auto"/>
          <w:highlight w:val="none"/>
          <w:lang w:val="en-US" w:eastAsia="zh-CN"/>
        </w:rPr>
      </w:pPr>
      <w:r>
        <w:rPr>
          <w:rFonts w:hint="eastAsia" w:ascii="宋体" w:hAnsi="宋体" w:eastAsia="宋体" w:cs="宋体"/>
          <w:color w:val="auto"/>
          <w:sz w:val="28"/>
          <w:szCs w:val="28"/>
          <w:highlight w:val="none"/>
        </w:rPr>
        <w:t xml:space="preserve">  合同编号：</w:t>
      </w:r>
      <w:r>
        <w:rPr>
          <w:rFonts w:hint="eastAsia" w:ascii="宋体" w:hAnsi="宋体" w:eastAsia="宋体" w:cs="宋体"/>
          <w:color w:val="auto"/>
          <w:sz w:val="28"/>
          <w:szCs w:val="28"/>
          <w:highlight w:val="none"/>
          <w:lang w:val="en-US" w:eastAsia="zh-CN"/>
        </w:rPr>
        <w:t xml:space="preserve">           </w:t>
      </w:r>
    </w:p>
    <w:p w14:paraId="6A4CB0C0">
      <w:pPr>
        <w:spacing w:line="480" w:lineRule="auto"/>
        <w:ind w:firstLine="0" w:firstLineChars="0"/>
        <w:jc w:val="center"/>
        <w:rPr>
          <w:rFonts w:hint="eastAsia" w:ascii="宋体" w:hAnsi="宋体" w:eastAsia="宋体" w:cs="宋体"/>
          <w:color w:val="auto"/>
          <w:sz w:val="36"/>
          <w:szCs w:val="36"/>
          <w:highlight w:val="none"/>
        </w:rPr>
      </w:pPr>
    </w:p>
    <w:p w14:paraId="0EBB409F">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36"/>
          <w:szCs w:val="36"/>
          <w:highlight w:val="none"/>
        </w:rPr>
      </w:pPr>
      <w:r>
        <w:rPr>
          <w:rFonts w:hint="eastAsia" w:ascii="方正小标宋简体" w:hAnsi="方正小标宋简体" w:eastAsia="方正小标宋简体" w:cs="方正小标宋简体"/>
          <w:snapToGrid w:val="0"/>
          <w:color w:val="auto"/>
          <w:kern w:val="0"/>
          <w:sz w:val="36"/>
          <w:szCs w:val="36"/>
          <w:highlight w:val="none"/>
        </w:rPr>
        <w:t>陕西省地质环境监测总站（陕西省地质灾害中心）</w:t>
      </w:r>
    </w:p>
    <w:p w14:paraId="4ECCB2BF">
      <w:pPr>
        <w:widowControl/>
        <w:kinsoku w:val="0"/>
        <w:autoSpaceDE w:val="0"/>
        <w:autoSpaceDN w:val="0"/>
        <w:adjustRightInd w:val="0"/>
        <w:snapToGrid w:val="0"/>
        <w:spacing w:line="240" w:lineRule="auto"/>
        <w:ind w:firstLine="0" w:firstLineChars="0"/>
        <w:jc w:val="center"/>
        <w:textAlignment w:val="baseline"/>
        <w:rPr>
          <w:rFonts w:hint="eastAsia" w:ascii="方正小标宋简体" w:hAnsi="方正小标宋简体" w:eastAsia="方正小标宋简体" w:cs="方正小标宋简体"/>
          <w:snapToGrid w:val="0"/>
          <w:color w:val="auto"/>
          <w:kern w:val="0"/>
          <w:sz w:val="56"/>
          <w:szCs w:val="56"/>
          <w:highlight w:val="none"/>
        </w:rPr>
      </w:pPr>
      <w:r>
        <w:rPr>
          <w:rFonts w:hint="eastAsia" w:ascii="方正小标宋简体" w:hAnsi="方正小标宋简体" w:eastAsia="方正小标宋简体" w:cs="方正小标宋简体"/>
          <w:snapToGrid w:val="0"/>
          <w:color w:val="auto"/>
          <w:kern w:val="0"/>
          <w:sz w:val="56"/>
          <w:szCs w:val="56"/>
          <w:highlight w:val="none"/>
        </w:rPr>
        <w:t>业务委托合同书</w:t>
      </w:r>
    </w:p>
    <w:p w14:paraId="0FEDB0A4">
      <w:pPr>
        <w:pStyle w:val="3"/>
        <w:spacing w:line="480" w:lineRule="auto"/>
        <w:ind w:firstLine="1440"/>
        <w:rPr>
          <w:rFonts w:hint="eastAsia" w:ascii="宋体" w:hAnsi="宋体" w:eastAsia="宋体" w:cs="宋体"/>
          <w:color w:val="auto"/>
          <w:sz w:val="72"/>
          <w:szCs w:val="72"/>
          <w:highlight w:val="none"/>
        </w:rPr>
      </w:pPr>
    </w:p>
    <w:p w14:paraId="6001305A">
      <w:pPr>
        <w:pStyle w:val="3"/>
        <w:spacing w:line="480" w:lineRule="auto"/>
        <w:ind w:firstLine="1440"/>
        <w:rPr>
          <w:rFonts w:hint="eastAsia" w:ascii="宋体" w:hAnsi="宋体" w:eastAsia="宋体" w:cs="宋体"/>
          <w:color w:val="auto"/>
          <w:sz w:val="72"/>
          <w:szCs w:val="72"/>
          <w:highlight w:val="none"/>
        </w:rPr>
      </w:pPr>
    </w:p>
    <w:p w14:paraId="5A40FBCA">
      <w:pPr>
        <w:pStyle w:val="3"/>
        <w:spacing w:line="480" w:lineRule="auto"/>
        <w:ind w:firstLine="1440"/>
        <w:rPr>
          <w:rFonts w:hint="eastAsia" w:ascii="宋体" w:hAnsi="宋体" w:eastAsia="宋体" w:cs="宋体"/>
          <w:color w:val="auto"/>
          <w:sz w:val="72"/>
          <w:szCs w:val="72"/>
          <w:highlight w:val="none"/>
        </w:rPr>
      </w:pPr>
    </w:p>
    <w:p w14:paraId="3991D7CD">
      <w:pPr>
        <w:pStyle w:val="3"/>
        <w:spacing w:line="480" w:lineRule="auto"/>
        <w:ind w:firstLine="1440"/>
        <w:rPr>
          <w:rFonts w:hint="eastAsia" w:ascii="宋体" w:hAnsi="宋体" w:eastAsia="宋体" w:cs="宋体"/>
          <w:color w:val="auto"/>
          <w:sz w:val="72"/>
          <w:szCs w:val="72"/>
          <w:highlight w:val="none"/>
        </w:rPr>
      </w:pPr>
    </w:p>
    <w:tbl>
      <w:tblPr>
        <w:tblStyle w:val="8"/>
        <w:tblpPr w:leftFromText="180" w:rightFromText="180" w:vertAnchor="text" w:horzAnchor="page" w:tblpX="1690" w:tblpY="357"/>
        <w:tblOverlap w:val="never"/>
        <w:tblW w:w="89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53"/>
        <w:gridCol w:w="240"/>
        <w:gridCol w:w="6615"/>
      </w:tblGrid>
      <w:tr w14:paraId="5629A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2D5C2942">
            <w:pPr>
              <w:pStyle w:val="3"/>
              <w:spacing w:line="480" w:lineRule="auto"/>
              <w:ind w:firstLine="0" w:firstLineChars="0"/>
              <w:jc w:val="distribute"/>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项目名称</w:t>
            </w:r>
          </w:p>
        </w:tc>
        <w:tc>
          <w:tcPr>
            <w:tcW w:w="240" w:type="dxa"/>
            <w:vAlign w:val="center"/>
          </w:tcPr>
          <w:p w14:paraId="5DE84306">
            <w:pPr>
              <w:pStyle w:val="3"/>
              <w:spacing w:line="480" w:lineRule="auto"/>
              <w:ind w:firstLine="0" w:firstLineChars="0"/>
              <w:jc w:val="left"/>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w:t>
            </w:r>
          </w:p>
        </w:tc>
        <w:tc>
          <w:tcPr>
            <w:tcW w:w="6615" w:type="dxa"/>
            <w:vAlign w:val="center"/>
          </w:tcPr>
          <w:p w14:paraId="50125B13">
            <w:pPr>
              <w:ind w:firstLine="0" w:firstLineChars="0"/>
              <w:jc w:val="left"/>
              <w:rPr>
                <w:rFonts w:hint="eastAsia" w:ascii="宋体" w:hAnsi="宋体" w:eastAsia="宋体" w:cs="宋体"/>
                <w:color w:val="auto"/>
                <w:sz w:val="28"/>
                <w:szCs w:val="28"/>
                <w:highlight w:val="none"/>
              </w:rPr>
            </w:pPr>
            <w:r>
              <w:rPr>
                <w:rFonts w:ascii="仿宋_GB2312" w:hAnsi="宋体" w:cs="仿宋_GB2312"/>
                <w:color w:val="auto"/>
                <w:kern w:val="0"/>
                <w:sz w:val="31"/>
                <w:szCs w:val="31"/>
                <w:highlight w:val="none"/>
                <w:lang w:bidi="ar"/>
              </w:rPr>
              <w:t>陕西省2026年地质灾害群专结合改建和日常运</w:t>
            </w:r>
            <w:r>
              <w:rPr>
                <w:rFonts w:hint="eastAsia" w:ascii="仿宋_GB2312" w:hAnsi="宋体" w:cs="仿宋_GB2312"/>
                <w:color w:val="auto"/>
                <w:kern w:val="0"/>
                <w:sz w:val="31"/>
                <w:szCs w:val="31"/>
                <w:highlight w:val="none"/>
                <w:lang w:bidi="ar"/>
              </w:rPr>
              <w:t>行</w:t>
            </w:r>
            <w:r>
              <w:rPr>
                <w:rFonts w:hint="eastAsia" w:ascii="宋体" w:hAnsi="宋体" w:eastAsia="宋体" w:cs="宋体"/>
                <w:color w:val="auto"/>
                <w:sz w:val="28"/>
                <w:szCs w:val="28"/>
                <w:highlight w:val="none"/>
              </w:rPr>
              <w:t>维护</w:t>
            </w:r>
          </w:p>
        </w:tc>
      </w:tr>
      <w:tr w14:paraId="429BC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18F0C74A">
            <w:pPr>
              <w:pStyle w:val="3"/>
              <w:spacing w:line="480" w:lineRule="auto"/>
              <w:ind w:firstLine="0" w:firstLineChars="0"/>
              <w:jc w:val="distribute"/>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委托业务名称</w:t>
            </w:r>
          </w:p>
        </w:tc>
        <w:tc>
          <w:tcPr>
            <w:tcW w:w="240" w:type="dxa"/>
            <w:vAlign w:val="center"/>
          </w:tcPr>
          <w:p w14:paraId="1123688A">
            <w:pPr>
              <w:pStyle w:val="3"/>
              <w:spacing w:line="480" w:lineRule="auto"/>
              <w:ind w:firstLine="0" w:firstLineChars="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w:t>
            </w:r>
          </w:p>
        </w:tc>
        <w:tc>
          <w:tcPr>
            <w:tcW w:w="6615" w:type="dxa"/>
            <w:vAlign w:val="center"/>
          </w:tcPr>
          <w:p w14:paraId="5B0C4265">
            <w:pPr>
              <w:pStyle w:val="3"/>
              <w:widowControl/>
              <w:spacing w:line="240" w:lineRule="auto"/>
              <w:ind w:firstLine="0" w:firstLineChars="0"/>
              <w:jc w:val="center"/>
              <w:rPr>
                <w:rFonts w:hint="eastAsia" w:ascii="宋体" w:hAnsi="宋体" w:eastAsia="宋体" w:cs="宋体"/>
                <w:color w:val="auto"/>
                <w:kern w:val="2"/>
                <w:sz w:val="28"/>
                <w:szCs w:val="28"/>
                <w:highlight w:val="none"/>
              </w:rPr>
            </w:pPr>
            <w:bookmarkStart w:id="0" w:name="OLE_LINK1"/>
            <w:r>
              <w:rPr>
                <w:rFonts w:hint="eastAsia" w:ascii="宋体" w:hAnsi="宋体" w:eastAsia="宋体" w:cs="宋体"/>
                <w:color w:val="auto"/>
                <w:kern w:val="2"/>
                <w:sz w:val="28"/>
                <w:szCs w:val="28"/>
                <w:highlight w:val="none"/>
                <w:lang w:val="en-US" w:eastAsia="zh-CN"/>
              </w:rPr>
              <w:t>2026年</w:t>
            </w:r>
            <w:r>
              <w:rPr>
                <w:rFonts w:hint="eastAsia" w:ascii="宋体" w:hAnsi="宋体" w:eastAsia="宋体" w:cs="宋体"/>
                <w:color w:val="auto"/>
                <w:kern w:val="2"/>
                <w:sz w:val="28"/>
                <w:szCs w:val="28"/>
                <w:highlight w:val="none"/>
              </w:rPr>
              <w:t>监测数据服务</w:t>
            </w:r>
            <w:bookmarkEnd w:id="0"/>
          </w:p>
        </w:tc>
      </w:tr>
      <w:tr w14:paraId="08DD6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3EEC9E5F">
            <w:pPr>
              <w:pStyle w:val="3"/>
              <w:spacing w:line="480" w:lineRule="auto"/>
              <w:ind w:firstLine="0" w:firstLineChars="0"/>
              <w:jc w:val="distribute"/>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甲   方</w:t>
            </w:r>
          </w:p>
        </w:tc>
        <w:tc>
          <w:tcPr>
            <w:tcW w:w="240" w:type="dxa"/>
            <w:vAlign w:val="center"/>
          </w:tcPr>
          <w:p w14:paraId="4D13B350">
            <w:pPr>
              <w:pStyle w:val="3"/>
              <w:spacing w:line="480" w:lineRule="auto"/>
              <w:ind w:firstLine="0" w:firstLineChars="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w:t>
            </w:r>
          </w:p>
        </w:tc>
        <w:tc>
          <w:tcPr>
            <w:tcW w:w="6615" w:type="dxa"/>
            <w:vAlign w:val="center"/>
          </w:tcPr>
          <w:p w14:paraId="50271BCC">
            <w:pPr>
              <w:pStyle w:val="3"/>
              <w:widowControl/>
              <w:spacing w:line="240" w:lineRule="auto"/>
              <w:ind w:firstLine="0" w:firstLineChars="0"/>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陕西省地质环境监测总站（陕西省地质灾害中心）</w:t>
            </w:r>
          </w:p>
        </w:tc>
      </w:tr>
      <w:tr w14:paraId="204BD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1" w:hRule="atLeast"/>
        </w:trPr>
        <w:tc>
          <w:tcPr>
            <w:tcW w:w="2053" w:type="dxa"/>
            <w:vAlign w:val="center"/>
          </w:tcPr>
          <w:p w14:paraId="0E2F7311">
            <w:pPr>
              <w:pStyle w:val="3"/>
              <w:spacing w:line="480" w:lineRule="auto"/>
              <w:ind w:firstLine="0" w:firstLineChars="0"/>
              <w:jc w:val="distribute"/>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乙    方</w:t>
            </w:r>
          </w:p>
        </w:tc>
        <w:tc>
          <w:tcPr>
            <w:tcW w:w="240" w:type="dxa"/>
            <w:vAlign w:val="center"/>
          </w:tcPr>
          <w:p w14:paraId="202CC8F2">
            <w:pPr>
              <w:pStyle w:val="3"/>
              <w:spacing w:line="480" w:lineRule="auto"/>
              <w:ind w:firstLine="0" w:firstLineChars="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w:t>
            </w:r>
          </w:p>
        </w:tc>
        <w:tc>
          <w:tcPr>
            <w:tcW w:w="6615" w:type="dxa"/>
            <w:vAlign w:val="center"/>
          </w:tcPr>
          <w:p w14:paraId="1F99E0BB">
            <w:pPr>
              <w:pStyle w:val="3"/>
              <w:widowControl/>
              <w:spacing w:line="240" w:lineRule="auto"/>
              <w:ind w:firstLine="0" w:firstLineChars="0"/>
              <w:jc w:val="center"/>
              <w:rPr>
                <w:rFonts w:hint="eastAsia" w:ascii="宋体" w:hAnsi="宋体" w:eastAsia="宋体" w:cs="宋体"/>
                <w:color w:val="auto"/>
                <w:kern w:val="2"/>
                <w:sz w:val="28"/>
                <w:szCs w:val="28"/>
                <w:highlight w:val="none"/>
              </w:rPr>
            </w:pPr>
          </w:p>
        </w:tc>
      </w:tr>
      <w:tr w14:paraId="5678B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vAlign w:val="center"/>
          </w:tcPr>
          <w:p w14:paraId="53B4726C">
            <w:pPr>
              <w:pStyle w:val="3"/>
              <w:spacing w:line="480" w:lineRule="auto"/>
              <w:ind w:firstLine="0" w:firstLineChars="0"/>
              <w:jc w:val="distribute"/>
              <w:rPr>
                <w:rFonts w:hint="eastAsia" w:ascii="宋体" w:hAnsi="宋体" w:eastAsia="宋体" w:cs="宋体"/>
                <w:b/>
                <w:bCs/>
                <w:color w:val="auto"/>
                <w:kern w:val="2"/>
                <w:sz w:val="30"/>
                <w:szCs w:val="30"/>
                <w:highlight w:val="none"/>
              </w:rPr>
            </w:pPr>
            <w:r>
              <w:rPr>
                <w:rFonts w:hint="eastAsia" w:ascii="宋体" w:hAnsi="宋体" w:eastAsia="宋体" w:cs="宋体"/>
                <w:b/>
                <w:bCs/>
                <w:color w:val="auto"/>
                <w:sz w:val="30"/>
                <w:szCs w:val="30"/>
                <w:highlight w:val="none"/>
              </w:rPr>
              <w:t>签订时间</w:t>
            </w:r>
          </w:p>
        </w:tc>
        <w:tc>
          <w:tcPr>
            <w:tcW w:w="240" w:type="dxa"/>
            <w:vAlign w:val="center"/>
          </w:tcPr>
          <w:p w14:paraId="6D6724C8">
            <w:pPr>
              <w:pStyle w:val="3"/>
              <w:spacing w:line="480" w:lineRule="auto"/>
              <w:ind w:firstLine="0" w:firstLineChars="0"/>
              <w:jc w:val="center"/>
              <w:rPr>
                <w:rFonts w:hint="eastAsia" w:ascii="宋体" w:hAnsi="宋体" w:eastAsia="宋体" w:cs="宋体"/>
                <w:b/>
                <w:bCs/>
                <w:color w:val="auto"/>
                <w:kern w:val="2"/>
                <w:sz w:val="30"/>
                <w:szCs w:val="30"/>
                <w:highlight w:val="none"/>
              </w:rPr>
            </w:pPr>
            <w:r>
              <w:rPr>
                <w:rFonts w:hint="eastAsia" w:ascii="宋体" w:hAnsi="宋体" w:eastAsia="宋体" w:cs="宋体"/>
                <w:b/>
                <w:bCs/>
                <w:color w:val="auto"/>
                <w:sz w:val="30"/>
                <w:szCs w:val="30"/>
                <w:highlight w:val="none"/>
              </w:rPr>
              <w:t>：</w:t>
            </w:r>
          </w:p>
        </w:tc>
        <w:tc>
          <w:tcPr>
            <w:tcW w:w="6615" w:type="dxa"/>
            <w:vAlign w:val="center"/>
          </w:tcPr>
          <w:p w14:paraId="4ABF7501">
            <w:pPr>
              <w:pStyle w:val="3"/>
              <w:widowControl/>
              <w:spacing w:line="240" w:lineRule="auto"/>
              <w:ind w:firstLine="0" w:firstLineChars="0"/>
              <w:jc w:val="center"/>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年    月</w:t>
            </w:r>
          </w:p>
        </w:tc>
      </w:tr>
    </w:tbl>
    <w:p w14:paraId="1CBE8F33">
      <w:pPr>
        <w:rPr>
          <w:rFonts w:hint="eastAsia"/>
          <w:color w:val="auto"/>
          <w:highlight w:val="none"/>
        </w:rPr>
      </w:pPr>
      <w:r>
        <w:rPr>
          <w:rFonts w:hint="eastAsia"/>
          <w:color w:val="auto"/>
          <w:highlight w:val="none"/>
        </w:rPr>
        <w:br w:type="page"/>
      </w:r>
    </w:p>
    <w:p w14:paraId="04541DC3">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陕西省地质环境监测总站（陕西省地质灾害中心）（以下简称甲方）为做好《</w:t>
      </w:r>
      <w:r>
        <w:rPr>
          <w:rFonts w:hint="eastAsia" w:ascii="宋体" w:hAnsi="宋体" w:eastAsia="宋体" w:cs="宋体"/>
          <w:color w:val="auto"/>
          <w:sz w:val="24"/>
          <w:szCs w:val="24"/>
          <w:highlight w:val="none"/>
          <w:lang w:bidi="ar"/>
        </w:rPr>
        <w:t>陕西省2026年地质灾害群专结合</w:t>
      </w:r>
      <w:r>
        <w:rPr>
          <w:rFonts w:hint="eastAsia" w:ascii="宋体" w:hAnsi="宋体" w:eastAsia="宋体" w:cs="宋体"/>
          <w:color w:val="auto"/>
          <w:sz w:val="24"/>
          <w:szCs w:val="24"/>
          <w:highlight w:val="none"/>
          <w:lang w:val="en-US" w:eastAsia="zh-CN" w:bidi="ar"/>
        </w:rPr>
        <w:t>监测预警</w:t>
      </w:r>
      <w:r>
        <w:rPr>
          <w:rFonts w:hint="eastAsia" w:ascii="宋体" w:hAnsi="宋体" w:eastAsia="宋体" w:cs="宋体"/>
          <w:color w:val="auto"/>
          <w:sz w:val="24"/>
          <w:szCs w:val="24"/>
          <w:highlight w:val="none"/>
          <w:lang w:bidi="ar"/>
        </w:rPr>
        <w:t>改建和日常</w:t>
      </w:r>
      <w:r>
        <w:rPr>
          <w:rFonts w:hint="eastAsia" w:ascii="宋体" w:hAnsi="宋体" w:eastAsia="宋体" w:cs="宋体"/>
          <w:color w:val="auto"/>
          <w:sz w:val="24"/>
          <w:szCs w:val="24"/>
          <w:highlight w:val="none"/>
        </w:rPr>
        <w:t>运行维护》项目，通过公开招标方式，确定XXXX有限公司（以下简称乙方）承担该项目的委托业务：</w:t>
      </w:r>
      <w:r>
        <w:rPr>
          <w:rFonts w:hint="eastAsia" w:ascii="宋体" w:hAnsi="宋体" w:eastAsia="宋体" w:cs="宋体"/>
          <w:color w:val="auto"/>
          <w:sz w:val="24"/>
          <w:szCs w:val="24"/>
          <w:highlight w:val="none"/>
          <w:lang w:val="en-US" w:eastAsia="zh-CN"/>
        </w:rPr>
        <w:t>2026年</w:t>
      </w:r>
      <w:r>
        <w:rPr>
          <w:rFonts w:hint="eastAsia" w:ascii="宋体" w:hAnsi="宋体" w:eastAsia="宋体" w:cs="宋体"/>
          <w:color w:val="auto"/>
          <w:sz w:val="24"/>
          <w:szCs w:val="24"/>
          <w:highlight w:val="none"/>
        </w:rPr>
        <w:t>监测数据服务。根据《中华人民共和国民法典》等法律有关规定，双方遵循平等、自愿、公平和诚实守信的原则，就开展此委托业务工作及有关事项协商一致，共同达成如下协议：</w:t>
      </w:r>
    </w:p>
    <w:p w14:paraId="5678C19C">
      <w:pPr>
        <w:pStyle w:val="3"/>
        <w:spacing w:before="156" w:beforeLines="50" w:line="560" w:lineRule="exact"/>
        <w:ind w:firstLine="562"/>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第一条 委托业务名称及服务期限</w:t>
      </w:r>
    </w:p>
    <w:p w14:paraId="07EC3008">
      <w:pPr>
        <w:pStyle w:val="3"/>
        <w:spacing w:line="560" w:lineRule="exac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 委托业务名称</w:t>
      </w:r>
    </w:p>
    <w:p w14:paraId="50057A3D">
      <w:pPr>
        <w:pStyle w:val="3"/>
        <w:ind w:firstLine="48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bidi="ar"/>
        </w:rPr>
        <w:t>2026年</w:t>
      </w:r>
      <w:r>
        <w:rPr>
          <w:rFonts w:hint="eastAsia" w:ascii="宋体" w:hAnsi="宋体" w:eastAsia="宋体" w:cs="宋体"/>
          <w:color w:val="auto"/>
          <w:kern w:val="2"/>
          <w:sz w:val="24"/>
          <w:szCs w:val="24"/>
          <w:highlight w:val="none"/>
        </w:rPr>
        <w:t>监测数据服务。</w:t>
      </w:r>
    </w:p>
    <w:p w14:paraId="455C2B02">
      <w:pPr>
        <w:pStyle w:val="3"/>
        <w:spacing w:line="560" w:lineRule="exac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 服务期限</w:t>
      </w:r>
    </w:p>
    <w:p w14:paraId="7E50EB69">
      <w:pPr>
        <w:pStyle w:val="3"/>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服务期限一年，自</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日起至</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日止。</w:t>
      </w:r>
    </w:p>
    <w:p w14:paraId="7F7AACD5">
      <w:pPr>
        <w:pStyle w:val="3"/>
        <w:spacing w:line="560" w:lineRule="exac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1.3 工作区域</w:t>
      </w:r>
    </w:p>
    <w:p w14:paraId="44E80B38">
      <w:pPr>
        <w:pStyle w:val="3"/>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陕西</w:t>
      </w:r>
      <w:r>
        <w:rPr>
          <w:rFonts w:hint="eastAsia" w:ascii="宋体" w:hAnsi="宋体" w:eastAsia="宋体" w:cs="宋体"/>
          <w:color w:val="auto"/>
          <w:sz w:val="24"/>
          <w:szCs w:val="24"/>
          <w:highlight w:val="none"/>
        </w:rPr>
        <w:t>省</w:t>
      </w:r>
      <w:r>
        <w:rPr>
          <w:rFonts w:hint="eastAsia" w:ascii="宋体" w:hAnsi="宋体" w:eastAsia="宋体" w:cs="宋体"/>
          <w:color w:val="auto"/>
          <w:sz w:val="24"/>
          <w:szCs w:val="24"/>
          <w:highlight w:val="none"/>
          <w:lang w:val="en-US" w:eastAsia="zh-CN"/>
        </w:rPr>
        <w:t>内</w:t>
      </w:r>
      <w:r>
        <w:rPr>
          <w:rFonts w:hint="eastAsia" w:ascii="宋体" w:hAnsi="宋体" w:eastAsia="宋体" w:cs="宋体"/>
          <w:color w:val="auto"/>
          <w:sz w:val="24"/>
          <w:szCs w:val="24"/>
          <w:highlight w:val="none"/>
        </w:rPr>
        <w:t>。</w:t>
      </w:r>
    </w:p>
    <w:p w14:paraId="06858468">
      <w:pPr>
        <w:pStyle w:val="3"/>
        <w:spacing w:before="156" w:beforeLines="50" w:line="560" w:lineRule="exact"/>
        <w:ind w:firstLine="562"/>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第二条 工作内容和技术要求</w:t>
      </w:r>
    </w:p>
    <w:p w14:paraId="1B321F9B">
      <w:pPr>
        <w:pStyle w:val="3"/>
        <w:spacing w:line="560" w:lineRule="exact"/>
        <w:ind w:firstLine="482"/>
        <w:rPr>
          <w:rFonts w:hint="eastAsia" w:ascii="宋体" w:hAnsi="宋体" w:eastAsia="宋体" w:cs="宋体"/>
          <w:b/>
          <w:bCs/>
          <w:color w:val="auto"/>
          <w:sz w:val="24"/>
          <w:szCs w:val="24"/>
          <w:highlight w:val="none"/>
        </w:rPr>
      </w:pPr>
      <w:bookmarkStart w:id="1" w:name="OLE_LINK3"/>
      <w:r>
        <w:rPr>
          <w:rFonts w:hint="eastAsia" w:ascii="宋体" w:hAnsi="宋体" w:eastAsia="宋体" w:cs="宋体"/>
          <w:b/>
          <w:bCs/>
          <w:color w:val="auto"/>
          <w:sz w:val="24"/>
          <w:szCs w:val="24"/>
          <w:highlight w:val="none"/>
        </w:rPr>
        <w:t>2.1 乙方的工作内容</w:t>
      </w:r>
    </w:p>
    <w:p w14:paraId="01C7EFDB">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总体目标：在全面调查我省已有地质灾害专业监测点建设和运行维护情况的基础上，</w:t>
      </w:r>
      <w:r>
        <w:rPr>
          <w:rFonts w:hint="eastAsia" w:ascii="宋体" w:hAnsi="宋体" w:eastAsia="宋体" w:cs="宋体"/>
          <w:color w:val="auto"/>
          <w:sz w:val="24"/>
          <w:szCs w:val="24"/>
          <w:highlight w:val="none"/>
          <w:lang w:val="en-US" w:eastAsia="zh-CN"/>
        </w:rPr>
        <w:t>对监测点和</w:t>
      </w:r>
      <w:r>
        <w:rPr>
          <w:rFonts w:hint="eastAsia" w:ascii="宋体" w:hAnsi="宋体" w:eastAsia="宋体" w:cs="宋体"/>
          <w:color w:val="auto"/>
          <w:sz w:val="24"/>
          <w:szCs w:val="24"/>
          <w:highlight w:val="none"/>
        </w:rPr>
        <w:t>超出运维期的自动化监测设备进行维护，保证汛期设备在线率不低于95%，非汛期设备在线率不低于90%，预警处置率不低于95%。</w:t>
      </w:r>
    </w:p>
    <w:p w14:paraId="083D6281">
      <w:pPr>
        <w:pStyle w:val="3"/>
        <w:spacing w:line="560" w:lineRule="exac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2.2 主要工作任务</w:t>
      </w:r>
    </w:p>
    <w:p w14:paraId="04262D0E">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（1）对因</w:t>
      </w:r>
      <w:r>
        <w:rPr>
          <w:rFonts w:hint="eastAsia" w:ascii="宋体" w:hAnsi="宋体" w:eastAsia="宋体" w:cs="宋体"/>
          <w:color w:val="auto"/>
          <w:sz w:val="24"/>
          <w:szCs w:val="24"/>
          <w:highlight w:val="none"/>
          <w:lang w:val="en-US" w:eastAsia="zh-CN"/>
        </w:rPr>
        <w:t>监测设备</w:t>
      </w:r>
      <w:r>
        <w:rPr>
          <w:rFonts w:hint="eastAsia" w:ascii="宋体" w:hAnsi="宋体" w:eastAsia="宋体" w:cs="宋体"/>
          <w:color w:val="auto"/>
          <w:sz w:val="24"/>
          <w:szCs w:val="24"/>
          <w:highlight w:val="none"/>
        </w:rPr>
        <w:t>整体损坏、丢失或传感器等主要功能部件损坏的设备进行换新</w:t>
      </w:r>
      <w:r>
        <w:rPr>
          <w:rFonts w:hint="eastAsia" w:ascii="宋体" w:hAnsi="宋体" w:eastAsia="宋体" w:cs="宋体"/>
          <w:color w:val="auto"/>
          <w:sz w:val="24"/>
          <w:szCs w:val="24"/>
          <w:highlight w:val="none"/>
          <w:lang w:val="en-US" w:eastAsia="zh-CN"/>
        </w:rPr>
        <w:t>或补装</w:t>
      </w:r>
      <w:r>
        <w:rPr>
          <w:rFonts w:hint="eastAsia" w:ascii="宋体" w:hAnsi="宋体" w:eastAsia="宋体" w:cs="宋体"/>
          <w:color w:val="auto"/>
          <w:sz w:val="24"/>
          <w:szCs w:val="24"/>
          <w:highlight w:val="none"/>
        </w:rPr>
        <w:t>；</w:t>
      </w:r>
    </w:p>
    <w:p w14:paraId="70659AC9">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（2）对因太阳能板、蓄电池等辅助部件损坏或丢失的设备进行维修</w:t>
      </w:r>
      <w:r>
        <w:rPr>
          <w:rFonts w:hint="eastAsia" w:ascii="宋体" w:hAnsi="宋体" w:eastAsia="宋体" w:cs="宋体"/>
          <w:color w:val="auto"/>
          <w:sz w:val="24"/>
          <w:szCs w:val="24"/>
          <w:highlight w:val="none"/>
          <w:lang w:val="en-US" w:eastAsia="zh-CN"/>
        </w:rPr>
        <w:t>或补装</w:t>
      </w:r>
      <w:r>
        <w:rPr>
          <w:rFonts w:hint="eastAsia" w:ascii="宋体" w:hAnsi="宋体" w:eastAsia="宋体" w:cs="宋体"/>
          <w:color w:val="auto"/>
          <w:sz w:val="24"/>
          <w:szCs w:val="24"/>
          <w:highlight w:val="none"/>
        </w:rPr>
        <w:t>；</w:t>
      </w:r>
    </w:p>
    <w:p w14:paraId="20EB6A86">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（3）对损坏的标识牌、围栏等附属设施及时进行维修，对需调整位置的设备进行迁移，对因物联网流量逾期的设备更换甲方提供的物联网卡；</w:t>
      </w:r>
    </w:p>
    <w:p w14:paraId="29674076">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（4）对监测点阈值进行设置和必要调整，调整前征求甲方意见；</w:t>
      </w:r>
    </w:p>
    <w:p w14:paraId="04479A48">
      <w:pPr>
        <w:numPr>
          <w:ilvl w:val="255"/>
          <w:numId w:val="0"/>
        </w:num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（5）对甲方收集到的地市申请应急监测的新增灾险情点位进行设备安装；</w:t>
      </w:r>
    </w:p>
    <w:p w14:paraId="439A71D0">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开展</w:t>
      </w:r>
      <w:r>
        <w:rPr>
          <w:rFonts w:hint="eastAsia" w:ascii="宋体" w:hAnsi="宋体" w:eastAsia="宋体" w:cs="宋体"/>
          <w:color w:val="auto"/>
          <w:sz w:val="24"/>
          <w:szCs w:val="24"/>
          <w:highlight w:val="none"/>
        </w:rPr>
        <w:t>预警信号值守和处置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服务期内按照相关技术要求开展</w:t>
      </w:r>
      <w:r>
        <w:rPr>
          <w:rFonts w:hint="eastAsia" w:ascii="Times New Roman" w:hAnsi="Times New Roman" w:eastAsia="宋体"/>
          <w:color w:val="auto"/>
          <w:kern w:val="0"/>
          <w:sz w:val="24"/>
          <w:szCs w:val="24"/>
          <w:highlight w:val="none"/>
        </w:rPr>
        <w:t>24小时预警值守、初步分析和预警信号处置</w:t>
      </w:r>
      <w:r>
        <w:rPr>
          <w:rFonts w:hint="eastAsia" w:ascii="Times New Roman" w:hAnsi="Times New Roman" w:eastAsia="宋体"/>
          <w:color w:val="auto"/>
          <w:kern w:val="0"/>
          <w:sz w:val="24"/>
          <w:szCs w:val="24"/>
          <w:highlight w:val="none"/>
          <w:lang w:val="en-US" w:eastAsia="zh-CN"/>
        </w:rPr>
        <w:t>等工作</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发现</w:t>
      </w:r>
      <w:r>
        <w:rPr>
          <w:rFonts w:hint="eastAsia" w:ascii="宋体" w:hAnsi="宋体" w:eastAsia="宋体" w:cs="宋体"/>
          <w:color w:val="auto"/>
          <w:sz w:val="24"/>
          <w:szCs w:val="24"/>
          <w:highlight w:val="none"/>
        </w:rPr>
        <w:t>疑似有效预警</w:t>
      </w:r>
      <w:r>
        <w:rPr>
          <w:rFonts w:hint="eastAsia" w:ascii="Times New Roman" w:hAnsi="Times New Roman" w:eastAsia="宋体"/>
          <w:color w:val="auto"/>
          <w:kern w:val="0"/>
          <w:sz w:val="24"/>
          <w:szCs w:val="24"/>
          <w:highlight w:val="none"/>
        </w:rPr>
        <w:t>信息应</w:t>
      </w:r>
      <w:r>
        <w:rPr>
          <w:rFonts w:hint="eastAsia" w:ascii="宋体" w:hAnsi="宋体" w:eastAsia="宋体" w:cs="宋体"/>
          <w:color w:val="auto"/>
          <w:sz w:val="24"/>
          <w:szCs w:val="24"/>
          <w:highlight w:val="none"/>
        </w:rPr>
        <w:t>及时通知相关县区地质灾害防治部门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并同时向甲方报备</w:t>
      </w:r>
      <w:r>
        <w:rPr>
          <w:rFonts w:hint="eastAsia" w:ascii="宋体" w:hAnsi="宋体" w:eastAsia="宋体" w:cs="宋体"/>
          <w:color w:val="auto"/>
          <w:sz w:val="24"/>
          <w:szCs w:val="24"/>
          <w:highlight w:val="none"/>
        </w:rPr>
        <w:t>。</w:t>
      </w:r>
    </w:p>
    <w:p w14:paraId="71F4CCDD">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（7）建立维护中心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建立</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设备维护中心，每个维护中心在汛期（5月-10月）安排不少于2名运维技术人员驻守，提供全天24小时响应服务，维护中心应具备设备检测、维修所需的设备、工具、车辆和技术人员，备件库面积不小于50㎡，各类常规监测设备及配件</w:t>
      </w:r>
      <w:r>
        <w:rPr>
          <w:rFonts w:hint="eastAsia" w:ascii="Times New Roman" w:hAnsi="Times New Roman" w:eastAsia="宋体"/>
          <w:color w:val="auto"/>
          <w:kern w:val="0"/>
          <w:sz w:val="24"/>
          <w:szCs w:val="24"/>
          <w:highlight w:val="none"/>
        </w:rPr>
        <w:t>常备有货，</w:t>
      </w:r>
      <w:r>
        <w:rPr>
          <w:rFonts w:hint="eastAsia" w:ascii="宋体" w:hAnsi="宋体" w:eastAsia="宋体" w:cs="宋体"/>
          <w:color w:val="auto"/>
          <w:sz w:val="24"/>
          <w:szCs w:val="24"/>
          <w:highlight w:val="none"/>
        </w:rPr>
        <w:t>每种不少于10台。</w:t>
      </w:r>
    </w:p>
    <w:p w14:paraId="3688C57D">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（8）野外巡检和日常维护</w:t>
      </w:r>
    </w:p>
    <w:p w14:paraId="07FF5268">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配合甲方对监测点开展坡体变形</w:t>
      </w:r>
      <w:r>
        <w:rPr>
          <w:rFonts w:hint="eastAsia" w:ascii="宋体" w:hAnsi="宋体" w:eastAsia="宋体" w:cs="宋体"/>
          <w:color w:val="auto"/>
          <w:sz w:val="24"/>
          <w:szCs w:val="24"/>
          <w:highlight w:val="none"/>
          <w:lang w:val="en-US" w:eastAsia="zh-CN"/>
        </w:rPr>
        <w:t>调查</w:t>
      </w:r>
      <w:r>
        <w:rPr>
          <w:rFonts w:hint="eastAsia" w:ascii="宋体" w:hAnsi="宋体" w:eastAsia="宋体" w:cs="宋体"/>
          <w:color w:val="auto"/>
          <w:sz w:val="24"/>
          <w:szCs w:val="24"/>
          <w:highlight w:val="none"/>
        </w:rPr>
        <w:t>、设备状态调查、布设位置的合理性判别等，对发现的异常设备及时开展维护工作。</w:t>
      </w:r>
    </w:p>
    <w:p w14:paraId="3165075D">
      <w:pPr>
        <w:numPr>
          <w:ilvl w:val="0"/>
          <w:numId w:val="1"/>
        </w:numPr>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完成监测设备网络设置</w:t>
      </w:r>
    </w:p>
    <w:p w14:paraId="37D80E71">
      <w:pPr>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开展全省监测设备公网IP和端口的设置和调整，确保监测数据接入省地质灾害监测预警信息平台。</w:t>
      </w:r>
    </w:p>
    <w:p w14:paraId="31F704C9">
      <w:pPr>
        <w:pStyle w:val="4"/>
        <w:spacing w:line="560" w:lineRule="exac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2.3 技术要求</w:t>
      </w:r>
    </w:p>
    <w:p w14:paraId="492CE405">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（1）设备在线率要求</w:t>
      </w:r>
    </w:p>
    <w:p w14:paraId="7B2B66CB">
      <w:pPr>
        <w:ind w:firstLine="48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应确保服务区内设备在2026年7月-10月和2027年5月-6月期间，月平均在线率不低于95%，2026年11月-2027年4月期间，月平均在线率不低于90%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月平均预警处置率不低于95%。</w:t>
      </w:r>
    </w:p>
    <w:p w14:paraId="26622AD7">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（2）数据服务要求</w:t>
      </w:r>
    </w:p>
    <w:p w14:paraId="047EEEE8">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w:t>
      </w:r>
      <w:r>
        <w:rPr>
          <w:rFonts w:hint="eastAsia" w:ascii="宋体" w:hAnsi="宋体" w:eastAsia="宋体" w:cs="宋体"/>
          <w:color w:val="auto"/>
          <w:sz w:val="24"/>
          <w:szCs w:val="24"/>
          <w:highlight w:val="none"/>
          <w:lang w:val="en-US" w:eastAsia="zh-CN"/>
        </w:rPr>
        <w:t>地表位移计（</w:t>
      </w:r>
      <w:r>
        <w:rPr>
          <w:rFonts w:hint="eastAsia" w:ascii="宋体" w:hAnsi="宋体" w:eastAsia="宋体" w:cs="宋体"/>
          <w:color w:val="auto"/>
          <w:sz w:val="24"/>
          <w:szCs w:val="24"/>
          <w:highlight w:val="none"/>
        </w:rPr>
        <w:t>GNSS</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监测数据以外，</w:t>
      </w:r>
      <w:r>
        <w:rPr>
          <w:rFonts w:hint="eastAsia" w:ascii="宋体" w:hAnsi="宋体" w:eastAsia="宋体" w:cs="宋体"/>
          <w:color w:val="auto"/>
          <w:sz w:val="24"/>
          <w:szCs w:val="24"/>
          <w:highlight w:val="none"/>
          <w:lang w:eastAsia="zh-CN"/>
        </w:rPr>
        <w:t>换新</w:t>
      </w:r>
      <w:r>
        <w:rPr>
          <w:rFonts w:hint="eastAsia" w:ascii="宋体" w:hAnsi="宋体" w:eastAsia="宋体" w:cs="宋体"/>
          <w:color w:val="auto"/>
          <w:sz w:val="24"/>
          <w:szCs w:val="24"/>
          <w:highlight w:val="none"/>
          <w:lang w:val="en-US" w:eastAsia="zh-CN"/>
        </w:rPr>
        <w:t>和补装</w:t>
      </w:r>
      <w:r>
        <w:rPr>
          <w:rFonts w:hint="eastAsia" w:ascii="宋体" w:hAnsi="宋体" w:eastAsia="宋体" w:cs="宋体"/>
          <w:color w:val="auto"/>
          <w:sz w:val="24"/>
          <w:szCs w:val="24"/>
          <w:highlight w:val="none"/>
        </w:rPr>
        <w:t>的设备应实现数据直发至陕西省地质灾害监测预警信息平台，</w:t>
      </w:r>
      <w:r>
        <w:rPr>
          <w:rFonts w:hint="eastAsia" w:ascii="宋体" w:hAnsi="宋体" w:eastAsia="宋体" w:cs="宋体"/>
          <w:color w:val="auto"/>
          <w:sz w:val="24"/>
          <w:szCs w:val="24"/>
          <w:highlight w:val="none"/>
          <w:lang w:eastAsia="zh-CN"/>
        </w:rPr>
        <w:t>换新</w:t>
      </w:r>
      <w:r>
        <w:rPr>
          <w:rFonts w:hint="eastAsia" w:ascii="宋体" w:hAnsi="宋体" w:eastAsia="宋体" w:cs="宋体"/>
          <w:color w:val="auto"/>
          <w:sz w:val="24"/>
          <w:szCs w:val="24"/>
          <w:highlight w:val="none"/>
          <w:lang w:val="en-US" w:eastAsia="zh-CN"/>
        </w:rPr>
        <w:t>和补装</w:t>
      </w:r>
      <w:r>
        <w:rPr>
          <w:rFonts w:hint="eastAsia" w:ascii="宋体" w:hAnsi="宋体" w:eastAsia="宋体" w:cs="宋体"/>
          <w:color w:val="auto"/>
          <w:sz w:val="24"/>
          <w:szCs w:val="24"/>
          <w:highlight w:val="none"/>
        </w:rPr>
        <w:t>的设备</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rPr>
        <w:t>提供3年</w:t>
      </w:r>
      <w:r>
        <w:rPr>
          <w:rFonts w:hint="eastAsia" w:ascii="宋体" w:hAnsi="宋体" w:eastAsia="宋体" w:cs="宋体"/>
          <w:color w:val="auto"/>
          <w:sz w:val="24"/>
          <w:szCs w:val="24"/>
          <w:highlight w:val="none"/>
          <w:lang w:val="en-US" w:eastAsia="zh-CN"/>
        </w:rPr>
        <w:t>的质保，</w:t>
      </w:r>
      <w:r>
        <w:rPr>
          <w:rFonts w:hint="eastAsia" w:ascii="宋体" w:hAnsi="宋体" w:eastAsia="宋体" w:cs="宋体"/>
          <w:color w:val="auto"/>
          <w:sz w:val="24"/>
          <w:szCs w:val="24"/>
          <w:highlight w:val="none"/>
        </w:rPr>
        <w:t>维修的设备</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rPr>
        <w:t>提供1年</w:t>
      </w:r>
      <w:r>
        <w:rPr>
          <w:rFonts w:hint="eastAsia" w:ascii="宋体" w:hAnsi="宋体" w:eastAsia="宋体" w:cs="宋体"/>
          <w:color w:val="auto"/>
          <w:sz w:val="24"/>
          <w:szCs w:val="24"/>
          <w:highlight w:val="none"/>
          <w:lang w:val="en-US" w:eastAsia="zh-CN"/>
        </w:rPr>
        <w:t>的质保。质保期内提供监测数据服务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预警信号值守</w:t>
      </w:r>
      <w:r>
        <w:rPr>
          <w:rFonts w:hint="eastAsia" w:ascii="宋体" w:hAnsi="宋体" w:eastAsia="宋体" w:cs="宋体"/>
          <w:color w:val="auto"/>
          <w:sz w:val="24"/>
          <w:szCs w:val="24"/>
          <w:highlight w:val="none"/>
          <w:lang w:val="en-US" w:eastAsia="zh-CN"/>
        </w:rPr>
        <w:t>和处置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质保</w:t>
      </w:r>
      <w:r>
        <w:rPr>
          <w:rFonts w:hint="eastAsia" w:ascii="宋体" w:hAnsi="宋体" w:eastAsia="宋体" w:cs="宋体"/>
          <w:color w:val="auto"/>
          <w:sz w:val="24"/>
          <w:szCs w:val="24"/>
          <w:highlight w:val="none"/>
        </w:rPr>
        <w:t>期自设备</w:t>
      </w:r>
      <w:r>
        <w:rPr>
          <w:rFonts w:hint="eastAsia" w:ascii="宋体" w:hAnsi="宋体" w:eastAsia="宋体" w:cs="宋体"/>
          <w:color w:val="auto"/>
          <w:sz w:val="24"/>
          <w:szCs w:val="24"/>
          <w:highlight w:val="none"/>
          <w:lang w:val="en-US" w:eastAsia="zh-CN"/>
        </w:rPr>
        <w:t>维护</w:t>
      </w:r>
      <w:r>
        <w:rPr>
          <w:rFonts w:hint="eastAsia" w:ascii="宋体" w:hAnsi="宋体" w:eastAsia="宋体" w:cs="宋体"/>
          <w:color w:val="auto"/>
          <w:sz w:val="24"/>
          <w:szCs w:val="24"/>
          <w:highlight w:val="none"/>
        </w:rPr>
        <w:t>完成之日起算。</w:t>
      </w:r>
    </w:p>
    <w:p w14:paraId="1A73ED29">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（3）离线设备处理时限要求</w:t>
      </w:r>
    </w:p>
    <w:p w14:paraId="6729E858">
      <w:pPr>
        <w:ind w:firstLine="48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服务期内出现的离线设备应于3日内完成</w:t>
      </w:r>
      <w:r>
        <w:rPr>
          <w:rFonts w:hint="eastAsia" w:ascii="宋体" w:hAnsi="宋体" w:eastAsia="宋体" w:cs="宋体"/>
          <w:color w:val="auto"/>
          <w:sz w:val="24"/>
          <w:szCs w:val="24"/>
          <w:highlight w:val="none"/>
          <w:lang w:val="en-US" w:eastAsia="zh-CN"/>
        </w:rPr>
        <w:t>维修</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val="en-US" w:eastAsia="zh-CN"/>
        </w:rPr>
        <w:t>换新</w:t>
      </w:r>
      <w:r>
        <w:rPr>
          <w:rFonts w:hint="eastAsia" w:ascii="宋体" w:hAnsi="宋体" w:eastAsia="宋体" w:cs="宋体"/>
          <w:color w:val="auto"/>
          <w:sz w:val="24"/>
          <w:szCs w:val="24"/>
          <w:highlight w:val="none"/>
        </w:rPr>
        <w:t>并重新上线，如遇不可抗力等情况，应于不可抗力消除之日起5日内完成。</w:t>
      </w:r>
      <w:r>
        <w:rPr>
          <w:rFonts w:hint="eastAsia" w:ascii="宋体" w:hAnsi="宋体" w:eastAsia="宋体" w:cs="宋体"/>
          <w:color w:val="auto"/>
          <w:sz w:val="24"/>
          <w:szCs w:val="24"/>
          <w:highlight w:val="none"/>
          <w:lang w:val="en-US" w:eastAsia="zh-CN"/>
        </w:rPr>
        <w:t>如同一天内出现同一厂商生产的10台及以上设备整批离线，该批设备处理时限可延长至20日，但仍应保持当月在线率和预警处置率达标。</w:t>
      </w:r>
    </w:p>
    <w:p w14:paraId="6EE0BB73">
      <w:pPr>
        <w:numPr>
          <w:ilvl w:val="0"/>
          <w:numId w:val="2"/>
        </w:num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预警通道要求</w:t>
      </w:r>
    </w:p>
    <w:p w14:paraId="294D28DC">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应确保地表位移计、雨量计、裂缝计、倾角/加速度计、次声计、泥位计等监测设备的预警通道畅通，所有预警信号设定有相应的阈值和短信接收人，高等级预警信号</w:t>
      </w:r>
      <w:r>
        <w:rPr>
          <w:rFonts w:hint="eastAsia" w:ascii="宋体" w:hAnsi="宋体" w:eastAsia="宋体" w:cs="宋体"/>
          <w:color w:val="auto"/>
          <w:sz w:val="24"/>
          <w:szCs w:val="24"/>
          <w:highlight w:val="none"/>
          <w:lang w:val="en-US" w:eastAsia="zh-CN"/>
        </w:rPr>
        <w:t>同时</w:t>
      </w:r>
      <w:r>
        <w:rPr>
          <w:rFonts w:hint="eastAsia" w:ascii="宋体" w:hAnsi="宋体" w:eastAsia="宋体" w:cs="宋体"/>
          <w:color w:val="auto"/>
          <w:sz w:val="24"/>
          <w:szCs w:val="24"/>
          <w:highlight w:val="none"/>
        </w:rPr>
        <w:t>通过预警广播发布。</w:t>
      </w:r>
    </w:p>
    <w:p w14:paraId="698BF738">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（5）技术人员要求</w:t>
      </w:r>
    </w:p>
    <w:p w14:paraId="32BCB63B">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乙方应具备地质灾害防治相关专业技术能力，拥有具备地质相关专业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highlight w:val="none"/>
          <w:lang w:val="en-US" w:eastAsia="zh-CN"/>
        </w:rPr>
        <w:t>水文地质、工程地质、环境地质、地质工程、岩土工程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本科及以上</w:t>
      </w:r>
      <w:r>
        <w:rPr>
          <w:rFonts w:hint="eastAsia" w:ascii="宋体" w:hAnsi="宋体" w:eastAsia="宋体" w:cs="宋体"/>
          <w:color w:val="auto"/>
          <w:sz w:val="24"/>
          <w:szCs w:val="24"/>
          <w:highlight w:val="none"/>
        </w:rPr>
        <w:t>教育背景的专职技术人员。</w:t>
      </w:r>
    </w:p>
    <w:p w14:paraId="611434F3">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（6）设备精度要求</w:t>
      </w:r>
    </w:p>
    <w:p w14:paraId="112655CF">
      <w:pPr>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换新</w:t>
      </w:r>
      <w:r>
        <w:rPr>
          <w:rFonts w:hint="eastAsia" w:ascii="宋体" w:hAnsi="宋体" w:eastAsia="宋体" w:cs="宋体"/>
          <w:color w:val="auto"/>
          <w:sz w:val="24"/>
          <w:szCs w:val="24"/>
          <w:highlight w:val="none"/>
          <w:lang w:val="en-US" w:eastAsia="zh-CN"/>
        </w:rPr>
        <w:t>和补装</w:t>
      </w:r>
      <w:r>
        <w:rPr>
          <w:rFonts w:hint="eastAsia" w:ascii="宋体" w:hAnsi="宋体" w:eastAsia="宋体" w:cs="宋体"/>
          <w:color w:val="auto"/>
          <w:sz w:val="24"/>
          <w:szCs w:val="24"/>
          <w:highlight w:val="none"/>
        </w:rPr>
        <w:t>设备的安装调试按照相关规范执行。</w:t>
      </w:r>
      <w:r>
        <w:rPr>
          <w:rFonts w:hint="eastAsia" w:ascii="宋体" w:hAnsi="宋体" w:eastAsia="宋体" w:cs="宋体"/>
          <w:color w:val="auto"/>
          <w:sz w:val="24"/>
          <w:szCs w:val="24"/>
          <w:highlight w:val="none"/>
          <w:lang w:val="en-US" w:eastAsia="zh-CN"/>
        </w:rPr>
        <w:t>地表位移计（</w:t>
      </w:r>
      <w:r>
        <w:rPr>
          <w:rFonts w:hint="eastAsia" w:ascii="宋体" w:hAnsi="宋体" w:eastAsia="宋体" w:cs="宋体"/>
          <w:color w:val="auto"/>
          <w:sz w:val="24"/>
          <w:szCs w:val="24"/>
          <w:highlight w:val="none"/>
        </w:rPr>
        <w:t>GNSS</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和预警广播可采用铅酸电池，容量不小于100AH；其他设备均应采用锂离子电池供电，并可单独更换；</w:t>
      </w:r>
      <w:r>
        <w:rPr>
          <w:rFonts w:hint="eastAsia" w:ascii="宋体" w:hAnsi="宋体" w:eastAsia="宋体" w:cs="宋体"/>
          <w:color w:val="auto"/>
          <w:sz w:val="24"/>
          <w:szCs w:val="24"/>
          <w:highlight w:val="none"/>
          <w:lang w:val="en-US" w:eastAsia="zh-CN"/>
        </w:rPr>
        <w:t>换新和补装的设备所使用物联网卡需由甲方提供；地表位移计（</w:t>
      </w:r>
      <w:r>
        <w:rPr>
          <w:rFonts w:hint="eastAsia" w:ascii="宋体" w:hAnsi="宋体" w:eastAsia="宋体" w:cs="宋体"/>
          <w:color w:val="auto"/>
          <w:sz w:val="24"/>
          <w:szCs w:val="24"/>
          <w:highlight w:val="none"/>
        </w:rPr>
        <w:t>GNSS</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必须能够实现单独国产卫星定位的功能。相关设备具体参数应符合</w:t>
      </w:r>
      <w:r>
        <w:rPr>
          <w:rFonts w:hint="eastAsia" w:ascii="宋体" w:hAnsi="宋体" w:eastAsia="宋体" w:cs="宋体"/>
          <w:color w:val="auto"/>
          <w:sz w:val="24"/>
          <w:szCs w:val="24"/>
          <w:highlight w:val="none"/>
          <w:lang w:eastAsia="zh-CN"/>
        </w:rPr>
        <w:t>《地质灾害自动化仪器监测预警规范》</w:t>
      </w:r>
      <w:r>
        <w:rPr>
          <w:rFonts w:hint="eastAsia" w:ascii="宋体" w:hAnsi="宋体" w:eastAsia="宋体" w:cs="宋体"/>
          <w:color w:val="auto"/>
          <w:sz w:val="24"/>
          <w:szCs w:val="24"/>
          <w:highlight w:val="none"/>
        </w:rPr>
        <w:t>要求（见附件）</w:t>
      </w:r>
      <w:r>
        <w:rPr>
          <w:rFonts w:hint="eastAsia" w:ascii="宋体" w:hAnsi="宋体" w:eastAsia="宋体" w:cs="宋体"/>
          <w:color w:val="auto"/>
          <w:sz w:val="24"/>
          <w:szCs w:val="24"/>
          <w:highlight w:val="none"/>
          <w:lang w:eastAsia="zh-CN"/>
        </w:rPr>
        <w:t>。</w:t>
      </w:r>
    </w:p>
    <w:bookmarkEnd w:id="1"/>
    <w:p w14:paraId="4C99BCCC">
      <w:pPr>
        <w:pStyle w:val="3"/>
        <w:spacing w:before="156" w:beforeLines="50" w:line="560" w:lineRule="exact"/>
        <w:ind w:firstLine="562"/>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第三条 双方责任与义务</w:t>
      </w:r>
    </w:p>
    <w:p w14:paraId="54C621D1">
      <w:pPr>
        <w:pStyle w:val="10"/>
        <w:widowControl/>
        <w:spacing w:line="560" w:lineRule="exact"/>
        <w:ind w:firstLine="482"/>
        <w:rPr>
          <w:rFonts w:hAnsi="宋体" w:eastAsia="宋体"/>
          <w:b/>
          <w:bCs/>
          <w:color w:val="auto"/>
          <w:kern w:val="2"/>
          <w:sz w:val="24"/>
          <w:szCs w:val="24"/>
          <w:highlight w:val="none"/>
        </w:rPr>
      </w:pPr>
      <w:r>
        <w:rPr>
          <w:rFonts w:hAnsi="宋体" w:eastAsia="宋体"/>
          <w:b/>
          <w:bCs/>
          <w:color w:val="auto"/>
          <w:kern w:val="2"/>
          <w:sz w:val="24"/>
          <w:szCs w:val="24"/>
          <w:highlight w:val="none"/>
        </w:rPr>
        <w:t>3.1 甲方责任及义务</w:t>
      </w:r>
    </w:p>
    <w:p w14:paraId="63E66CE2">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（1）按合同约定向乙方支付费用。</w:t>
      </w:r>
    </w:p>
    <w:p w14:paraId="60A3D851">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（2）应向乙方及时提供物联网卡。</w:t>
      </w:r>
    </w:p>
    <w:p w14:paraId="02F439C9">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（3）应向乙方提供陕西省地质灾害监测预警</w:t>
      </w:r>
      <w:r>
        <w:rPr>
          <w:rFonts w:hint="eastAsia" w:ascii="宋体" w:hAnsi="宋体" w:eastAsia="宋体" w:cs="宋体"/>
          <w:color w:val="auto"/>
          <w:sz w:val="24"/>
          <w:szCs w:val="24"/>
          <w:highlight w:val="none"/>
          <w:lang w:val="en-US" w:eastAsia="zh-CN"/>
        </w:rPr>
        <w:t>信息</w:t>
      </w:r>
      <w:r>
        <w:rPr>
          <w:rFonts w:hint="eastAsia" w:ascii="宋体" w:hAnsi="宋体" w:eastAsia="宋体" w:cs="宋体"/>
          <w:color w:val="auto"/>
          <w:sz w:val="24"/>
          <w:szCs w:val="24"/>
          <w:highlight w:val="none"/>
        </w:rPr>
        <w:t>平台账号，开放设备状态、数据质量和在线率等查询权限，并根据实际情况向乙方提供其他功能权限。</w:t>
      </w:r>
    </w:p>
    <w:p w14:paraId="267A82D5">
      <w:pPr>
        <w:pStyle w:val="10"/>
        <w:widowControl/>
        <w:spacing w:line="560" w:lineRule="exact"/>
        <w:ind w:firstLine="482"/>
        <w:rPr>
          <w:rFonts w:hAnsi="宋体" w:eastAsia="宋体"/>
          <w:b/>
          <w:bCs/>
          <w:color w:val="auto"/>
          <w:kern w:val="2"/>
          <w:sz w:val="24"/>
          <w:szCs w:val="24"/>
          <w:highlight w:val="none"/>
        </w:rPr>
      </w:pPr>
      <w:r>
        <w:rPr>
          <w:rFonts w:hAnsi="宋体" w:eastAsia="宋体"/>
          <w:b/>
          <w:bCs/>
          <w:color w:val="auto"/>
          <w:kern w:val="2"/>
          <w:sz w:val="24"/>
          <w:szCs w:val="24"/>
          <w:highlight w:val="none"/>
        </w:rPr>
        <w:t>3.2 乙方责任及义务</w:t>
      </w:r>
    </w:p>
    <w:p w14:paraId="132AA971">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（1）依据投标文件、合同约定及相关行业技术规范，以高度的责任心，尽职尽责，高质量按时完成合同约定任务。</w:t>
      </w:r>
      <w:r>
        <w:rPr>
          <w:rFonts w:hint="eastAsia" w:ascii="宋体" w:hAnsi="宋体" w:eastAsia="宋体" w:cs="宋体"/>
          <w:color w:val="auto"/>
          <w:sz w:val="24"/>
          <w:szCs w:val="24"/>
          <w:highlight w:val="none"/>
          <w:lang w:val="en-US" w:eastAsia="zh-CN"/>
        </w:rPr>
        <w:t>开展</w:t>
      </w:r>
      <w:r>
        <w:rPr>
          <w:rFonts w:hint="eastAsia" w:ascii="宋体" w:hAnsi="宋体" w:eastAsia="宋体" w:cs="宋体"/>
          <w:color w:val="auto"/>
          <w:sz w:val="24"/>
          <w:szCs w:val="24"/>
          <w:highlight w:val="none"/>
        </w:rPr>
        <w:t>现场检查、设备维护等工作，保留工作底稿和台账。</w:t>
      </w:r>
    </w:p>
    <w:p w14:paraId="5F8E0319">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（2）乙方应根据相关法律法规，为其履行本合同所雇佣的全部人员缴纳工伤保险费、人身意外伤害险及第三者责任险。</w:t>
      </w:r>
      <w:bookmarkStart w:id="2" w:name="OLE_LINK5"/>
      <w:r>
        <w:rPr>
          <w:rFonts w:hint="eastAsia" w:ascii="宋体" w:hAnsi="宋体" w:eastAsia="宋体" w:cs="宋体"/>
          <w:color w:val="auto"/>
          <w:sz w:val="24"/>
          <w:szCs w:val="24"/>
          <w:highlight w:val="none"/>
        </w:rPr>
        <w:t>在合同履行期间，乙方需承担全部安全责任，包括但不限于作业人员的人身安全以及因作业活动导致的第三方人身损害或财产损失等。</w:t>
      </w:r>
      <w:bookmarkEnd w:id="2"/>
    </w:p>
    <w:p w14:paraId="0263D53F">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（3）乙方为完成本合同约定任务所产生的土地补偿费、青苗补偿费等一切费用，均由乙方承担。</w:t>
      </w:r>
    </w:p>
    <w:p w14:paraId="31C761C8">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（4）乙方应及时向甲方报送</w:t>
      </w:r>
      <w:r>
        <w:rPr>
          <w:rFonts w:hint="eastAsia" w:ascii="宋体" w:hAnsi="宋体" w:eastAsia="宋体" w:cs="宋体"/>
          <w:color w:val="auto"/>
          <w:sz w:val="24"/>
          <w:szCs w:val="24"/>
          <w:highlight w:val="none"/>
          <w:lang w:val="en-US" w:eastAsia="zh-CN"/>
        </w:rPr>
        <w:t>周</w:t>
      </w:r>
      <w:r>
        <w:rPr>
          <w:rFonts w:hint="eastAsia" w:ascii="宋体" w:hAnsi="宋体" w:eastAsia="宋体" w:cs="宋体"/>
          <w:color w:val="auto"/>
          <w:sz w:val="24"/>
          <w:szCs w:val="24"/>
          <w:highlight w:val="none"/>
        </w:rPr>
        <w:t>报等工作进展材料，并将工作过程中所遇问题及有关情况及时向甲方反馈。</w:t>
      </w:r>
    </w:p>
    <w:p w14:paraId="4CBDE3E5">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（5）接受、配合甲方和设备布设点所在当地有关部门的</w:t>
      </w:r>
      <w:r>
        <w:rPr>
          <w:rFonts w:hint="eastAsia" w:ascii="宋体" w:hAnsi="宋体" w:eastAsia="宋体" w:cs="宋体"/>
          <w:color w:val="auto"/>
          <w:sz w:val="24"/>
          <w:szCs w:val="24"/>
          <w:highlight w:val="none"/>
          <w:lang w:val="en-US" w:eastAsia="zh-CN"/>
        </w:rPr>
        <w:t>监督检查</w:t>
      </w:r>
      <w:r>
        <w:rPr>
          <w:rFonts w:hint="eastAsia" w:ascii="宋体" w:hAnsi="宋体" w:eastAsia="宋体" w:cs="宋体"/>
          <w:color w:val="auto"/>
          <w:sz w:val="24"/>
          <w:szCs w:val="24"/>
          <w:highlight w:val="none"/>
        </w:rPr>
        <w:t>，接受甲方的整改意见。</w:t>
      </w:r>
      <w:r>
        <w:rPr>
          <w:rFonts w:hint="eastAsia" w:ascii="宋体" w:hAnsi="宋体" w:eastAsia="宋体" w:cs="宋体"/>
          <w:color w:val="auto"/>
          <w:sz w:val="24"/>
          <w:szCs w:val="24"/>
          <w:highlight w:val="none"/>
          <w:lang w:val="en-US" w:eastAsia="zh-CN"/>
        </w:rPr>
        <w:t>如</w:t>
      </w:r>
      <w:r>
        <w:rPr>
          <w:rFonts w:hint="eastAsia" w:ascii="宋体" w:hAnsi="宋体" w:eastAsia="宋体" w:cs="宋体"/>
          <w:color w:val="auto"/>
          <w:sz w:val="24"/>
          <w:szCs w:val="24"/>
          <w:highlight w:val="none"/>
        </w:rPr>
        <w:t>发生地质灾害或安全事件，</w:t>
      </w:r>
      <w:r>
        <w:rPr>
          <w:rFonts w:hint="eastAsia" w:ascii="宋体" w:hAnsi="宋体" w:eastAsia="宋体" w:cs="宋体"/>
          <w:color w:val="auto"/>
          <w:sz w:val="24"/>
          <w:szCs w:val="24"/>
          <w:highlight w:val="none"/>
          <w:lang w:val="en-US" w:eastAsia="zh-CN"/>
        </w:rPr>
        <w:t>需</w:t>
      </w:r>
      <w:r>
        <w:rPr>
          <w:rFonts w:hint="eastAsia" w:ascii="宋体" w:hAnsi="宋体" w:eastAsia="宋体" w:cs="宋体"/>
          <w:color w:val="auto"/>
          <w:sz w:val="24"/>
          <w:szCs w:val="24"/>
          <w:highlight w:val="none"/>
        </w:rPr>
        <w:t>配合有关部门调查。</w:t>
      </w:r>
    </w:p>
    <w:p w14:paraId="33BDD47D">
      <w:pPr>
        <w:pStyle w:val="3"/>
        <w:spacing w:before="156" w:beforeLines="50" w:line="560" w:lineRule="exact"/>
        <w:ind w:firstLine="562"/>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第四条 提交成果与项目验收</w:t>
      </w:r>
    </w:p>
    <w:p w14:paraId="411DC888">
      <w:pPr>
        <w:pStyle w:val="3"/>
        <w:spacing w:line="560" w:lineRule="exac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4.1 提交成果</w:t>
      </w:r>
    </w:p>
    <w:p w14:paraId="0A7B473C">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（1）合同签订后10日内，提交委托业务实施方案；</w:t>
      </w:r>
    </w:p>
    <w:p w14:paraId="18F7D702">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（2）2026年9月30日前，提交委托业务中期总结报告；</w:t>
      </w:r>
    </w:p>
    <w:p w14:paraId="4F52203F">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（3）服务期满前</w:t>
      </w:r>
      <w:r>
        <w:rPr>
          <w:rFonts w:hint="eastAsia" w:hAnsi="宋体" w:eastAsia="宋体"/>
          <w:color w:val="auto"/>
          <w:kern w:val="2"/>
          <w:sz w:val="24"/>
          <w:szCs w:val="24"/>
          <w:highlight w:val="none"/>
          <w:lang w:val="en-US" w:eastAsia="zh-CN"/>
        </w:rPr>
        <w:t>一</w:t>
      </w:r>
      <w:r>
        <w:rPr>
          <w:rFonts w:hAnsi="宋体" w:eastAsia="宋体"/>
          <w:color w:val="auto"/>
          <w:kern w:val="2"/>
          <w:sz w:val="24"/>
          <w:szCs w:val="24"/>
          <w:highlight w:val="none"/>
        </w:rPr>
        <w:t>个月，提交委托业务成果报告；</w:t>
      </w:r>
    </w:p>
    <w:p w14:paraId="52E5D107">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（4）应按甲方要求，及时向甲方提交相关过程资料，包含但不限于：</w:t>
      </w:r>
      <w:r>
        <w:rPr>
          <w:rFonts w:hint="eastAsia" w:hAnsi="宋体" w:eastAsia="宋体"/>
          <w:color w:val="auto"/>
          <w:kern w:val="2"/>
          <w:sz w:val="24"/>
          <w:szCs w:val="24"/>
          <w:highlight w:val="none"/>
          <w:lang w:eastAsia="zh-CN"/>
        </w:rPr>
        <w:t>换新</w:t>
      </w:r>
      <w:r>
        <w:rPr>
          <w:rFonts w:hint="eastAsia" w:hAnsi="宋体" w:eastAsia="宋体"/>
          <w:color w:val="auto"/>
          <w:kern w:val="2"/>
          <w:sz w:val="24"/>
          <w:szCs w:val="24"/>
          <w:highlight w:val="none"/>
          <w:lang w:val="en-US" w:eastAsia="zh-CN"/>
        </w:rPr>
        <w:t>和补装</w:t>
      </w:r>
      <w:r>
        <w:rPr>
          <w:rFonts w:hAnsi="宋体" w:eastAsia="宋体"/>
          <w:color w:val="auto"/>
          <w:kern w:val="2"/>
          <w:sz w:val="24"/>
          <w:szCs w:val="24"/>
          <w:highlight w:val="none"/>
        </w:rPr>
        <w:t>设备清单及合格证、维修维护设备清单、现场记录及照片、整改回执单、服务日志及有关原始凭证等。</w:t>
      </w:r>
    </w:p>
    <w:p w14:paraId="0006C8ED">
      <w:pPr>
        <w:pStyle w:val="3"/>
        <w:spacing w:line="560" w:lineRule="exac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4.2 项目验收</w:t>
      </w:r>
    </w:p>
    <w:p w14:paraId="26387081">
      <w:pPr>
        <w:ind w:firstLine="48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甲方收到乙方提交的验收申请后20日内，组织有关人员进行验收，验收产生的相关费用由乙方承担。</w:t>
      </w:r>
    </w:p>
    <w:p w14:paraId="2ACD667A">
      <w:pPr>
        <w:pStyle w:val="3"/>
        <w:spacing w:before="156" w:beforeLines="50" w:line="560" w:lineRule="exact"/>
        <w:ind w:firstLine="562"/>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第五条 服务费用及付款方式</w:t>
      </w:r>
    </w:p>
    <w:p w14:paraId="7933F00C">
      <w:pPr>
        <w:pStyle w:val="3"/>
        <w:spacing w:line="560" w:lineRule="exact"/>
        <w:ind w:firstLine="482"/>
        <w:rPr>
          <w:rFonts w:hint="eastAsia" w:ascii="宋体" w:hAnsi="宋体" w:eastAsia="宋体" w:cs="宋体"/>
          <w:b/>
          <w:bCs/>
          <w:color w:val="auto"/>
          <w:sz w:val="24"/>
          <w:szCs w:val="24"/>
          <w:highlight w:val="none"/>
        </w:rPr>
      </w:pPr>
      <w:bookmarkStart w:id="3" w:name="OLE_LINK4"/>
      <w:r>
        <w:rPr>
          <w:rFonts w:hint="eastAsia" w:ascii="宋体" w:hAnsi="宋体" w:eastAsia="宋体" w:cs="宋体"/>
          <w:b/>
          <w:bCs/>
          <w:color w:val="auto"/>
          <w:sz w:val="24"/>
          <w:szCs w:val="24"/>
          <w:highlight w:val="none"/>
        </w:rPr>
        <w:t>5.1 合同价款（含税价）</w:t>
      </w:r>
    </w:p>
    <w:p w14:paraId="685A3797">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rPr>
        <w:t>合同金额为：¥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（大写人民币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），涉及超出运维期监测点</w:t>
      </w:r>
      <w:r>
        <w:rPr>
          <w:rFonts w:hint="eastAsia" w:ascii="宋体" w:hAnsi="宋体" w:eastAsia="宋体" w:cs="宋体"/>
          <w:color w:val="auto"/>
          <w:sz w:val="24"/>
          <w:szCs w:val="24"/>
          <w:highlight w:val="none"/>
          <w:lang w:eastAsia="zh-CN"/>
        </w:rPr>
        <w:t>4558</w:t>
      </w:r>
      <w:r>
        <w:rPr>
          <w:rFonts w:hint="eastAsia" w:ascii="宋体" w:hAnsi="宋体" w:eastAsia="宋体" w:cs="宋体"/>
          <w:color w:val="auto"/>
          <w:sz w:val="24"/>
          <w:szCs w:val="24"/>
          <w:highlight w:val="none"/>
        </w:rPr>
        <w:t>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实际支付金额按照设备在线率进行考核支付</w:t>
      </w:r>
      <w:r>
        <w:rPr>
          <w:rFonts w:hint="eastAsia" w:ascii="宋体" w:hAnsi="宋体" w:eastAsia="宋体" w:cs="宋体"/>
          <w:color w:val="auto"/>
          <w:sz w:val="24"/>
          <w:szCs w:val="24"/>
          <w:highlight w:val="none"/>
        </w:rPr>
        <w:t>。</w:t>
      </w:r>
    </w:p>
    <w:p w14:paraId="4C9F10BC">
      <w:pPr>
        <w:pStyle w:val="3"/>
        <w:spacing w:line="560" w:lineRule="exac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5.2 支付方法</w:t>
      </w:r>
    </w:p>
    <w:p w14:paraId="76851CB1">
      <w:pPr>
        <w:ind w:firstLine="48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合同签订后15日内，乙方向甲方缴纳合同金额5%作为履约保证金</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在完成1年服务期后，无息退还乙方履约保证金50%，在完成3年质保期后，无息退还乙方剩余履约保证金50%；合同价款</w:t>
      </w:r>
      <w:r>
        <w:rPr>
          <w:rFonts w:hint="eastAsia" w:asciiTheme="minorEastAsia" w:hAnsiTheme="minorEastAsia" w:eastAsiaTheme="minorEastAsia" w:cstheme="minorEastAsia"/>
          <w:color w:val="auto"/>
          <w:sz w:val="24"/>
          <w:szCs w:val="24"/>
          <w:highlight w:val="none"/>
          <w:lang w:val="en-US" w:eastAsia="zh-CN"/>
        </w:rPr>
        <w:t>自合同签订当月起</w:t>
      </w:r>
      <w:r>
        <w:rPr>
          <w:rFonts w:hint="eastAsia" w:asciiTheme="minorEastAsia" w:hAnsiTheme="minorEastAsia" w:eastAsiaTheme="minorEastAsia" w:cstheme="minorEastAsia"/>
          <w:color w:val="auto"/>
          <w:sz w:val="24"/>
          <w:szCs w:val="24"/>
          <w:highlight w:val="none"/>
        </w:rPr>
        <w:t>分</w:t>
      </w:r>
      <w:r>
        <w:rPr>
          <w:rFonts w:hint="eastAsia" w:asciiTheme="minorEastAsia" w:hAnsiTheme="minorEastAsia" w:eastAsiaTheme="minorEastAsia" w:cstheme="minorEastAsia"/>
          <w:color w:val="auto"/>
          <w:sz w:val="24"/>
          <w:szCs w:val="24"/>
          <w:highlight w:val="none"/>
          <w:lang w:eastAsia="zh-CN"/>
        </w:rPr>
        <w:t>五次</w:t>
      </w:r>
      <w:r>
        <w:rPr>
          <w:rFonts w:hint="eastAsia" w:asciiTheme="minorEastAsia" w:hAnsiTheme="minorEastAsia" w:eastAsiaTheme="minorEastAsia" w:cstheme="minorEastAsia"/>
          <w:color w:val="auto"/>
          <w:sz w:val="24"/>
          <w:szCs w:val="24"/>
          <w:highlight w:val="none"/>
          <w:lang w:val="en-US" w:eastAsia="zh-CN"/>
        </w:rPr>
        <w:t>按月</w:t>
      </w:r>
      <w:r>
        <w:rPr>
          <w:rFonts w:hint="eastAsia" w:asciiTheme="minorEastAsia" w:hAnsiTheme="minorEastAsia" w:eastAsiaTheme="minorEastAsia" w:cstheme="minorEastAsia"/>
          <w:color w:val="auto"/>
          <w:sz w:val="24"/>
          <w:szCs w:val="24"/>
          <w:highlight w:val="none"/>
        </w:rPr>
        <w:t>支付，每次支付基础为</w:t>
      </w:r>
      <w:r>
        <w:rPr>
          <w:rFonts w:hint="eastAsia" w:asciiTheme="minorEastAsia" w:hAnsiTheme="minorEastAsia" w:eastAsiaTheme="minorEastAsia" w:cstheme="minorEastAsia"/>
          <w:color w:val="auto"/>
          <w:sz w:val="24"/>
          <w:szCs w:val="24"/>
          <w:highlight w:val="none"/>
          <w:lang w:val="en-US" w:eastAsia="zh-CN"/>
        </w:rPr>
        <w:t>合同</w:t>
      </w:r>
      <w:r>
        <w:rPr>
          <w:rFonts w:hint="eastAsia" w:asciiTheme="minorEastAsia" w:hAnsiTheme="minorEastAsia" w:eastAsiaTheme="minorEastAsia" w:cstheme="minorEastAsia"/>
          <w:color w:val="auto"/>
          <w:sz w:val="24"/>
          <w:szCs w:val="24"/>
          <w:highlight w:val="none"/>
        </w:rPr>
        <w:t>金额的</w:t>
      </w:r>
      <w:r>
        <w:rPr>
          <w:rFonts w:hint="eastAsia" w:asciiTheme="minorEastAsia" w:hAnsiTheme="minorEastAsia" w:eastAsiaTheme="minorEastAsia" w:cstheme="minorEastAsia"/>
          <w:color w:val="auto"/>
          <w:sz w:val="24"/>
          <w:szCs w:val="24"/>
          <w:highlight w:val="none"/>
          <w:lang w:eastAsia="zh-CN"/>
        </w:rPr>
        <w:t>五分</w:t>
      </w:r>
      <w:r>
        <w:rPr>
          <w:rFonts w:hint="eastAsia" w:asciiTheme="minorEastAsia" w:hAnsiTheme="minorEastAsia" w:eastAsiaTheme="minorEastAsia" w:cstheme="minorEastAsia"/>
          <w:color w:val="auto"/>
          <w:sz w:val="24"/>
          <w:szCs w:val="24"/>
          <w:highlight w:val="none"/>
        </w:rPr>
        <w:t>之一，实际支付比例以当月设备在线率除以</w:t>
      </w:r>
      <w:r>
        <w:rPr>
          <w:rFonts w:hint="eastAsia" w:asciiTheme="minorEastAsia" w:hAnsiTheme="minorEastAsia" w:eastAsiaTheme="minorEastAsia" w:cstheme="minorEastAsia"/>
          <w:color w:val="auto"/>
          <w:sz w:val="24"/>
          <w:szCs w:val="24"/>
          <w:highlight w:val="none"/>
          <w:lang w:val="en-US" w:eastAsia="zh-CN"/>
        </w:rPr>
        <w:t>本合同第二条2.3节（3）款约定的设备在线率达标</w:t>
      </w:r>
      <w:r>
        <w:rPr>
          <w:rFonts w:hint="eastAsia" w:asciiTheme="minorEastAsia" w:hAnsiTheme="minorEastAsia" w:eastAsiaTheme="minorEastAsia" w:cstheme="minorEastAsia"/>
          <w:color w:val="auto"/>
          <w:sz w:val="24"/>
          <w:szCs w:val="24"/>
          <w:highlight w:val="none"/>
        </w:rPr>
        <w:t>标准的百分比支付，</w:t>
      </w:r>
      <w:r>
        <w:rPr>
          <w:rFonts w:hint="eastAsia" w:asciiTheme="minorEastAsia" w:hAnsiTheme="minorEastAsia" w:eastAsiaTheme="minorEastAsia" w:cstheme="minorEastAsia"/>
          <w:color w:val="auto"/>
          <w:sz w:val="24"/>
          <w:szCs w:val="24"/>
          <w:highlight w:val="none"/>
          <w:lang w:val="en-US" w:eastAsia="zh-CN"/>
        </w:rPr>
        <w:t>五次支付总额度不超过合同总金额</w:t>
      </w:r>
      <w:r>
        <w:rPr>
          <w:rFonts w:hint="eastAsia" w:asciiTheme="minorEastAsia" w:hAnsiTheme="minorEastAsia" w:eastAsiaTheme="minorEastAsia" w:cstheme="minorEastAsia"/>
          <w:color w:val="auto"/>
          <w:sz w:val="24"/>
          <w:szCs w:val="24"/>
          <w:highlight w:val="none"/>
        </w:rPr>
        <w:t>。</w:t>
      </w:r>
    </w:p>
    <w:p w14:paraId="368F0565">
      <w:pPr>
        <w:ind w:firstLine="480"/>
        <w:jc w:val="left"/>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每次支付前，乙方应向甲方提供等额增值税普通发票。</w:t>
      </w:r>
    </w:p>
    <w:bookmarkEnd w:id="3"/>
    <w:p w14:paraId="3DA19D99">
      <w:pPr>
        <w:pStyle w:val="3"/>
        <w:spacing w:line="560" w:lineRule="exac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5.3 支付方式</w:t>
      </w:r>
    </w:p>
    <w:p w14:paraId="0D14E92E">
      <w:pPr>
        <w:ind w:firstLine="48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该工作费用以银行转账方式支付。</w:t>
      </w:r>
    </w:p>
    <w:p w14:paraId="362DDD38">
      <w:pPr>
        <w:ind w:firstLine="48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乙方指定收款账户如下：</w:t>
      </w:r>
    </w:p>
    <w:p w14:paraId="4D02CD77">
      <w:pPr>
        <w:ind w:firstLine="480"/>
        <w:jc w:val="left"/>
        <w:rPr>
          <w:rFonts w:hint="eastAsia" w:asciiTheme="minorEastAsia" w:hAnsiTheme="minorEastAsia" w:eastAsiaTheme="minorEastAsia" w:cstheme="minorEastAsia"/>
          <w:color w:val="auto"/>
          <w:sz w:val="24"/>
          <w:szCs w:val="24"/>
          <w:highlight w:val="none"/>
          <w:lang w:val="en-US" w:eastAsia="zh-CN"/>
        </w:rPr>
      </w:pPr>
    </w:p>
    <w:p w14:paraId="413F0435">
      <w:pPr>
        <w:ind w:firstLine="48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甲方开票信息如下：</w:t>
      </w:r>
    </w:p>
    <w:p w14:paraId="3520F006">
      <w:pPr>
        <w:pStyle w:val="3"/>
        <w:spacing w:before="156" w:beforeLines="50" w:line="560" w:lineRule="exact"/>
        <w:ind w:firstLine="562"/>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第六条 保密条款及知识产权</w:t>
      </w:r>
    </w:p>
    <w:p w14:paraId="2BEB8B20">
      <w:pPr>
        <w:spacing w:line="560" w:lineRule="exact"/>
        <w:ind w:firstLine="48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6.1保密义务</w:t>
      </w:r>
    </w:p>
    <w:p w14:paraId="1B042D3F">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应对本合同履行过程中获知的对方所有有形及无形信息资料（包括但不限于书面文件、电子邮件、数据资料等）中的商业秘密或国家秘密承担保密责任。该保密义务自信息获取之日起生效，不因本合同的变更、终止或解除而失效。​</w:t>
      </w:r>
    </w:p>
    <w:p w14:paraId="3FEE7D2B">
      <w:pPr>
        <w:spacing w:line="560" w:lineRule="exact"/>
        <w:ind w:firstLine="48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6.2保密信息使用限制</w:t>
      </w:r>
    </w:p>
    <w:p w14:paraId="571E86C6">
      <w:pPr>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未经甲方书面同意，乙方不得将保密信息用于本合同以外的任何目的，亦不得向任何第三方披露、转让、许可使用该保密信息的全部或部分内容。​​</w:t>
      </w:r>
    </w:p>
    <w:p w14:paraId="49CCA105">
      <w:pPr>
        <w:spacing w:line="560" w:lineRule="exact"/>
        <w:ind w:firstLine="48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6.3知识产权</w:t>
      </w:r>
    </w:p>
    <w:p w14:paraId="3E9DA52B">
      <w:pPr>
        <w:ind w:firstLine="48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乙方使用甲方提供的地质资料、监测数据等形成的知识产权归甲乙双方共同所有。</w:t>
      </w:r>
    </w:p>
    <w:p w14:paraId="5C84A780">
      <w:pPr>
        <w:pStyle w:val="3"/>
        <w:spacing w:before="156" w:beforeLines="50" w:line="560" w:lineRule="exact"/>
        <w:ind w:firstLine="562"/>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第七条 违约责任</w:t>
      </w:r>
    </w:p>
    <w:p w14:paraId="5556F994">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7.1因甲方原因导致合同终止，甲方应向乙方支付已完成工作所发生的实际成本支出；若因乙方原因导致合同终止，乙方需赔偿甲方因合同终止产生的直接、间接全部损失。</w:t>
      </w:r>
    </w:p>
    <w:p w14:paraId="5924F87A">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 xml:space="preserve">7.2 因甲方未按时付款导致项目停滞、延期等后果，由甲方自行承担。 </w:t>
      </w:r>
    </w:p>
    <w:p w14:paraId="15B53894">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7.3 若乙方不能按照本合同的约定按时完成工作内容，提交成果，每逾期一天，乙方按合同总金额的1‰向甲方支付违约金。逾期超过30日的，甲方有权解除合同，乙方应退还全部已支付款项，并承担本合同总金额30%的违约金。</w:t>
      </w:r>
    </w:p>
    <w:p w14:paraId="0DFD3FD1">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7.4 如乙方服务质量不符合合同约定，应于</w:t>
      </w:r>
      <w:r>
        <w:rPr>
          <w:rFonts w:hint="eastAsia" w:hAnsi="宋体" w:eastAsia="宋体"/>
          <w:color w:val="auto"/>
          <w:kern w:val="2"/>
          <w:sz w:val="24"/>
          <w:szCs w:val="24"/>
          <w:highlight w:val="none"/>
          <w:lang w:val="en-US" w:eastAsia="zh-CN"/>
        </w:rPr>
        <w:t>20</w:t>
      </w:r>
      <w:r>
        <w:rPr>
          <w:rFonts w:hAnsi="宋体" w:eastAsia="宋体"/>
          <w:color w:val="auto"/>
          <w:kern w:val="2"/>
          <w:sz w:val="24"/>
          <w:szCs w:val="24"/>
          <w:highlight w:val="none"/>
        </w:rPr>
        <w:t>日内完成整改，经整改后仍不能满足要求，甲方有权解除合同，乙方应退还全部已支付款项，并承担本合同总金额30%的违约金。</w:t>
      </w:r>
    </w:p>
    <w:p w14:paraId="245A9E1F">
      <w:pPr>
        <w:pStyle w:val="10"/>
        <w:rPr>
          <w:rFonts w:hAnsi="宋体" w:eastAsia="宋体"/>
          <w:color w:val="auto"/>
          <w:kern w:val="2"/>
          <w:sz w:val="24"/>
          <w:szCs w:val="24"/>
          <w:highlight w:val="none"/>
        </w:rPr>
      </w:pPr>
      <w:r>
        <w:rPr>
          <w:rFonts w:hAnsi="宋体" w:eastAsia="宋体"/>
          <w:color w:val="auto"/>
          <w:kern w:val="2"/>
          <w:sz w:val="24"/>
          <w:szCs w:val="24"/>
          <w:highlight w:val="none"/>
        </w:rPr>
        <w:t>7.5 若乙方维护的监测点发生</w:t>
      </w:r>
      <w:r>
        <w:rPr>
          <w:rFonts w:hint="eastAsia" w:hAnsi="宋体" w:eastAsia="宋体"/>
          <w:color w:val="auto"/>
          <w:kern w:val="2"/>
          <w:sz w:val="24"/>
          <w:szCs w:val="24"/>
          <w:highlight w:val="none"/>
          <w:lang w:val="en-US" w:eastAsia="zh-CN"/>
        </w:rPr>
        <w:t>地质灾害</w:t>
      </w:r>
      <w:r>
        <w:rPr>
          <w:rFonts w:hAnsi="宋体" w:eastAsia="宋体"/>
          <w:color w:val="auto"/>
          <w:kern w:val="2"/>
          <w:sz w:val="24"/>
          <w:szCs w:val="24"/>
          <w:highlight w:val="none"/>
        </w:rPr>
        <w:t>，同时满足下列两项条件的，乙方应当</w:t>
      </w:r>
      <w:r>
        <w:rPr>
          <w:rFonts w:hint="eastAsia" w:hAnsi="宋体" w:eastAsia="宋体"/>
          <w:color w:val="auto"/>
          <w:kern w:val="2"/>
          <w:sz w:val="24"/>
          <w:szCs w:val="24"/>
          <w:highlight w:val="none"/>
          <w:lang w:val="en-US" w:eastAsia="zh-CN"/>
        </w:rPr>
        <w:t>对</w:t>
      </w:r>
      <w:r>
        <w:rPr>
          <w:rFonts w:hAnsi="宋体" w:eastAsia="宋体"/>
          <w:color w:val="auto"/>
          <w:kern w:val="2"/>
          <w:sz w:val="24"/>
          <w:szCs w:val="24"/>
          <w:highlight w:val="none"/>
        </w:rPr>
        <w:t>该地质灾害承担相应的法律责任：</w:t>
      </w:r>
    </w:p>
    <w:p w14:paraId="0F65256C">
      <w:pPr>
        <w:pStyle w:val="10"/>
        <w:rPr>
          <w:rFonts w:hAnsi="宋体" w:eastAsia="宋体"/>
          <w:color w:val="auto"/>
          <w:kern w:val="2"/>
          <w:sz w:val="24"/>
          <w:szCs w:val="24"/>
          <w:highlight w:val="none"/>
        </w:rPr>
      </w:pPr>
      <w:r>
        <w:rPr>
          <w:rFonts w:hAnsi="宋体" w:eastAsia="宋体"/>
          <w:color w:val="auto"/>
          <w:kern w:val="2"/>
          <w:sz w:val="24"/>
          <w:szCs w:val="24"/>
          <w:highlight w:val="none"/>
        </w:rPr>
        <w:t>（1）该监测点</w:t>
      </w:r>
      <w:r>
        <w:rPr>
          <w:rFonts w:hint="eastAsia" w:hAnsi="宋体" w:eastAsia="宋体"/>
          <w:color w:val="auto"/>
          <w:kern w:val="2"/>
          <w:sz w:val="24"/>
          <w:szCs w:val="24"/>
          <w:highlight w:val="none"/>
          <w:lang w:val="en-US" w:eastAsia="zh-CN"/>
        </w:rPr>
        <w:t>有</w:t>
      </w:r>
      <w:r>
        <w:rPr>
          <w:rFonts w:hAnsi="宋体" w:eastAsia="宋体"/>
          <w:color w:val="auto"/>
          <w:kern w:val="2"/>
          <w:sz w:val="24"/>
          <w:szCs w:val="24"/>
          <w:highlight w:val="none"/>
        </w:rPr>
        <w:t>监测设备处于离线状态；</w:t>
      </w:r>
    </w:p>
    <w:p w14:paraId="18098816">
      <w:pPr>
        <w:pStyle w:val="10"/>
        <w:rPr>
          <w:rFonts w:hAnsi="宋体" w:eastAsia="宋体"/>
          <w:color w:val="auto"/>
          <w:kern w:val="2"/>
          <w:sz w:val="24"/>
          <w:szCs w:val="24"/>
          <w:highlight w:val="none"/>
        </w:rPr>
      </w:pPr>
      <w:r>
        <w:rPr>
          <w:rFonts w:hAnsi="宋体" w:eastAsia="宋体"/>
          <w:color w:val="auto"/>
          <w:kern w:val="2"/>
          <w:sz w:val="24"/>
          <w:szCs w:val="24"/>
          <w:highlight w:val="none"/>
        </w:rPr>
        <w:t>（2）该监测点所在地市当月监测设备平均在线率低于90%。</w:t>
      </w:r>
    </w:p>
    <w:p w14:paraId="57796E9E">
      <w:pPr>
        <w:pStyle w:val="10"/>
        <w:widowControl/>
        <w:shd w:val="clear" w:color="auto" w:fill="FFFFFF"/>
        <w:spacing w:before="144"/>
        <w:jc w:val="left"/>
        <w:rPr>
          <w:rFonts w:hAnsi="宋体" w:eastAsia="宋体"/>
          <w:color w:val="auto"/>
          <w:kern w:val="2"/>
          <w:sz w:val="24"/>
          <w:szCs w:val="24"/>
          <w:highlight w:val="none"/>
        </w:rPr>
      </w:pPr>
      <w:r>
        <w:rPr>
          <w:rFonts w:hAnsi="宋体" w:eastAsia="宋体"/>
          <w:color w:val="auto"/>
          <w:kern w:val="2"/>
          <w:sz w:val="24"/>
          <w:szCs w:val="24"/>
          <w:highlight w:val="none"/>
        </w:rPr>
        <w:t>7.6 若乙方维护的监测点发生</w:t>
      </w:r>
      <w:r>
        <w:rPr>
          <w:rFonts w:hint="eastAsia" w:hAnsi="宋体" w:eastAsia="宋体"/>
          <w:color w:val="auto"/>
          <w:kern w:val="2"/>
          <w:sz w:val="24"/>
          <w:szCs w:val="24"/>
          <w:highlight w:val="none"/>
          <w:lang w:val="en-US" w:eastAsia="zh-CN"/>
        </w:rPr>
        <w:t>地质灾害</w:t>
      </w:r>
      <w:r>
        <w:rPr>
          <w:rFonts w:hAnsi="宋体" w:eastAsia="宋体"/>
          <w:color w:val="auto"/>
          <w:kern w:val="2"/>
          <w:sz w:val="24"/>
          <w:szCs w:val="24"/>
          <w:highlight w:val="none"/>
        </w:rPr>
        <w:t>，同时满足下列两项条件的，乙方应当</w:t>
      </w:r>
      <w:r>
        <w:rPr>
          <w:rFonts w:hint="eastAsia" w:hAnsi="宋体" w:eastAsia="宋体"/>
          <w:color w:val="auto"/>
          <w:kern w:val="2"/>
          <w:sz w:val="24"/>
          <w:szCs w:val="24"/>
          <w:highlight w:val="none"/>
          <w:lang w:val="en-US" w:eastAsia="zh-CN"/>
        </w:rPr>
        <w:t>对</w:t>
      </w:r>
      <w:r>
        <w:rPr>
          <w:rFonts w:hAnsi="宋体" w:eastAsia="宋体"/>
          <w:color w:val="auto"/>
          <w:kern w:val="2"/>
          <w:sz w:val="24"/>
          <w:szCs w:val="24"/>
          <w:highlight w:val="none"/>
        </w:rPr>
        <w:t>该地质灾害承担相应的法律责任：</w:t>
      </w:r>
    </w:p>
    <w:p w14:paraId="090162DA">
      <w:pPr>
        <w:pStyle w:val="10"/>
        <w:widowControl/>
        <w:tabs>
          <w:tab w:val="left" w:pos="720"/>
        </w:tabs>
        <w:spacing w:before="72"/>
        <w:jc w:val="left"/>
        <w:rPr>
          <w:rFonts w:hAnsi="宋体" w:eastAsia="宋体"/>
          <w:color w:val="auto"/>
          <w:kern w:val="2"/>
          <w:sz w:val="24"/>
          <w:szCs w:val="24"/>
          <w:highlight w:val="none"/>
        </w:rPr>
      </w:pPr>
      <w:r>
        <w:rPr>
          <w:rFonts w:hAnsi="宋体" w:eastAsia="宋体"/>
          <w:color w:val="auto"/>
          <w:kern w:val="2"/>
          <w:sz w:val="24"/>
          <w:szCs w:val="24"/>
          <w:highlight w:val="none"/>
        </w:rPr>
        <w:t>（1）该监测点监测设备处于在线状态；</w:t>
      </w:r>
    </w:p>
    <w:p w14:paraId="05CAC237">
      <w:pPr>
        <w:pStyle w:val="10"/>
        <w:rPr>
          <w:rFonts w:hAnsi="宋体" w:eastAsia="宋体"/>
          <w:color w:val="auto"/>
          <w:kern w:val="2"/>
          <w:sz w:val="24"/>
          <w:szCs w:val="24"/>
          <w:highlight w:val="none"/>
        </w:rPr>
      </w:pPr>
      <w:r>
        <w:rPr>
          <w:rFonts w:hAnsi="宋体" w:eastAsia="宋体"/>
          <w:color w:val="auto"/>
          <w:kern w:val="2"/>
          <w:sz w:val="24"/>
          <w:szCs w:val="24"/>
          <w:highlight w:val="none"/>
        </w:rPr>
        <w:t>（2）该监测点未发出预警信号。</w:t>
      </w:r>
    </w:p>
    <w:p w14:paraId="51EE637A">
      <w:pPr>
        <w:pStyle w:val="10"/>
        <w:rPr>
          <w:rFonts w:hAnsi="宋体" w:eastAsia="宋体"/>
          <w:color w:val="auto"/>
          <w:kern w:val="2"/>
          <w:sz w:val="24"/>
          <w:szCs w:val="24"/>
          <w:highlight w:val="none"/>
        </w:rPr>
      </w:pPr>
      <w:r>
        <w:rPr>
          <w:rFonts w:hAnsi="宋体" w:eastAsia="宋体"/>
          <w:color w:val="auto"/>
          <w:kern w:val="2"/>
          <w:sz w:val="24"/>
          <w:szCs w:val="24"/>
          <w:highlight w:val="none"/>
        </w:rPr>
        <w:t>7.7 若乙方未按照本合同</w:t>
      </w:r>
      <w:r>
        <w:rPr>
          <w:rFonts w:hint="eastAsia" w:hAnsi="宋体" w:eastAsia="宋体"/>
          <w:color w:val="auto"/>
          <w:kern w:val="2"/>
          <w:sz w:val="24"/>
          <w:szCs w:val="24"/>
          <w:highlight w:val="none"/>
          <w:lang w:val="en-US" w:eastAsia="zh-CN"/>
        </w:rPr>
        <w:t>第二条</w:t>
      </w:r>
      <w:r>
        <w:rPr>
          <w:rFonts w:hAnsi="宋体" w:eastAsia="宋体"/>
          <w:color w:val="auto"/>
          <w:kern w:val="2"/>
          <w:sz w:val="24"/>
          <w:szCs w:val="24"/>
          <w:highlight w:val="none"/>
        </w:rPr>
        <w:t>2.</w:t>
      </w:r>
      <w:r>
        <w:rPr>
          <w:rFonts w:hint="eastAsia" w:hAnsi="宋体" w:eastAsia="宋体"/>
          <w:color w:val="auto"/>
          <w:kern w:val="2"/>
          <w:sz w:val="24"/>
          <w:szCs w:val="24"/>
          <w:highlight w:val="none"/>
          <w:lang w:val="en-US" w:eastAsia="zh-CN"/>
        </w:rPr>
        <w:t>3</w:t>
      </w:r>
      <w:r>
        <w:rPr>
          <w:rFonts w:hAnsi="宋体" w:eastAsia="宋体"/>
          <w:color w:val="auto"/>
          <w:kern w:val="2"/>
          <w:sz w:val="24"/>
          <w:szCs w:val="24"/>
          <w:highlight w:val="none"/>
        </w:rPr>
        <w:t>节</w:t>
      </w:r>
      <w:r>
        <w:rPr>
          <w:rFonts w:hint="eastAsia" w:hAnsi="宋体" w:eastAsia="宋体"/>
          <w:color w:val="auto"/>
          <w:kern w:val="2"/>
          <w:sz w:val="24"/>
          <w:szCs w:val="24"/>
          <w:highlight w:val="none"/>
          <w:lang w:val="en-US" w:eastAsia="zh-CN"/>
        </w:rPr>
        <w:t>第（3）款离线设备处理时限</w:t>
      </w:r>
      <w:r>
        <w:rPr>
          <w:rFonts w:hAnsi="宋体" w:eastAsia="宋体"/>
          <w:color w:val="auto"/>
          <w:kern w:val="2"/>
          <w:sz w:val="24"/>
          <w:szCs w:val="24"/>
          <w:highlight w:val="none"/>
        </w:rPr>
        <w:t>要求，没有在处理时限内</w:t>
      </w:r>
      <w:r>
        <w:rPr>
          <w:rFonts w:hint="eastAsia" w:hAnsi="宋体" w:eastAsia="宋体"/>
          <w:color w:val="auto"/>
          <w:kern w:val="2"/>
          <w:sz w:val="24"/>
          <w:szCs w:val="24"/>
          <w:highlight w:val="none"/>
          <w:lang w:val="en-US" w:eastAsia="zh-CN"/>
        </w:rPr>
        <w:t>对离线设备</w:t>
      </w:r>
      <w:r>
        <w:rPr>
          <w:rFonts w:hAnsi="宋体" w:eastAsia="宋体"/>
          <w:color w:val="auto"/>
          <w:kern w:val="2"/>
          <w:sz w:val="24"/>
          <w:szCs w:val="24"/>
          <w:highlight w:val="none"/>
        </w:rPr>
        <w:t>完成维护重新上线，乙方应</w:t>
      </w:r>
      <w:r>
        <w:rPr>
          <w:rFonts w:hint="eastAsia" w:hAnsi="宋体" w:eastAsia="宋体"/>
          <w:color w:val="auto"/>
          <w:kern w:val="2"/>
          <w:sz w:val="24"/>
          <w:szCs w:val="24"/>
          <w:highlight w:val="none"/>
          <w:lang w:val="en-US" w:eastAsia="zh-CN"/>
        </w:rPr>
        <w:t>对该设备离线期间所在监测点发生的</w:t>
      </w:r>
      <w:r>
        <w:rPr>
          <w:rFonts w:hAnsi="宋体" w:eastAsia="宋体"/>
          <w:color w:val="auto"/>
          <w:kern w:val="2"/>
          <w:sz w:val="24"/>
          <w:szCs w:val="24"/>
          <w:highlight w:val="none"/>
        </w:rPr>
        <w:t>地质灾害承担相应的法律责任。</w:t>
      </w:r>
    </w:p>
    <w:p w14:paraId="1E8B927B">
      <w:pPr>
        <w:pStyle w:val="3"/>
        <w:spacing w:before="156" w:beforeLines="50" w:line="560" w:lineRule="exact"/>
        <w:ind w:firstLine="562"/>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第八条 免责条件</w:t>
      </w:r>
    </w:p>
    <w:p w14:paraId="146C0CCA">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8.1 发生不可抗力造成延误，合同履行期限应自动延长或解除合同，双方无需为此承担违约责任。</w:t>
      </w:r>
    </w:p>
    <w:p w14:paraId="27F97216">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8.2 提出受不可抗力影响的一方应及时书面通知对方，并且在随后的15日内向对方提供不可抗力发生和持续期间的充分证据。</w:t>
      </w:r>
    </w:p>
    <w:p w14:paraId="12D3436B">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8.3 发生不可抗力的，双方应立即进行评审，寻求合理的解决方案，并且要尽一切合理努力将不可抗力造成的损失降低到最低程度。</w:t>
      </w:r>
    </w:p>
    <w:p w14:paraId="303BFC25">
      <w:pPr>
        <w:pStyle w:val="3"/>
        <w:spacing w:before="156" w:beforeLines="50" w:line="560" w:lineRule="exact"/>
        <w:ind w:firstLine="562"/>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第九条 通知和送达</w:t>
      </w:r>
    </w:p>
    <w:p w14:paraId="2D44F2DE">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9.1 甲乙双方因履行本合同而相互发出或者提供的所有通知、文件、资料，均以后面列明的住所地送达，一方如果迁址或者变更电话，应当书面通知对方。</w:t>
      </w:r>
    </w:p>
    <w:p w14:paraId="45BA3189">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9.2 通过传真方式的，在发出传真时视为送达；以邮寄方式的，挂号寄出或者投邮收到当日视为送达；以电子邮箱方式的，邮件发送成功并通知对方后视为送达。</w:t>
      </w:r>
    </w:p>
    <w:p w14:paraId="02044617">
      <w:pPr>
        <w:pStyle w:val="3"/>
        <w:spacing w:before="156" w:beforeLines="50" w:line="560" w:lineRule="exact"/>
        <w:ind w:firstLine="562"/>
        <w:outlineLvl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第十条 其他</w:t>
      </w:r>
    </w:p>
    <w:p w14:paraId="089667B7">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10.1 本合同一式六份，甲乙双方各执三份，具有同等法律效力。</w:t>
      </w:r>
    </w:p>
    <w:p w14:paraId="04B67C29">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10.2 本合同有效期自签订之日起一年。</w:t>
      </w:r>
    </w:p>
    <w:p w14:paraId="3AEFA82C">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10.3 甲乙双方应严格遵守国家、行业主管部门有关法律法规和党风廉政建设的各项规定，严格执行合同文件，自觉按合同办事。如发现对方在业务活动中可能有违规、违纪、违法行为的，应及时提醒对方。情节严重的，应向其上级主管部门或纪检监察部门举报。</w:t>
      </w:r>
    </w:p>
    <w:p w14:paraId="7B54B416">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10.4 甲乙双方如果发生争议，应当友好协商解决。如协商不成，任何一方均有权向原告所在地人民法院提起诉讼。</w:t>
      </w:r>
    </w:p>
    <w:p w14:paraId="209650EE">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10.5 依照法律规定或者甲乙双方经协商同意，可以变更或者解除本合同。</w:t>
      </w:r>
    </w:p>
    <w:p w14:paraId="2E73C52F">
      <w:pPr>
        <w:pStyle w:val="10"/>
        <w:widowControl/>
        <w:rPr>
          <w:rFonts w:hAnsi="宋体" w:eastAsia="宋体"/>
          <w:color w:val="auto"/>
          <w:kern w:val="2"/>
          <w:sz w:val="24"/>
          <w:szCs w:val="24"/>
          <w:highlight w:val="none"/>
        </w:rPr>
      </w:pPr>
      <w:r>
        <w:rPr>
          <w:rFonts w:hAnsi="宋体" w:eastAsia="宋体"/>
          <w:color w:val="auto"/>
          <w:kern w:val="2"/>
          <w:sz w:val="24"/>
          <w:szCs w:val="24"/>
          <w:highlight w:val="none"/>
        </w:rPr>
        <w:t>10.6 本合同未尽事宜，经合同双方协商签订补充合同。补充合同不得与国家有关文件规定相冲突。补充合同与本合同具有同等法律效力。</w:t>
      </w:r>
    </w:p>
    <w:p w14:paraId="170797D9">
      <w:pPr>
        <w:spacing w:line="560" w:lineRule="exact"/>
        <w:ind w:firstLine="562"/>
        <w:rPr>
          <w:rFonts w:hint="eastAsia" w:ascii="宋体" w:hAnsi="宋体" w:eastAsia="宋体" w:cs="宋体"/>
          <w:b/>
          <w:bCs/>
          <w:color w:val="auto"/>
          <w:sz w:val="28"/>
          <w:szCs w:val="28"/>
          <w:highlight w:val="none"/>
          <w:u w:val="single"/>
        </w:rPr>
        <w:sectPr>
          <w:footerReference r:id="rId3" w:type="default"/>
          <w:pgSz w:w="11906" w:h="16838"/>
          <w:pgMar w:top="1440" w:right="1803" w:bottom="1440" w:left="1803" w:header="851" w:footer="992" w:gutter="0"/>
          <w:cols w:space="425" w:num="1"/>
          <w:docGrid w:type="lines" w:linePitch="312" w:charSpace="0"/>
        </w:sectPr>
      </w:pPr>
      <w:r>
        <w:rPr>
          <w:rFonts w:hint="eastAsia" w:ascii="宋体" w:hAnsi="宋体" w:eastAsia="宋体" w:cs="宋体"/>
          <w:b/>
          <w:bCs/>
          <w:color w:val="auto"/>
          <w:sz w:val="28"/>
          <w:szCs w:val="28"/>
          <w:highlight w:val="none"/>
          <w:u w:val="single"/>
        </w:rPr>
        <w:t>（以下无正文，为本合同签字盖章部分）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2896"/>
        <w:gridCol w:w="1302"/>
        <w:gridCol w:w="3073"/>
      </w:tblGrid>
      <w:tr w14:paraId="33A26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4147" w:type="dxa"/>
            <w:gridSpan w:val="2"/>
            <w:vAlign w:val="center"/>
          </w:tcPr>
          <w:p w14:paraId="4AC34ED6">
            <w:pPr>
              <w:spacing w:line="560" w:lineRule="exact"/>
              <w:ind w:firstLine="0" w:firstLineChars="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甲  方</w:t>
            </w:r>
          </w:p>
        </w:tc>
        <w:tc>
          <w:tcPr>
            <w:tcW w:w="4375" w:type="dxa"/>
            <w:gridSpan w:val="2"/>
            <w:vAlign w:val="center"/>
          </w:tcPr>
          <w:p w14:paraId="6C9BBAC8">
            <w:pPr>
              <w:spacing w:line="560" w:lineRule="exact"/>
              <w:ind w:firstLine="0" w:firstLineChars="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乙  方</w:t>
            </w:r>
          </w:p>
        </w:tc>
      </w:tr>
      <w:tr w14:paraId="0C5D0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251" w:type="dxa"/>
            <w:vAlign w:val="center"/>
          </w:tcPr>
          <w:p w14:paraId="26B62ECF">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单位名称（盖章）</w:t>
            </w:r>
          </w:p>
        </w:tc>
        <w:tc>
          <w:tcPr>
            <w:tcW w:w="2896" w:type="dxa"/>
            <w:vAlign w:val="center"/>
          </w:tcPr>
          <w:p w14:paraId="4767CB78">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陕西省地质环境监测总站</w:t>
            </w:r>
          </w:p>
          <w:p w14:paraId="423BC213">
            <w:pPr>
              <w:pStyle w:val="2"/>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（陕西省地质灾害中心）</w:t>
            </w:r>
          </w:p>
        </w:tc>
        <w:tc>
          <w:tcPr>
            <w:tcW w:w="1302" w:type="dxa"/>
            <w:vAlign w:val="center"/>
          </w:tcPr>
          <w:p w14:paraId="777ED91F">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单位名称（盖章）</w:t>
            </w:r>
          </w:p>
        </w:tc>
        <w:tc>
          <w:tcPr>
            <w:tcW w:w="3073" w:type="dxa"/>
            <w:vAlign w:val="center"/>
          </w:tcPr>
          <w:p w14:paraId="6ACD67BD">
            <w:pPr>
              <w:spacing w:line="240" w:lineRule="auto"/>
              <w:ind w:firstLine="0" w:firstLineChars="0"/>
              <w:rPr>
                <w:rFonts w:hint="eastAsia" w:ascii="宋体" w:hAnsi="宋体" w:eastAsia="宋体" w:cs="宋体"/>
                <w:color w:val="auto"/>
                <w:sz w:val="24"/>
                <w:szCs w:val="21"/>
                <w:highlight w:val="none"/>
              </w:rPr>
            </w:pPr>
          </w:p>
        </w:tc>
      </w:tr>
      <w:tr w14:paraId="5D51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exact"/>
          <w:jc w:val="center"/>
        </w:trPr>
        <w:tc>
          <w:tcPr>
            <w:tcW w:w="1251" w:type="dxa"/>
            <w:vAlign w:val="center"/>
          </w:tcPr>
          <w:p w14:paraId="163C3DE9">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法人或委托代理人（签字）</w:t>
            </w:r>
          </w:p>
        </w:tc>
        <w:tc>
          <w:tcPr>
            <w:tcW w:w="2896" w:type="dxa"/>
            <w:vAlign w:val="center"/>
          </w:tcPr>
          <w:p w14:paraId="78BCDDEA">
            <w:pPr>
              <w:spacing w:line="240" w:lineRule="auto"/>
              <w:ind w:firstLine="480"/>
              <w:jc w:val="center"/>
              <w:rPr>
                <w:rFonts w:hint="eastAsia" w:ascii="宋体" w:hAnsi="宋体" w:eastAsia="宋体" w:cs="宋体"/>
                <w:color w:val="auto"/>
                <w:sz w:val="24"/>
                <w:szCs w:val="21"/>
                <w:highlight w:val="none"/>
              </w:rPr>
            </w:pPr>
          </w:p>
        </w:tc>
        <w:tc>
          <w:tcPr>
            <w:tcW w:w="1302" w:type="dxa"/>
            <w:vAlign w:val="center"/>
          </w:tcPr>
          <w:p w14:paraId="0C1A2F97">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法人或委托代理人（签字）</w:t>
            </w:r>
          </w:p>
        </w:tc>
        <w:tc>
          <w:tcPr>
            <w:tcW w:w="3073" w:type="dxa"/>
            <w:vAlign w:val="center"/>
          </w:tcPr>
          <w:p w14:paraId="218F00AB">
            <w:pPr>
              <w:spacing w:line="240" w:lineRule="auto"/>
              <w:ind w:firstLine="480"/>
              <w:jc w:val="center"/>
              <w:rPr>
                <w:rFonts w:hint="eastAsia" w:ascii="宋体" w:hAnsi="宋体" w:eastAsia="宋体" w:cs="宋体"/>
                <w:color w:val="auto"/>
                <w:sz w:val="24"/>
                <w:szCs w:val="21"/>
                <w:highlight w:val="none"/>
              </w:rPr>
            </w:pPr>
          </w:p>
        </w:tc>
      </w:tr>
      <w:tr w14:paraId="33A4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exact"/>
          <w:jc w:val="center"/>
        </w:trPr>
        <w:tc>
          <w:tcPr>
            <w:tcW w:w="1251" w:type="dxa"/>
            <w:vAlign w:val="center"/>
          </w:tcPr>
          <w:p w14:paraId="392F47E6">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联系人</w:t>
            </w:r>
          </w:p>
        </w:tc>
        <w:tc>
          <w:tcPr>
            <w:tcW w:w="2896" w:type="dxa"/>
            <w:vAlign w:val="center"/>
          </w:tcPr>
          <w:p w14:paraId="2D41AC6C">
            <w:pPr>
              <w:spacing w:line="240" w:lineRule="auto"/>
              <w:ind w:firstLine="480"/>
              <w:jc w:val="center"/>
              <w:rPr>
                <w:rFonts w:hint="eastAsia" w:ascii="宋体" w:hAnsi="宋体" w:eastAsia="宋体" w:cs="宋体"/>
                <w:color w:val="auto"/>
                <w:sz w:val="24"/>
                <w:szCs w:val="21"/>
                <w:highlight w:val="none"/>
              </w:rPr>
            </w:pPr>
          </w:p>
        </w:tc>
        <w:tc>
          <w:tcPr>
            <w:tcW w:w="1302" w:type="dxa"/>
            <w:vAlign w:val="center"/>
          </w:tcPr>
          <w:p w14:paraId="0A6063ED">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联系人</w:t>
            </w:r>
          </w:p>
        </w:tc>
        <w:tc>
          <w:tcPr>
            <w:tcW w:w="3073" w:type="dxa"/>
            <w:vAlign w:val="center"/>
          </w:tcPr>
          <w:p w14:paraId="47363A44">
            <w:pPr>
              <w:spacing w:line="240" w:lineRule="auto"/>
              <w:ind w:firstLine="480"/>
              <w:jc w:val="center"/>
              <w:rPr>
                <w:rFonts w:hint="eastAsia" w:ascii="宋体" w:hAnsi="宋体" w:eastAsia="宋体" w:cs="宋体"/>
                <w:color w:val="auto"/>
                <w:sz w:val="24"/>
                <w:szCs w:val="21"/>
                <w:highlight w:val="none"/>
              </w:rPr>
            </w:pPr>
          </w:p>
        </w:tc>
      </w:tr>
      <w:tr w14:paraId="605C4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exact"/>
          <w:jc w:val="center"/>
        </w:trPr>
        <w:tc>
          <w:tcPr>
            <w:tcW w:w="1251" w:type="dxa"/>
            <w:vAlign w:val="center"/>
          </w:tcPr>
          <w:p w14:paraId="1E373E69">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通讯地址</w:t>
            </w:r>
          </w:p>
        </w:tc>
        <w:tc>
          <w:tcPr>
            <w:tcW w:w="2896" w:type="dxa"/>
            <w:vAlign w:val="center"/>
          </w:tcPr>
          <w:p w14:paraId="472E459C">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西安市雁塔北路100号</w:t>
            </w:r>
          </w:p>
        </w:tc>
        <w:tc>
          <w:tcPr>
            <w:tcW w:w="1302" w:type="dxa"/>
            <w:vAlign w:val="center"/>
          </w:tcPr>
          <w:p w14:paraId="685FB0D8">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通讯地址</w:t>
            </w:r>
          </w:p>
        </w:tc>
        <w:tc>
          <w:tcPr>
            <w:tcW w:w="3073" w:type="dxa"/>
            <w:vAlign w:val="center"/>
          </w:tcPr>
          <w:p w14:paraId="50FD6224">
            <w:pPr>
              <w:spacing w:line="240" w:lineRule="auto"/>
              <w:ind w:firstLine="480"/>
              <w:jc w:val="center"/>
              <w:rPr>
                <w:rFonts w:hint="eastAsia" w:ascii="宋体" w:hAnsi="宋体" w:eastAsia="宋体" w:cs="宋体"/>
                <w:color w:val="auto"/>
                <w:sz w:val="24"/>
                <w:szCs w:val="21"/>
                <w:highlight w:val="none"/>
              </w:rPr>
            </w:pPr>
          </w:p>
        </w:tc>
      </w:tr>
      <w:tr w14:paraId="120E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51" w:type="dxa"/>
            <w:vAlign w:val="center"/>
          </w:tcPr>
          <w:p w14:paraId="6CC4D7EF">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电话</w:t>
            </w:r>
          </w:p>
          <w:p w14:paraId="62AFA51F">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（传真）</w:t>
            </w:r>
          </w:p>
        </w:tc>
        <w:tc>
          <w:tcPr>
            <w:tcW w:w="2896" w:type="dxa"/>
            <w:vAlign w:val="center"/>
          </w:tcPr>
          <w:p w14:paraId="73A7620C">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029-87851090</w:t>
            </w:r>
          </w:p>
        </w:tc>
        <w:tc>
          <w:tcPr>
            <w:tcW w:w="1302" w:type="dxa"/>
            <w:vAlign w:val="center"/>
          </w:tcPr>
          <w:p w14:paraId="1AF75A9D">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电话</w:t>
            </w:r>
          </w:p>
          <w:p w14:paraId="5A2F89DB">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（传真）</w:t>
            </w:r>
          </w:p>
        </w:tc>
        <w:tc>
          <w:tcPr>
            <w:tcW w:w="3073" w:type="dxa"/>
            <w:vAlign w:val="center"/>
          </w:tcPr>
          <w:p w14:paraId="7BF32B01">
            <w:pPr>
              <w:spacing w:line="240" w:lineRule="auto"/>
              <w:ind w:firstLine="0" w:firstLineChars="0"/>
              <w:jc w:val="center"/>
              <w:rPr>
                <w:rFonts w:hint="eastAsia" w:ascii="宋体" w:hAnsi="宋体" w:eastAsia="宋体" w:cs="宋体"/>
                <w:color w:val="auto"/>
                <w:sz w:val="24"/>
                <w:szCs w:val="21"/>
                <w:highlight w:val="none"/>
              </w:rPr>
            </w:pPr>
          </w:p>
        </w:tc>
      </w:tr>
      <w:tr w14:paraId="23461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exact"/>
          <w:jc w:val="center"/>
        </w:trPr>
        <w:tc>
          <w:tcPr>
            <w:tcW w:w="1251" w:type="dxa"/>
            <w:vAlign w:val="center"/>
          </w:tcPr>
          <w:p w14:paraId="2D095021">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开户银行</w:t>
            </w:r>
          </w:p>
        </w:tc>
        <w:tc>
          <w:tcPr>
            <w:tcW w:w="2896" w:type="dxa"/>
            <w:vAlign w:val="center"/>
          </w:tcPr>
          <w:p w14:paraId="2F12070F">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建行西安和平门支行</w:t>
            </w:r>
          </w:p>
        </w:tc>
        <w:tc>
          <w:tcPr>
            <w:tcW w:w="1302" w:type="dxa"/>
            <w:vAlign w:val="center"/>
          </w:tcPr>
          <w:p w14:paraId="79219B4F">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开户银行</w:t>
            </w:r>
          </w:p>
        </w:tc>
        <w:tc>
          <w:tcPr>
            <w:tcW w:w="3073" w:type="dxa"/>
            <w:vAlign w:val="center"/>
          </w:tcPr>
          <w:p w14:paraId="611B5F77">
            <w:pPr>
              <w:spacing w:line="240" w:lineRule="auto"/>
              <w:ind w:firstLine="0" w:firstLineChars="0"/>
              <w:rPr>
                <w:rFonts w:hint="eastAsia" w:ascii="宋体" w:hAnsi="宋体" w:eastAsia="宋体" w:cs="宋体"/>
                <w:color w:val="auto"/>
                <w:sz w:val="24"/>
                <w:szCs w:val="21"/>
                <w:highlight w:val="none"/>
              </w:rPr>
            </w:pPr>
          </w:p>
        </w:tc>
      </w:tr>
      <w:tr w14:paraId="0E015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51" w:type="dxa"/>
            <w:vAlign w:val="center"/>
          </w:tcPr>
          <w:p w14:paraId="0F4BB27F">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账号</w:t>
            </w:r>
          </w:p>
        </w:tc>
        <w:tc>
          <w:tcPr>
            <w:tcW w:w="2896" w:type="dxa"/>
            <w:vAlign w:val="center"/>
          </w:tcPr>
          <w:p w14:paraId="664D991F">
            <w:pPr>
              <w:spacing w:line="240" w:lineRule="auto"/>
              <w:ind w:firstLine="0" w:firstLineChar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61001763700052501033</w:t>
            </w:r>
          </w:p>
        </w:tc>
        <w:tc>
          <w:tcPr>
            <w:tcW w:w="1302" w:type="dxa"/>
            <w:vAlign w:val="center"/>
          </w:tcPr>
          <w:p w14:paraId="23E953C9">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账号</w:t>
            </w:r>
          </w:p>
        </w:tc>
        <w:tc>
          <w:tcPr>
            <w:tcW w:w="3073" w:type="dxa"/>
            <w:vAlign w:val="center"/>
          </w:tcPr>
          <w:p w14:paraId="31E8252A">
            <w:pPr>
              <w:spacing w:line="240" w:lineRule="auto"/>
              <w:ind w:firstLine="0" w:firstLineChars="0"/>
              <w:jc w:val="center"/>
              <w:rPr>
                <w:rFonts w:hint="eastAsia" w:ascii="宋体" w:hAnsi="宋体" w:eastAsia="宋体" w:cs="宋体"/>
                <w:color w:val="auto"/>
                <w:sz w:val="24"/>
                <w:szCs w:val="21"/>
                <w:highlight w:val="none"/>
              </w:rPr>
            </w:pPr>
          </w:p>
        </w:tc>
      </w:tr>
      <w:tr w14:paraId="0AD5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51" w:type="dxa"/>
            <w:vAlign w:val="center"/>
          </w:tcPr>
          <w:p w14:paraId="4535D23A">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日期</w:t>
            </w:r>
          </w:p>
        </w:tc>
        <w:tc>
          <w:tcPr>
            <w:tcW w:w="2896" w:type="dxa"/>
            <w:vAlign w:val="center"/>
          </w:tcPr>
          <w:p w14:paraId="08EC7B11">
            <w:pPr>
              <w:spacing w:line="240" w:lineRule="auto"/>
              <w:ind w:firstLine="48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年   月   日</w:t>
            </w:r>
          </w:p>
        </w:tc>
        <w:tc>
          <w:tcPr>
            <w:tcW w:w="1302" w:type="dxa"/>
            <w:vAlign w:val="center"/>
          </w:tcPr>
          <w:p w14:paraId="385D0538">
            <w:pPr>
              <w:spacing w:line="240" w:lineRule="auto"/>
              <w:ind w:firstLine="0" w:firstLineChars="0"/>
              <w:jc w:val="center"/>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日期</w:t>
            </w:r>
          </w:p>
        </w:tc>
        <w:tc>
          <w:tcPr>
            <w:tcW w:w="3073" w:type="dxa"/>
            <w:vAlign w:val="center"/>
          </w:tcPr>
          <w:p w14:paraId="6E573089">
            <w:pPr>
              <w:spacing w:line="240" w:lineRule="auto"/>
              <w:ind w:firstLine="48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年   月   日</w:t>
            </w:r>
          </w:p>
        </w:tc>
      </w:tr>
    </w:tbl>
    <w:p w14:paraId="54DA19CE">
      <w:pPr>
        <w:pStyle w:val="6"/>
        <w:spacing w:line="560" w:lineRule="exact"/>
        <w:ind w:firstLine="560"/>
        <w:rPr>
          <w:color w:val="auto"/>
          <w:highlight w:val="none"/>
        </w:rPr>
        <w:sectPr>
          <w:pgSz w:w="11906" w:h="16838"/>
          <w:pgMar w:top="1134" w:right="1134" w:bottom="1134" w:left="1134" w:header="851" w:footer="992" w:gutter="0"/>
          <w:cols w:space="425" w:num="1"/>
          <w:docGrid w:type="lines" w:linePitch="312" w:charSpace="0"/>
        </w:sectPr>
      </w:pPr>
    </w:p>
    <w:p w14:paraId="4BFFD54F">
      <w:pPr>
        <w:rPr>
          <w:rFonts w:hint="eastAsia"/>
          <w:color w:val="auto"/>
          <w:highlight w:val="none"/>
        </w:rPr>
      </w:pPr>
    </w:p>
    <w:p w14:paraId="56FA6ACF">
      <w:pPr>
        <w:pStyle w:val="6"/>
        <w:spacing w:line="560" w:lineRule="exact"/>
        <w:ind w:firstLine="0" w:firstLineChars="0"/>
        <w:rPr>
          <w:color w:val="auto"/>
          <w:highlight w:val="none"/>
        </w:rPr>
      </w:pPr>
      <w:r>
        <w:rPr>
          <w:rFonts w:hint="eastAsia"/>
          <w:color w:val="auto"/>
          <w:highlight w:val="none"/>
        </w:rPr>
        <w:t>附件</w:t>
      </w:r>
    </w:p>
    <w:p w14:paraId="18D59F2F">
      <w:pPr>
        <w:pStyle w:val="3"/>
        <w:ind w:firstLine="482"/>
        <w:jc w:val="center"/>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监测设备技术指标</w:t>
      </w:r>
    </w:p>
    <w:p w14:paraId="2713FC64">
      <w:pPr>
        <w:pStyle w:val="3"/>
        <w:ind w:firstLine="482"/>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GNSS基准站：</w:t>
      </w:r>
    </w:p>
    <w:p w14:paraId="21B2EB7D">
      <w:pPr>
        <w:ind w:firstLine="420"/>
        <w:jc w:val="center"/>
        <w:rPr>
          <w:rFonts w:hint="eastAsia" w:asciiTheme="minorEastAsia" w:hAnsiTheme="minorEastAsia" w:eastAsiaTheme="minorEastAsia" w:cstheme="minorEastAsia"/>
          <w:color w:val="auto"/>
          <w:sz w:val="21"/>
          <w:szCs w:val="21"/>
          <w:highlight w:val="none"/>
          <w:shd w:val="clear" w:color="FFFFFF" w:fill="D9D9D9"/>
        </w:rPr>
      </w:pPr>
      <w:r>
        <w:rPr>
          <w:rFonts w:hint="eastAsia" w:asciiTheme="minorEastAsia" w:hAnsiTheme="minorEastAsia" w:eastAsiaTheme="minorEastAsia" w:cstheme="minorEastAsia"/>
          <w:color w:val="auto"/>
          <w:sz w:val="21"/>
          <w:szCs w:val="21"/>
          <w:highlight w:val="none"/>
        </w:rPr>
        <w:t>GNSS基准站技术指标</w:t>
      </w:r>
    </w:p>
    <w:tbl>
      <w:tblPr>
        <w:tblStyle w:val="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9"/>
        <w:gridCol w:w="4902"/>
        <w:gridCol w:w="1969"/>
      </w:tblGrid>
      <w:tr w14:paraId="0ED9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4" w:type="pct"/>
            <w:gridSpan w:val="2"/>
            <w:vAlign w:val="center"/>
          </w:tcPr>
          <w:p w14:paraId="66C82526">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性能参数:</w:t>
            </w:r>
          </w:p>
        </w:tc>
        <w:tc>
          <w:tcPr>
            <w:tcW w:w="1155" w:type="pct"/>
            <w:vAlign w:val="center"/>
          </w:tcPr>
          <w:p w14:paraId="5643FEB3">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备注</w:t>
            </w:r>
          </w:p>
        </w:tc>
      </w:tr>
      <w:tr w14:paraId="3D52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968" w:type="pct"/>
            <w:vAlign w:val="center"/>
          </w:tcPr>
          <w:p w14:paraId="30E6D5B6">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信号频率</w:t>
            </w:r>
          </w:p>
        </w:tc>
        <w:tc>
          <w:tcPr>
            <w:tcW w:w="2876" w:type="pct"/>
            <w:vAlign w:val="center"/>
          </w:tcPr>
          <w:p w14:paraId="0BC3DFA3">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BDS：B1、B2、B3、B1C、B2a；</w:t>
            </w:r>
          </w:p>
        </w:tc>
        <w:tc>
          <w:tcPr>
            <w:tcW w:w="1155" w:type="pct"/>
            <w:vAlign w:val="center"/>
          </w:tcPr>
          <w:p w14:paraId="02A8E83C">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可使用北斗三代卫星信号</w:t>
            </w:r>
          </w:p>
        </w:tc>
      </w:tr>
      <w:tr w14:paraId="41F18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06FD98D6">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静态定位精度</w:t>
            </w:r>
          </w:p>
        </w:tc>
        <w:tc>
          <w:tcPr>
            <w:tcW w:w="2876" w:type="pct"/>
            <w:vAlign w:val="center"/>
          </w:tcPr>
          <w:p w14:paraId="5992B321">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平面测量：±（2.5+0.5×10</w:t>
            </w:r>
            <w:r>
              <w:rPr>
                <w:rFonts w:hint="eastAsia" w:asciiTheme="minorEastAsia" w:hAnsiTheme="minorEastAsia" w:eastAsiaTheme="minorEastAsia" w:cstheme="minorEastAsia"/>
                <w:bCs/>
                <w:color w:val="auto"/>
                <w:sz w:val="21"/>
                <w:szCs w:val="21"/>
                <w:highlight w:val="none"/>
                <w:vertAlign w:val="superscript"/>
              </w:rPr>
              <w:t>-6</w:t>
            </w:r>
            <w:r>
              <w:rPr>
                <w:rFonts w:hint="eastAsia" w:asciiTheme="minorEastAsia" w:hAnsiTheme="minorEastAsia" w:eastAsiaTheme="minorEastAsia" w:cstheme="minorEastAsia"/>
                <w:bCs/>
                <w:color w:val="auto"/>
                <w:sz w:val="21"/>
                <w:szCs w:val="21"/>
                <w:highlight w:val="none"/>
              </w:rPr>
              <w:t>×D）mm</w:t>
            </w:r>
          </w:p>
          <w:p w14:paraId="5D6FA88F">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高程测量：±（5+0.5×10</w:t>
            </w:r>
            <w:r>
              <w:rPr>
                <w:rFonts w:hint="eastAsia" w:asciiTheme="minorEastAsia" w:hAnsiTheme="minorEastAsia" w:eastAsiaTheme="minorEastAsia" w:cstheme="minorEastAsia"/>
                <w:bCs/>
                <w:color w:val="auto"/>
                <w:sz w:val="21"/>
                <w:szCs w:val="21"/>
                <w:highlight w:val="none"/>
                <w:vertAlign w:val="superscript"/>
              </w:rPr>
              <w:t>-6</w:t>
            </w:r>
            <w:r>
              <w:rPr>
                <w:rFonts w:hint="eastAsia" w:asciiTheme="minorEastAsia" w:hAnsiTheme="minorEastAsia" w:eastAsiaTheme="minorEastAsia" w:cstheme="minorEastAsia"/>
                <w:bCs/>
                <w:color w:val="auto"/>
                <w:sz w:val="21"/>
                <w:szCs w:val="21"/>
                <w:highlight w:val="none"/>
              </w:rPr>
              <w:t>×D）mm</w:t>
            </w:r>
          </w:p>
        </w:tc>
        <w:tc>
          <w:tcPr>
            <w:tcW w:w="1155" w:type="pct"/>
            <w:vAlign w:val="center"/>
          </w:tcPr>
          <w:p w14:paraId="3E9F3FF5">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6C8F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14644F93">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动态定位精度</w:t>
            </w:r>
          </w:p>
        </w:tc>
        <w:tc>
          <w:tcPr>
            <w:tcW w:w="2876" w:type="pct"/>
            <w:vAlign w:val="center"/>
          </w:tcPr>
          <w:p w14:paraId="3A968937">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平面测量：±（8+1×10</w:t>
            </w:r>
            <w:r>
              <w:rPr>
                <w:rFonts w:hint="eastAsia" w:asciiTheme="minorEastAsia" w:hAnsiTheme="minorEastAsia" w:eastAsiaTheme="minorEastAsia" w:cstheme="minorEastAsia"/>
                <w:bCs/>
                <w:color w:val="auto"/>
                <w:sz w:val="21"/>
                <w:szCs w:val="21"/>
                <w:highlight w:val="none"/>
                <w:vertAlign w:val="superscript"/>
              </w:rPr>
              <w:t>-6</w:t>
            </w:r>
            <w:r>
              <w:rPr>
                <w:rFonts w:hint="eastAsia" w:asciiTheme="minorEastAsia" w:hAnsiTheme="minorEastAsia" w:eastAsiaTheme="minorEastAsia" w:cstheme="minorEastAsia"/>
                <w:bCs/>
                <w:color w:val="auto"/>
                <w:sz w:val="21"/>
                <w:szCs w:val="21"/>
                <w:highlight w:val="none"/>
              </w:rPr>
              <w:t>×D）mm</w:t>
            </w:r>
          </w:p>
          <w:p w14:paraId="0111CF2B">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高程测量：±（15+1×10</w:t>
            </w:r>
            <w:r>
              <w:rPr>
                <w:rFonts w:hint="eastAsia" w:asciiTheme="minorEastAsia" w:hAnsiTheme="minorEastAsia" w:eastAsiaTheme="minorEastAsia" w:cstheme="minorEastAsia"/>
                <w:bCs/>
                <w:color w:val="auto"/>
                <w:sz w:val="21"/>
                <w:szCs w:val="21"/>
                <w:highlight w:val="none"/>
                <w:vertAlign w:val="superscript"/>
              </w:rPr>
              <w:t>-6</w:t>
            </w:r>
            <w:r>
              <w:rPr>
                <w:rFonts w:hint="eastAsia" w:asciiTheme="minorEastAsia" w:hAnsiTheme="minorEastAsia" w:eastAsiaTheme="minorEastAsia" w:cstheme="minorEastAsia"/>
                <w:bCs/>
                <w:color w:val="auto"/>
                <w:sz w:val="21"/>
                <w:szCs w:val="21"/>
                <w:highlight w:val="none"/>
              </w:rPr>
              <w:t>×D）mm</w:t>
            </w:r>
          </w:p>
        </w:tc>
        <w:tc>
          <w:tcPr>
            <w:tcW w:w="1155" w:type="pct"/>
            <w:vAlign w:val="center"/>
          </w:tcPr>
          <w:p w14:paraId="3315CC8A">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2BDBB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55AB1E19">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差分数据</w:t>
            </w:r>
          </w:p>
        </w:tc>
        <w:tc>
          <w:tcPr>
            <w:tcW w:w="2876" w:type="pct"/>
            <w:vAlign w:val="center"/>
          </w:tcPr>
          <w:p w14:paraId="14D9708A">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RTCM3.2</w:t>
            </w:r>
          </w:p>
        </w:tc>
        <w:tc>
          <w:tcPr>
            <w:tcW w:w="1155" w:type="pct"/>
            <w:vAlign w:val="center"/>
          </w:tcPr>
          <w:p w14:paraId="16EE1F46">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1AC3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7696B0ED">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数据更新频率</w:t>
            </w:r>
          </w:p>
        </w:tc>
        <w:tc>
          <w:tcPr>
            <w:tcW w:w="2876" w:type="pct"/>
            <w:vAlign w:val="center"/>
          </w:tcPr>
          <w:p w14:paraId="420E1375">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0.1</w:t>
            </w:r>
            <w:r>
              <w:rPr>
                <w:rFonts w:hint="eastAsia" w:asciiTheme="minorEastAsia" w:hAnsiTheme="minorEastAsia" w:eastAsiaTheme="minorEastAsia" w:cstheme="minorEastAsia"/>
                <w:bCs/>
                <w:color w:val="auto"/>
                <w:sz w:val="21"/>
                <w:szCs w:val="21"/>
                <w:highlight w:val="none"/>
              </w:rPr>
              <w:t>～1</w:t>
            </w:r>
            <w:r>
              <w:rPr>
                <w:rFonts w:hint="eastAsia" w:asciiTheme="minorEastAsia" w:hAnsiTheme="minorEastAsia" w:eastAsiaTheme="minorEastAsia" w:cstheme="minorEastAsia"/>
                <w:bCs/>
                <w:color w:val="auto"/>
                <w:sz w:val="21"/>
                <w:szCs w:val="21"/>
                <w:highlight w:val="none"/>
              </w:rPr>
              <w:t>Hz</w:t>
            </w:r>
          </w:p>
        </w:tc>
        <w:tc>
          <w:tcPr>
            <w:tcW w:w="1155" w:type="pct"/>
            <w:vAlign w:val="center"/>
          </w:tcPr>
          <w:p w14:paraId="0A383DEC">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3A550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428DDAED">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首次定位时间（冷启动）</w:t>
            </w:r>
          </w:p>
        </w:tc>
        <w:tc>
          <w:tcPr>
            <w:tcW w:w="2876" w:type="pct"/>
            <w:vAlign w:val="center"/>
          </w:tcPr>
          <w:p w14:paraId="6360E1DB">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30s</w:t>
            </w:r>
          </w:p>
        </w:tc>
        <w:tc>
          <w:tcPr>
            <w:tcW w:w="1155" w:type="pct"/>
            <w:vAlign w:val="center"/>
          </w:tcPr>
          <w:p w14:paraId="155CE2C2">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6230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793D1484">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输出参数</w:t>
            </w:r>
          </w:p>
        </w:tc>
        <w:tc>
          <w:tcPr>
            <w:tcW w:w="2876" w:type="pct"/>
            <w:vAlign w:val="center"/>
          </w:tcPr>
          <w:p w14:paraId="5D72A6D8">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位移、倾角、振动加速度、内部温湿度、气压等RTCM32原始数据（静态模式）、动态位移（动态模式）</w:t>
            </w:r>
          </w:p>
        </w:tc>
        <w:tc>
          <w:tcPr>
            <w:tcW w:w="1155" w:type="pct"/>
            <w:vAlign w:val="center"/>
          </w:tcPr>
          <w:p w14:paraId="4719F389">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18A19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51D0FE49">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采样间隔</w:t>
            </w:r>
          </w:p>
        </w:tc>
        <w:tc>
          <w:tcPr>
            <w:tcW w:w="2876" w:type="pct"/>
            <w:vAlign w:val="center"/>
          </w:tcPr>
          <w:p w14:paraId="58EB3750">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0s</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color w:val="auto"/>
                <w:sz w:val="21"/>
                <w:szCs w:val="21"/>
                <w:highlight w:val="none"/>
              </w:rPr>
              <w:t>24h</w:t>
            </w:r>
          </w:p>
        </w:tc>
        <w:tc>
          <w:tcPr>
            <w:tcW w:w="1155" w:type="pct"/>
            <w:vAlign w:val="center"/>
          </w:tcPr>
          <w:p w14:paraId="76EA45BA">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7EA11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572476E6">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上传间隔</w:t>
            </w:r>
          </w:p>
        </w:tc>
        <w:tc>
          <w:tcPr>
            <w:tcW w:w="2876" w:type="pct"/>
            <w:vAlign w:val="center"/>
          </w:tcPr>
          <w:p w14:paraId="5D85B5C0">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0s</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color w:val="auto"/>
                <w:sz w:val="21"/>
                <w:szCs w:val="21"/>
                <w:highlight w:val="none"/>
              </w:rPr>
              <w:t>72h</w:t>
            </w:r>
          </w:p>
        </w:tc>
        <w:tc>
          <w:tcPr>
            <w:tcW w:w="1155" w:type="pct"/>
            <w:vAlign w:val="center"/>
          </w:tcPr>
          <w:p w14:paraId="2C255124">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2C8FC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58CF69DA">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尺寸</w:t>
            </w:r>
          </w:p>
        </w:tc>
        <w:tc>
          <w:tcPr>
            <w:tcW w:w="2876" w:type="pct"/>
            <w:vAlign w:val="center"/>
          </w:tcPr>
          <w:p w14:paraId="00261BB0">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D200×H150 mm</w:t>
            </w:r>
          </w:p>
        </w:tc>
        <w:tc>
          <w:tcPr>
            <w:tcW w:w="1155" w:type="pct"/>
            <w:vAlign w:val="center"/>
          </w:tcPr>
          <w:p w14:paraId="582AEC4E">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03FAF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336204F5">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温度范围</w:t>
            </w:r>
          </w:p>
        </w:tc>
        <w:tc>
          <w:tcPr>
            <w:tcW w:w="2876" w:type="pct"/>
            <w:vAlign w:val="center"/>
          </w:tcPr>
          <w:p w14:paraId="30138BC2">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-20℃</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color w:val="auto"/>
                <w:sz w:val="21"/>
                <w:szCs w:val="21"/>
                <w:highlight w:val="none"/>
              </w:rPr>
              <w:t>+80℃</w:t>
            </w:r>
          </w:p>
        </w:tc>
        <w:tc>
          <w:tcPr>
            <w:tcW w:w="1155" w:type="pct"/>
            <w:vAlign w:val="center"/>
          </w:tcPr>
          <w:p w14:paraId="6FE12BB2">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5E75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7A792C2C">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防护等级</w:t>
            </w:r>
          </w:p>
        </w:tc>
        <w:tc>
          <w:tcPr>
            <w:tcW w:w="2876" w:type="pct"/>
            <w:vAlign w:val="center"/>
          </w:tcPr>
          <w:p w14:paraId="74C3B4FD">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IP68</w:t>
            </w:r>
          </w:p>
        </w:tc>
        <w:tc>
          <w:tcPr>
            <w:tcW w:w="1155" w:type="pct"/>
            <w:vAlign w:val="center"/>
          </w:tcPr>
          <w:p w14:paraId="765EBAC2">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7F98B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5B9C37FC">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电压</w:t>
            </w:r>
          </w:p>
        </w:tc>
        <w:tc>
          <w:tcPr>
            <w:tcW w:w="2876" w:type="pct"/>
            <w:vAlign w:val="center"/>
          </w:tcPr>
          <w:p w14:paraId="57728D37">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DC9</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color w:val="auto"/>
                <w:sz w:val="21"/>
                <w:szCs w:val="21"/>
                <w:highlight w:val="none"/>
              </w:rPr>
              <w:t>36V</w:t>
            </w:r>
          </w:p>
        </w:tc>
        <w:tc>
          <w:tcPr>
            <w:tcW w:w="1155" w:type="pct"/>
            <w:vAlign w:val="center"/>
          </w:tcPr>
          <w:p w14:paraId="5F965D64">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53B3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7874E11E">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功率</w:t>
            </w:r>
          </w:p>
        </w:tc>
        <w:tc>
          <w:tcPr>
            <w:tcW w:w="2876" w:type="pct"/>
            <w:vAlign w:val="center"/>
          </w:tcPr>
          <w:p w14:paraId="5364C171">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在采样间隔不低于15s且上传间隔不低于15s情况下，接收机正常工作的平均功耗≤1.5W</w:t>
            </w:r>
          </w:p>
        </w:tc>
        <w:tc>
          <w:tcPr>
            <w:tcW w:w="1155" w:type="pct"/>
            <w:vAlign w:val="center"/>
          </w:tcPr>
          <w:p w14:paraId="40EFD69E">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2C8B2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3864ACA8">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通讯方式</w:t>
            </w:r>
          </w:p>
        </w:tc>
        <w:tc>
          <w:tcPr>
            <w:tcW w:w="2876" w:type="pct"/>
            <w:vAlign w:val="center"/>
          </w:tcPr>
          <w:p w14:paraId="3A8580F2">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kern w:val="0"/>
                <w:sz w:val="21"/>
                <w:szCs w:val="21"/>
                <w:highlight w:val="none"/>
                <w:lang w:bidi="ar"/>
              </w:rPr>
              <w:t>移动通信</w:t>
            </w:r>
          </w:p>
        </w:tc>
        <w:tc>
          <w:tcPr>
            <w:tcW w:w="1155" w:type="pct"/>
            <w:vAlign w:val="center"/>
          </w:tcPr>
          <w:p w14:paraId="4D778767">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1DC5B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22C03607">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通讯标准</w:t>
            </w:r>
          </w:p>
        </w:tc>
        <w:tc>
          <w:tcPr>
            <w:tcW w:w="2876" w:type="pct"/>
            <w:vAlign w:val="center"/>
          </w:tcPr>
          <w:p w14:paraId="5F72C94E">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符合《地质灾害监测数据通讯技术要求》</w:t>
            </w:r>
          </w:p>
        </w:tc>
        <w:tc>
          <w:tcPr>
            <w:tcW w:w="1155" w:type="pct"/>
            <w:vAlign w:val="center"/>
          </w:tcPr>
          <w:p w14:paraId="23A17393">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0831C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 w:type="pct"/>
            <w:vAlign w:val="center"/>
          </w:tcPr>
          <w:p w14:paraId="6849627D">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其他：</w:t>
            </w:r>
          </w:p>
        </w:tc>
        <w:tc>
          <w:tcPr>
            <w:tcW w:w="2876" w:type="pct"/>
            <w:vAlign w:val="center"/>
          </w:tcPr>
          <w:p w14:paraId="1425D847">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内置MEMS传感器，动态触发调整监测频率</w:t>
            </w:r>
          </w:p>
        </w:tc>
        <w:tc>
          <w:tcPr>
            <w:tcW w:w="1155" w:type="pct"/>
            <w:vAlign w:val="center"/>
          </w:tcPr>
          <w:p w14:paraId="74930FDA">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12E04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8" w:type="pct"/>
            <w:vAlign w:val="center"/>
          </w:tcPr>
          <w:p w14:paraId="2A73BDF2">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sz w:val="21"/>
                <w:szCs w:val="21"/>
                <w:highlight w:val="none"/>
              </w:rPr>
              <w:t>供电要求</w:t>
            </w:r>
          </w:p>
        </w:tc>
        <w:tc>
          <w:tcPr>
            <w:tcW w:w="2876" w:type="pct"/>
            <w:vAlign w:val="center"/>
          </w:tcPr>
          <w:p w14:paraId="77156C9D">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满足连续30个阴雨日正常工作</w:t>
            </w:r>
          </w:p>
        </w:tc>
        <w:tc>
          <w:tcPr>
            <w:tcW w:w="1155" w:type="pct"/>
            <w:vAlign w:val="center"/>
          </w:tcPr>
          <w:p w14:paraId="7F91542E">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bl>
    <w:p w14:paraId="5B5CB4E7">
      <w:pPr>
        <w:pStyle w:val="3"/>
        <w:ind w:firstLine="482"/>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GNSS监测站：</w:t>
      </w:r>
    </w:p>
    <w:p w14:paraId="06F7850B">
      <w:pPr>
        <w:ind w:firstLine="42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GNSS监测站技术指标</w:t>
      </w:r>
    </w:p>
    <w:tbl>
      <w:tblPr>
        <w:tblStyle w:val="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4810"/>
        <w:gridCol w:w="2093"/>
      </w:tblGrid>
      <w:tr w14:paraId="7FB4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1" w:type="pct"/>
            <w:gridSpan w:val="2"/>
            <w:vAlign w:val="center"/>
          </w:tcPr>
          <w:p w14:paraId="2A7C4594">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性能参数:</w:t>
            </w:r>
          </w:p>
        </w:tc>
        <w:tc>
          <w:tcPr>
            <w:tcW w:w="1228" w:type="pct"/>
            <w:vAlign w:val="center"/>
          </w:tcPr>
          <w:p w14:paraId="61F0F962">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备注</w:t>
            </w:r>
          </w:p>
        </w:tc>
      </w:tr>
      <w:tr w14:paraId="319C6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49" w:type="pct"/>
            <w:vAlign w:val="center"/>
          </w:tcPr>
          <w:p w14:paraId="485F3724">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信号频率</w:t>
            </w:r>
          </w:p>
        </w:tc>
        <w:tc>
          <w:tcPr>
            <w:tcW w:w="2821" w:type="pct"/>
            <w:vAlign w:val="center"/>
          </w:tcPr>
          <w:p w14:paraId="617D9453">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BDS：B1、B2、B3、B1C、B2a；</w:t>
            </w:r>
          </w:p>
        </w:tc>
        <w:tc>
          <w:tcPr>
            <w:tcW w:w="1228" w:type="pct"/>
            <w:vAlign w:val="center"/>
          </w:tcPr>
          <w:p w14:paraId="7AB33F3A">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可使用北斗三代卫星信号</w:t>
            </w:r>
          </w:p>
        </w:tc>
      </w:tr>
      <w:tr w14:paraId="6533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495B0A48">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静态定位精度</w:t>
            </w:r>
          </w:p>
        </w:tc>
        <w:tc>
          <w:tcPr>
            <w:tcW w:w="2821" w:type="pct"/>
            <w:vAlign w:val="center"/>
          </w:tcPr>
          <w:p w14:paraId="16CFC094">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平面测量：±（2.5+0.5×10</w:t>
            </w:r>
            <w:r>
              <w:rPr>
                <w:rFonts w:hint="eastAsia" w:asciiTheme="minorEastAsia" w:hAnsiTheme="minorEastAsia" w:eastAsiaTheme="minorEastAsia" w:cstheme="minorEastAsia"/>
                <w:bCs/>
                <w:color w:val="auto"/>
                <w:sz w:val="21"/>
                <w:szCs w:val="21"/>
                <w:highlight w:val="none"/>
                <w:vertAlign w:val="superscript"/>
              </w:rPr>
              <w:t>-6</w:t>
            </w:r>
            <w:r>
              <w:rPr>
                <w:rFonts w:hint="eastAsia" w:asciiTheme="minorEastAsia" w:hAnsiTheme="minorEastAsia" w:eastAsiaTheme="minorEastAsia" w:cstheme="minorEastAsia"/>
                <w:bCs/>
                <w:color w:val="auto"/>
                <w:sz w:val="21"/>
                <w:szCs w:val="21"/>
                <w:highlight w:val="none"/>
              </w:rPr>
              <w:t>×D）mm</w:t>
            </w:r>
          </w:p>
          <w:p w14:paraId="72207AEA">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高程测量：±（5+0.5×10</w:t>
            </w:r>
            <w:r>
              <w:rPr>
                <w:rFonts w:hint="eastAsia" w:asciiTheme="minorEastAsia" w:hAnsiTheme="minorEastAsia" w:eastAsiaTheme="minorEastAsia" w:cstheme="minorEastAsia"/>
                <w:bCs/>
                <w:color w:val="auto"/>
                <w:sz w:val="21"/>
                <w:szCs w:val="21"/>
                <w:highlight w:val="none"/>
                <w:vertAlign w:val="superscript"/>
              </w:rPr>
              <w:t>-6</w:t>
            </w:r>
            <w:r>
              <w:rPr>
                <w:rFonts w:hint="eastAsia" w:asciiTheme="minorEastAsia" w:hAnsiTheme="minorEastAsia" w:eastAsiaTheme="minorEastAsia" w:cstheme="minorEastAsia"/>
                <w:bCs/>
                <w:color w:val="auto"/>
                <w:sz w:val="21"/>
                <w:szCs w:val="21"/>
                <w:highlight w:val="none"/>
              </w:rPr>
              <w:t>×D）mm</w:t>
            </w:r>
          </w:p>
        </w:tc>
        <w:tc>
          <w:tcPr>
            <w:tcW w:w="1228" w:type="pct"/>
            <w:vAlign w:val="center"/>
          </w:tcPr>
          <w:p w14:paraId="07D93695">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35C6D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3F05A9B3">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动态定位精度</w:t>
            </w:r>
          </w:p>
        </w:tc>
        <w:tc>
          <w:tcPr>
            <w:tcW w:w="2821" w:type="pct"/>
            <w:vAlign w:val="center"/>
          </w:tcPr>
          <w:p w14:paraId="656CC30E">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平面测量：±（8+1×10</w:t>
            </w:r>
            <w:r>
              <w:rPr>
                <w:rFonts w:hint="eastAsia" w:asciiTheme="minorEastAsia" w:hAnsiTheme="minorEastAsia" w:eastAsiaTheme="minorEastAsia" w:cstheme="minorEastAsia"/>
                <w:bCs/>
                <w:color w:val="auto"/>
                <w:sz w:val="21"/>
                <w:szCs w:val="21"/>
                <w:highlight w:val="none"/>
                <w:vertAlign w:val="superscript"/>
              </w:rPr>
              <w:t>-6</w:t>
            </w:r>
            <w:r>
              <w:rPr>
                <w:rFonts w:hint="eastAsia" w:asciiTheme="minorEastAsia" w:hAnsiTheme="minorEastAsia" w:eastAsiaTheme="minorEastAsia" w:cstheme="minorEastAsia"/>
                <w:bCs/>
                <w:color w:val="auto"/>
                <w:sz w:val="21"/>
                <w:szCs w:val="21"/>
                <w:highlight w:val="none"/>
              </w:rPr>
              <w:t>×D）mm</w:t>
            </w:r>
          </w:p>
          <w:p w14:paraId="3F243D25">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高程测量：±（15+1×10</w:t>
            </w:r>
            <w:r>
              <w:rPr>
                <w:rFonts w:hint="eastAsia" w:asciiTheme="minorEastAsia" w:hAnsiTheme="minorEastAsia" w:eastAsiaTheme="minorEastAsia" w:cstheme="minorEastAsia"/>
                <w:bCs/>
                <w:color w:val="auto"/>
                <w:sz w:val="21"/>
                <w:szCs w:val="21"/>
                <w:highlight w:val="none"/>
                <w:vertAlign w:val="superscript"/>
              </w:rPr>
              <w:t>-6</w:t>
            </w:r>
            <w:r>
              <w:rPr>
                <w:rFonts w:hint="eastAsia" w:asciiTheme="minorEastAsia" w:hAnsiTheme="minorEastAsia" w:eastAsiaTheme="minorEastAsia" w:cstheme="minorEastAsia"/>
                <w:bCs/>
                <w:color w:val="auto"/>
                <w:sz w:val="21"/>
                <w:szCs w:val="21"/>
                <w:highlight w:val="none"/>
              </w:rPr>
              <w:t>×D）mm</w:t>
            </w:r>
          </w:p>
        </w:tc>
        <w:tc>
          <w:tcPr>
            <w:tcW w:w="1228" w:type="pct"/>
            <w:vAlign w:val="center"/>
          </w:tcPr>
          <w:p w14:paraId="4374F772">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19E5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399C4A51">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差分数据</w:t>
            </w:r>
          </w:p>
        </w:tc>
        <w:tc>
          <w:tcPr>
            <w:tcW w:w="2821" w:type="pct"/>
            <w:vAlign w:val="center"/>
          </w:tcPr>
          <w:p w14:paraId="793EC749">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RTCM3.2</w:t>
            </w:r>
          </w:p>
        </w:tc>
        <w:tc>
          <w:tcPr>
            <w:tcW w:w="1228" w:type="pct"/>
            <w:vAlign w:val="center"/>
          </w:tcPr>
          <w:p w14:paraId="37A66369">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4042E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24A1841A">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数据更新频率</w:t>
            </w:r>
          </w:p>
        </w:tc>
        <w:tc>
          <w:tcPr>
            <w:tcW w:w="2821" w:type="pct"/>
            <w:vAlign w:val="center"/>
          </w:tcPr>
          <w:p w14:paraId="1C149DE2">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0.1</w:t>
            </w:r>
            <w:r>
              <w:rPr>
                <w:rFonts w:hint="eastAsia" w:asciiTheme="minorEastAsia" w:hAnsiTheme="minorEastAsia" w:eastAsiaTheme="minorEastAsia" w:cstheme="minorEastAsia"/>
                <w:bCs/>
                <w:color w:val="auto"/>
                <w:sz w:val="21"/>
                <w:szCs w:val="21"/>
                <w:highlight w:val="none"/>
              </w:rPr>
              <w:t>～1</w:t>
            </w:r>
            <w:r>
              <w:rPr>
                <w:rFonts w:hint="eastAsia" w:asciiTheme="minorEastAsia" w:hAnsiTheme="minorEastAsia" w:eastAsiaTheme="minorEastAsia" w:cstheme="minorEastAsia"/>
                <w:bCs/>
                <w:color w:val="auto"/>
                <w:sz w:val="21"/>
                <w:szCs w:val="21"/>
                <w:highlight w:val="none"/>
              </w:rPr>
              <w:t>Hz</w:t>
            </w:r>
          </w:p>
        </w:tc>
        <w:tc>
          <w:tcPr>
            <w:tcW w:w="1228" w:type="pct"/>
            <w:vAlign w:val="center"/>
          </w:tcPr>
          <w:p w14:paraId="7D70E7C1">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1B6E4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6750B54A">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首次定位时间（冷启动）</w:t>
            </w:r>
          </w:p>
        </w:tc>
        <w:tc>
          <w:tcPr>
            <w:tcW w:w="2821" w:type="pct"/>
            <w:vAlign w:val="center"/>
          </w:tcPr>
          <w:p w14:paraId="09F26C4F">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30s</w:t>
            </w:r>
          </w:p>
        </w:tc>
        <w:tc>
          <w:tcPr>
            <w:tcW w:w="1228" w:type="pct"/>
            <w:vAlign w:val="center"/>
          </w:tcPr>
          <w:p w14:paraId="632636E3">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3244B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46844C25">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输出参数</w:t>
            </w:r>
          </w:p>
        </w:tc>
        <w:tc>
          <w:tcPr>
            <w:tcW w:w="2821" w:type="pct"/>
            <w:vAlign w:val="center"/>
          </w:tcPr>
          <w:p w14:paraId="315C1BB7">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位移、倾角、振动加速度、内部温湿度、气压等RTCM32原始数据（静态模式）、动态位移（动态模式）</w:t>
            </w:r>
          </w:p>
        </w:tc>
        <w:tc>
          <w:tcPr>
            <w:tcW w:w="1228" w:type="pct"/>
            <w:vAlign w:val="center"/>
          </w:tcPr>
          <w:p w14:paraId="5A0990B3">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40C81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7F35632E">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采样间隔</w:t>
            </w:r>
          </w:p>
        </w:tc>
        <w:tc>
          <w:tcPr>
            <w:tcW w:w="2821" w:type="pct"/>
            <w:vAlign w:val="center"/>
          </w:tcPr>
          <w:p w14:paraId="7DF82C38">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0s</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color w:val="auto"/>
                <w:sz w:val="21"/>
                <w:szCs w:val="21"/>
                <w:highlight w:val="none"/>
              </w:rPr>
              <w:t>24h</w:t>
            </w:r>
          </w:p>
        </w:tc>
        <w:tc>
          <w:tcPr>
            <w:tcW w:w="1228" w:type="pct"/>
            <w:vAlign w:val="center"/>
          </w:tcPr>
          <w:p w14:paraId="52805750">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6460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3E7A8CA4">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上传间隔</w:t>
            </w:r>
          </w:p>
        </w:tc>
        <w:tc>
          <w:tcPr>
            <w:tcW w:w="2821" w:type="pct"/>
            <w:vAlign w:val="center"/>
          </w:tcPr>
          <w:p w14:paraId="6B572680">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0s</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color w:val="auto"/>
                <w:sz w:val="21"/>
                <w:szCs w:val="21"/>
                <w:highlight w:val="none"/>
              </w:rPr>
              <w:t>72h</w:t>
            </w:r>
          </w:p>
        </w:tc>
        <w:tc>
          <w:tcPr>
            <w:tcW w:w="1228" w:type="pct"/>
            <w:vAlign w:val="center"/>
          </w:tcPr>
          <w:p w14:paraId="40AB4F43">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2F611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2D9EFCBD">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尺寸</w:t>
            </w:r>
          </w:p>
        </w:tc>
        <w:tc>
          <w:tcPr>
            <w:tcW w:w="2821" w:type="pct"/>
            <w:vAlign w:val="center"/>
          </w:tcPr>
          <w:p w14:paraId="20B24646">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D200×H150 mm</w:t>
            </w:r>
          </w:p>
        </w:tc>
        <w:tc>
          <w:tcPr>
            <w:tcW w:w="1228" w:type="pct"/>
            <w:vAlign w:val="center"/>
          </w:tcPr>
          <w:p w14:paraId="705EDB05">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149B1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637C76C4">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温度范围</w:t>
            </w:r>
          </w:p>
        </w:tc>
        <w:tc>
          <w:tcPr>
            <w:tcW w:w="2821" w:type="pct"/>
            <w:vAlign w:val="center"/>
          </w:tcPr>
          <w:p w14:paraId="06E70A56">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-20℃</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color w:val="auto"/>
                <w:sz w:val="21"/>
                <w:szCs w:val="21"/>
                <w:highlight w:val="none"/>
              </w:rPr>
              <w:t>+80℃</w:t>
            </w:r>
          </w:p>
        </w:tc>
        <w:tc>
          <w:tcPr>
            <w:tcW w:w="1228" w:type="pct"/>
            <w:vAlign w:val="center"/>
          </w:tcPr>
          <w:p w14:paraId="63DC73DC">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05214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40666C4E">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防护等级</w:t>
            </w:r>
          </w:p>
        </w:tc>
        <w:tc>
          <w:tcPr>
            <w:tcW w:w="2821" w:type="pct"/>
            <w:vAlign w:val="center"/>
          </w:tcPr>
          <w:p w14:paraId="27C99AAC">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IP68</w:t>
            </w:r>
          </w:p>
        </w:tc>
        <w:tc>
          <w:tcPr>
            <w:tcW w:w="1228" w:type="pct"/>
            <w:vAlign w:val="center"/>
          </w:tcPr>
          <w:p w14:paraId="65FEBD5B">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5C34C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5204836F">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电压</w:t>
            </w:r>
          </w:p>
        </w:tc>
        <w:tc>
          <w:tcPr>
            <w:tcW w:w="2821" w:type="pct"/>
            <w:vAlign w:val="center"/>
          </w:tcPr>
          <w:p w14:paraId="14BED707">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DC9</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color w:val="auto"/>
                <w:sz w:val="21"/>
                <w:szCs w:val="21"/>
                <w:highlight w:val="none"/>
              </w:rPr>
              <w:t>36V</w:t>
            </w:r>
          </w:p>
        </w:tc>
        <w:tc>
          <w:tcPr>
            <w:tcW w:w="1228" w:type="pct"/>
            <w:vAlign w:val="center"/>
          </w:tcPr>
          <w:p w14:paraId="7668E50B">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1412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6A01CFCC">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功率</w:t>
            </w:r>
          </w:p>
        </w:tc>
        <w:tc>
          <w:tcPr>
            <w:tcW w:w="2821" w:type="pct"/>
            <w:vAlign w:val="center"/>
          </w:tcPr>
          <w:p w14:paraId="2C9FF7C4">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在采样间隔不低于15s且上传间隔不低于15s情况下，接收机正常工作的平均功耗≤1.5W</w:t>
            </w:r>
          </w:p>
        </w:tc>
        <w:tc>
          <w:tcPr>
            <w:tcW w:w="1228" w:type="pct"/>
            <w:vAlign w:val="center"/>
          </w:tcPr>
          <w:p w14:paraId="401D5F48">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4245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3E27B4B3">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通讯方式</w:t>
            </w:r>
          </w:p>
        </w:tc>
        <w:tc>
          <w:tcPr>
            <w:tcW w:w="2821" w:type="pct"/>
            <w:vAlign w:val="center"/>
          </w:tcPr>
          <w:p w14:paraId="0A4142FA">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kern w:val="0"/>
                <w:sz w:val="21"/>
                <w:szCs w:val="21"/>
                <w:highlight w:val="none"/>
                <w:lang w:bidi="ar"/>
              </w:rPr>
              <w:t>移动通信</w:t>
            </w:r>
          </w:p>
        </w:tc>
        <w:tc>
          <w:tcPr>
            <w:tcW w:w="1228" w:type="pct"/>
            <w:vAlign w:val="center"/>
          </w:tcPr>
          <w:p w14:paraId="5F310D07">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6FF0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6949A45A">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通讯标准</w:t>
            </w:r>
          </w:p>
        </w:tc>
        <w:tc>
          <w:tcPr>
            <w:tcW w:w="2821" w:type="pct"/>
            <w:vAlign w:val="center"/>
          </w:tcPr>
          <w:p w14:paraId="241DE1C4">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符合《地质灾害监测数据通讯技术要求》</w:t>
            </w:r>
          </w:p>
        </w:tc>
        <w:tc>
          <w:tcPr>
            <w:tcW w:w="1228" w:type="pct"/>
            <w:vAlign w:val="center"/>
          </w:tcPr>
          <w:p w14:paraId="5553848C">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753C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178AD6B6">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其他：</w:t>
            </w:r>
          </w:p>
        </w:tc>
        <w:tc>
          <w:tcPr>
            <w:tcW w:w="2821" w:type="pct"/>
            <w:vAlign w:val="center"/>
          </w:tcPr>
          <w:p w14:paraId="44CBCBAD">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内置MEMS传感器，动态触发调整监测频率</w:t>
            </w:r>
          </w:p>
        </w:tc>
        <w:tc>
          <w:tcPr>
            <w:tcW w:w="1228" w:type="pct"/>
            <w:vAlign w:val="center"/>
          </w:tcPr>
          <w:p w14:paraId="7841B84E">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2EA4D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9" w:type="pct"/>
            <w:vAlign w:val="center"/>
          </w:tcPr>
          <w:p w14:paraId="36BE246D">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sz w:val="21"/>
                <w:szCs w:val="21"/>
                <w:highlight w:val="none"/>
              </w:rPr>
              <w:t>供电要求</w:t>
            </w:r>
          </w:p>
        </w:tc>
        <w:tc>
          <w:tcPr>
            <w:tcW w:w="2821" w:type="pct"/>
            <w:vAlign w:val="center"/>
          </w:tcPr>
          <w:p w14:paraId="0D73AA46">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满足连续30个阴雨日正常工作</w:t>
            </w:r>
          </w:p>
        </w:tc>
        <w:tc>
          <w:tcPr>
            <w:tcW w:w="1228" w:type="pct"/>
            <w:vAlign w:val="center"/>
          </w:tcPr>
          <w:p w14:paraId="367A6C9E">
            <w:pPr>
              <w:adjustRightInd w:val="0"/>
              <w:snapToGrid w:val="0"/>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bl>
    <w:p w14:paraId="19A6F17D">
      <w:pPr>
        <w:ind w:firstLine="420"/>
        <w:jc w:val="center"/>
        <w:rPr>
          <w:rFonts w:hint="eastAsia" w:asciiTheme="minorEastAsia" w:hAnsiTheme="minorEastAsia" w:eastAsiaTheme="minorEastAsia" w:cstheme="minorEastAsia"/>
          <w:color w:val="auto"/>
          <w:sz w:val="21"/>
          <w:szCs w:val="21"/>
          <w:highlight w:val="none"/>
        </w:rPr>
      </w:pPr>
    </w:p>
    <w:tbl>
      <w:tblPr>
        <w:tblStyle w:val="7"/>
        <w:tblpPr w:leftFromText="180" w:rightFromText="180" w:vertAnchor="text" w:horzAnchor="page" w:tblpXSpec="center" w:tblpY="-7093"/>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4"/>
        <w:gridCol w:w="4925"/>
        <w:gridCol w:w="1463"/>
      </w:tblGrid>
      <w:tr w14:paraId="02C57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52" w:type="pct"/>
            <w:tcBorders>
              <w:tl2br w:val="nil"/>
              <w:tr2bl w:val="nil"/>
            </w:tcBorders>
            <w:vAlign w:val="center"/>
          </w:tcPr>
          <w:p w14:paraId="0FCFB7A1">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参数类型</w:t>
            </w:r>
          </w:p>
        </w:tc>
        <w:tc>
          <w:tcPr>
            <w:tcW w:w="2889" w:type="pct"/>
            <w:tcBorders>
              <w:tl2br w:val="nil"/>
              <w:tr2bl w:val="nil"/>
            </w:tcBorders>
            <w:vAlign w:val="center"/>
          </w:tcPr>
          <w:p w14:paraId="1DB5DF98">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技术指标</w:t>
            </w:r>
          </w:p>
        </w:tc>
        <w:tc>
          <w:tcPr>
            <w:tcW w:w="858" w:type="pct"/>
            <w:tcBorders>
              <w:tl2br w:val="nil"/>
              <w:tr2bl w:val="nil"/>
            </w:tcBorders>
            <w:vAlign w:val="center"/>
          </w:tcPr>
          <w:p w14:paraId="508AB253">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备注</w:t>
            </w:r>
          </w:p>
        </w:tc>
      </w:tr>
      <w:tr w14:paraId="3DE1B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2" w:type="pct"/>
            <w:tcBorders>
              <w:tl2br w:val="nil"/>
              <w:tr2bl w:val="nil"/>
            </w:tcBorders>
            <w:vAlign w:val="center"/>
          </w:tcPr>
          <w:p w14:paraId="6CC3F98F">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含水率测量范围</w:t>
            </w:r>
          </w:p>
        </w:tc>
        <w:tc>
          <w:tcPr>
            <w:tcW w:w="2889" w:type="pct"/>
            <w:tcBorders>
              <w:tl2br w:val="nil"/>
              <w:tr2bl w:val="nil"/>
            </w:tcBorders>
            <w:vAlign w:val="center"/>
          </w:tcPr>
          <w:p w14:paraId="50177868">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0～60%或 0～100%、干土～饱和土</w:t>
            </w:r>
          </w:p>
        </w:tc>
        <w:tc>
          <w:tcPr>
            <w:tcW w:w="858" w:type="pct"/>
            <w:tcBorders>
              <w:tl2br w:val="nil"/>
              <w:tr2bl w:val="nil"/>
            </w:tcBorders>
            <w:vAlign w:val="center"/>
          </w:tcPr>
          <w:p w14:paraId="16680140">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可选</w:t>
            </w:r>
          </w:p>
        </w:tc>
      </w:tr>
      <w:tr w14:paraId="7D11E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52" w:type="pct"/>
            <w:tcBorders>
              <w:tl2br w:val="nil"/>
              <w:tr2bl w:val="nil"/>
            </w:tcBorders>
            <w:vAlign w:val="center"/>
          </w:tcPr>
          <w:p w14:paraId="6E905847">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含水率测量精度</w:t>
            </w:r>
          </w:p>
        </w:tc>
        <w:tc>
          <w:tcPr>
            <w:tcW w:w="2889" w:type="pct"/>
            <w:tcBorders>
              <w:tl2br w:val="nil"/>
              <w:tr2bl w:val="nil"/>
            </w:tcBorders>
            <w:vAlign w:val="center"/>
          </w:tcPr>
          <w:p w14:paraId="793B84B7">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±3%(5～50%)</w:t>
            </w:r>
          </w:p>
        </w:tc>
        <w:tc>
          <w:tcPr>
            <w:tcW w:w="858" w:type="pct"/>
            <w:tcBorders>
              <w:tl2br w:val="nil"/>
              <w:tr2bl w:val="nil"/>
            </w:tcBorders>
            <w:vAlign w:val="center"/>
          </w:tcPr>
          <w:p w14:paraId="5CD4D862">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4C1E4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52" w:type="pct"/>
            <w:tcBorders>
              <w:tl2br w:val="nil"/>
              <w:tr2bl w:val="nil"/>
            </w:tcBorders>
            <w:vAlign w:val="center"/>
          </w:tcPr>
          <w:p w14:paraId="70163E1F">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采样间隔</w:t>
            </w:r>
          </w:p>
        </w:tc>
        <w:tc>
          <w:tcPr>
            <w:tcW w:w="2889" w:type="pct"/>
            <w:tcBorders>
              <w:tl2br w:val="nil"/>
              <w:tr2bl w:val="nil"/>
            </w:tcBorders>
            <w:vAlign w:val="center"/>
          </w:tcPr>
          <w:p w14:paraId="499DE194">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0S～24h</w:t>
            </w:r>
          </w:p>
        </w:tc>
        <w:tc>
          <w:tcPr>
            <w:tcW w:w="858" w:type="pct"/>
            <w:tcBorders>
              <w:tl2br w:val="nil"/>
              <w:tr2bl w:val="nil"/>
            </w:tcBorders>
            <w:vAlign w:val="center"/>
          </w:tcPr>
          <w:p w14:paraId="5C913662">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按需求设定</w:t>
            </w:r>
          </w:p>
        </w:tc>
      </w:tr>
      <w:tr w14:paraId="734B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52" w:type="pct"/>
            <w:tcBorders>
              <w:tl2br w:val="nil"/>
              <w:tr2bl w:val="nil"/>
            </w:tcBorders>
            <w:vAlign w:val="center"/>
          </w:tcPr>
          <w:p w14:paraId="6CB6D902">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上传间隔</w:t>
            </w:r>
          </w:p>
        </w:tc>
        <w:tc>
          <w:tcPr>
            <w:tcW w:w="2889" w:type="pct"/>
            <w:tcBorders>
              <w:tl2br w:val="nil"/>
              <w:tr2bl w:val="nil"/>
            </w:tcBorders>
            <w:vAlign w:val="center"/>
          </w:tcPr>
          <w:p w14:paraId="7D324F6E">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0S～72h</w:t>
            </w:r>
          </w:p>
        </w:tc>
        <w:tc>
          <w:tcPr>
            <w:tcW w:w="858" w:type="pct"/>
            <w:tcBorders>
              <w:tl2br w:val="nil"/>
              <w:tr2bl w:val="nil"/>
            </w:tcBorders>
            <w:vAlign w:val="center"/>
          </w:tcPr>
          <w:p w14:paraId="12B0D331">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按需求设定</w:t>
            </w:r>
          </w:p>
        </w:tc>
      </w:tr>
      <w:tr w14:paraId="2F71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52" w:type="pct"/>
            <w:tcBorders>
              <w:tl2br w:val="nil"/>
              <w:tr2bl w:val="nil"/>
            </w:tcBorders>
            <w:vAlign w:val="center"/>
          </w:tcPr>
          <w:p w14:paraId="09B1C708">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倾角测量范围</w:t>
            </w:r>
          </w:p>
        </w:tc>
        <w:tc>
          <w:tcPr>
            <w:tcW w:w="2889" w:type="pct"/>
            <w:tcBorders>
              <w:tl2br w:val="nil"/>
              <w:tr2bl w:val="nil"/>
            </w:tcBorders>
            <w:vAlign w:val="center"/>
          </w:tcPr>
          <w:p w14:paraId="2297E7D3">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±30°</w:t>
            </w:r>
          </w:p>
        </w:tc>
        <w:tc>
          <w:tcPr>
            <w:tcW w:w="858" w:type="pct"/>
            <w:tcBorders>
              <w:tl2br w:val="nil"/>
              <w:tr2bl w:val="nil"/>
            </w:tcBorders>
            <w:vAlign w:val="center"/>
          </w:tcPr>
          <w:p w14:paraId="5A438139">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26733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52" w:type="pct"/>
            <w:tcBorders>
              <w:tl2br w:val="nil"/>
              <w:tr2bl w:val="nil"/>
            </w:tcBorders>
            <w:vAlign w:val="center"/>
          </w:tcPr>
          <w:p w14:paraId="7B7B7021">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倾角测量精度</w:t>
            </w:r>
          </w:p>
        </w:tc>
        <w:tc>
          <w:tcPr>
            <w:tcW w:w="2889" w:type="pct"/>
            <w:tcBorders>
              <w:tl2br w:val="nil"/>
              <w:tr2bl w:val="nil"/>
            </w:tcBorders>
            <w:vAlign w:val="center"/>
          </w:tcPr>
          <w:p w14:paraId="5106CB88">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0.1°</w:t>
            </w:r>
          </w:p>
        </w:tc>
        <w:tc>
          <w:tcPr>
            <w:tcW w:w="858" w:type="pct"/>
            <w:tcBorders>
              <w:tl2br w:val="nil"/>
              <w:tr2bl w:val="nil"/>
            </w:tcBorders>
            <w:vAlign w:val="center"/>
          </w:tcPr>
          <w:p w14:paraId="69522D37">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7E2E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52" w:type="pct"/>
            <w:tcBorders>
              <w:tl2br w:val="nil"/>
              <w:tr2bl w:val="nil"/>
            </w:tcBorders>
            <w:vAlign w:val="center"/>
          </w:tcPr>
          <w:p w14:paraId="3894BC1C">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加速度测量范围</w:t>
            </w:r>
          </w:p>
        </w:tc>
        <w:tc>
          <w:tcPr>
            <w:tcW w:w="2889" w:type="pct"/>
            <w:tcBorders>
              <w:tl2br w:val="nil"/>
              <w:tr2bl w:val="nil"/>
            </w:tcBorders>
            <w:vAlign w:val="center"/>
          </w:tcPr>
          <w:p w14:paraId="48CCC99B">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-2gn～2gn</w:t>
            </w:r>
          </w:p>
        </w:tc>
        <w:tc>
          <w:tcPr>
            <w:tcW w:w="858" w:type="pct"/>
            <w:tcBorders>
              <w:tl2br w:val="nil"/>
              <w:tr2bl w:val="nil"/>
            </w:tcBorders>
            <w:vAlign w:val="center"/>
          </w:tcPr>
          <w:p w14:paraId="209F07BE">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0B035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52" w:type="pct"/>
            <w:tcBorders>
              <w:tl2br w:val="nil"/>
              <w:tr2bl w:val="nil"/>
            </w:tcBorders>
            <w:vAlign w:val="center"/>
          </w:tcPr>
          <w:p w14:paraId="096E280B">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加速度测量精度</w:t>
            </w:r>
          </w:p>
        </w:tc>
        <w:tc>
          <w:tcPr>
            <w:tcW w:w="2889" w:type="pct"/>
            <w:tcBorders>
              <w:tl2br w:val="nil"/>
              <w:tr2bl w:val="nil"/>
            </w:tcBorders>
            <w:vAlign w:val="center"/>
          </w:tcPr>
          <w:p w14:paraId="6CF12A9A">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1mg/LSB</w:t>
            </w:r>
          </w:p>
        </w:tc>
        <w:tc>
          <w:tcPr>
            <w:tcW w:w="858" w:type="pct"/>
            <w:tcBorders>
              <w:tl2br w:val="nil"/>
              <w:tr2bl w:val="nil"/>
            </w:tcBorders>
            <w:vAlign w:val="center"/>
          </w:tcPr>
          <w:p w14:paraId="532B40AA">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1CA20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1252" w:type="pct"/>
            <w:tcBorders>
              <w:tl2br w:val="nil"/>
              <w:tr2bl w:val="nil"/>
            </w:tcBorders>
            <w:vAlign w:val="center"/>
          </w:tcPr>
          <w:p w14:paraId="33FA1B17">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通信方式</w:t>
            </w:r>
          </w:p>
        </w:tc>
        <w:tc>
          <w:tcPr>
            <w:tcW w:w="2889" w:type="pct"/>
            <w:tcBorders>
              <w:tl2br w:val="nil"/>
              <w:tr2bl w:val="nil"/>
            </w:tcBorders>
            <w:vAlign w:val="center"/>
          </w:tcPr>
          <w:p w14:paraId="5CB0E09A">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移动通信</w:t>
            </w:r>
          </w:p>
        </w:tc>
        <w:tc>
          <w:tcPr>
            <w:tcW w:w="858" w:type="pct"/>
            <w:tcBorders>
              <w:tl2br w:val="nil"/>
              <w:tr2bl w:val="nil"/>
            </w:tcBorders>
            <w:vAlign w:val="center"/>
          </w:tcPr>
          <w:p w14:paraId="0A06C003">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69B89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1252" w:type="pct"/>
            <w:tcBorders>
              <w:tl2br w:val="nil"/>
              <w:tr2bl w:val="nil"/>
            </w:tcBorders>
            <w:vAlign w:val="center"/>
          </w:tcPr>
          <w:p w14:paraId="4A257725">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通讯标准</w:t>
            </w:r>
          </w:p>
        </w:tc>
        <w:tc>
          <w:tcPr>
            <w:tcW w:w="2889" w:type="pct"/>
            <w:tcBorders>
              <w:tl2br w:val="nil"/>
              <w:tr2bl w:val="nil"/>
            </w:tcBorders>
            <w:vAlign w:val="center"/>
          </w:tcPr>
          <w:p w14:paraId="1F75B6D0">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符合《地质灾害监测数据通讯技术要求》</w:t>
            </w:r>
          </w:p>
        </w:tc>
        <w:tc>
          <w:tcPr>
            <w:tcW w:w="858" w:type="pct"/>
            <w:tcBorders>
              <w:tl2br w:val="nil"/>
              <w:tr2bl w:val="nil"/>
            </w:tcBorders>
            <w:vAlign w:val="center"/>
          </w:tcPr>
          <w:p w14:paraId="51A5006F">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7C719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252" w:type="pct"/>
            <w:tcBorders>
              <w:tl2br w:val="nil"/>
              <w:tr2bl w:val="nil"/>
            </w:tcBorders>
            <w:vAlign w:val="center"/>
          </w:tcPr>
          <w:p w14:paraId="02D1720C">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输出参数</w:t>
            </w:r>
          </w:p>
        </w:tc>
        <w:tc>
          <w:tcPr>
            <w:tcW w:w="2889" w:type="pct"/>
            <w:tcBorders>
              <w:tl2br w:val="nil"/>
              <w:tr2bl w:val="nil"/>
            </w:tcBorders>
            <w:vAlign w:val="center"/>
          </w:tcPr>
          <w:p w14:paraId="7D3CF34E">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分层含水率、温度、振动加速度、倾角</w:t>
            </w:r>
          </w:p>
        </w:tc>
        <w:tc>
          <w:tcPr>
            <w:tcW w:w="858" w:type="pct"/>
            <w:tcBorders>
              <w:tl2br w:val="nil"/>
              <w:tr2bl w:val="nil"/>
            </w:tcBorders>
            <w:vAlign w:val="center"/>
          </w:tcPr>
          <w:p w14:paraId="50BB125B">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652A5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252" w:type="pct"/>
            <w:tcBorders>
              <w:tl2br w:val="nil"/>
              <w:tr2bl w:val="nil"/>
            </w:tcBorders>
            <w:vAlign w:val="center"/>
          </w:tcPr>
          <w:p w14:paraId="69827E0F">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工作温度</w:t>
            </w:r>
          </w:p>
        </w:tc>
        <w:tc>
          <w:tcPr>
            <w:tcW w:w="2889" w:type="pct"/>
            <w:tcBorders>
              <w:tl2br w:val="nil"/>
              <w:tr2bl w:val="nil"/>
            </w:tcBorders>
            <w:vAlign w:val="center"/>
          </w:tcPr>
          <w:p w14:paraId="22AA3481">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-20℃～+80℃</w:t>
            </w:r>
          </w:p>
        </w:tc>
        <w:tc>
          <w:tcPr>
            <w:tcW w:w="858" w:type="pct"/>
            <w:tcBorders>
              <w:tl2br w:val="nil"/>
              <w:tr2bl w:val="nil"/>
            </w:tcBorders>
            <w:vAlign w:val="center"/>
          </w:tcPr>
          <w:p w14:paraId="30D99CC7">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3003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252" w:type="pct"/>
            <w:tcBorders>
              <w:tl2br w:val="nil"/>
              <w:tr2bl w:val="nil"/>
            </w:tcBorders>
            <w:vAlign w:val="center"/>
          </w:tcPr>
          <w:p w14:paraId="72F14147">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工作湿度</w:t>
            </w:r>
          </w:p>
        </w:tc>
        <w:tc>
          <w:tcPr>
            <w:tcW w:w="2889" w:type="pct"/>
            <w:tcBorders>
              <w:tl2br w:val="nil"/>
              <w:tr2bl w:val="nil"/>
            </w:tcBorders>
            <w:vAlign w:val="center"/>
          </w:tcPr>
          <w:p w14:paraId="73E52BCF">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0～98%RH（无凝结）</w:t>
            </w:r>
          </w:p>
        </w:tc>
        <w:tc>
          <w:tcPr>
            <w:tcW w:w="858" w:type="pct"/>
            <w:tcBorders>
              <w:tl2br w:val="nil"/>
              <w:tr2bl w:val="nil"/>
            </w:tcBorders>
            <w:vAlign w:val="center"/>
          </w:tcPr>
          <w:p w14:paraId="6246CD3C">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1D22C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52" w:type="pct"/>
            <w:tcBorders>
              <w:tl2br w:val="nil"/>
              <w:tr2bl w:val="nil"/>
            </w:tcBorders>
            <w:vAlign w:val="center"/>
          </w:tcPr>
          <w:p w14:paraId="65460A4F">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防护等级</w:t>
            </w:r>
          </w:p>
        </w:tc>
        <w:tc>
          <w:tcPr>
            <w:tcW w:w="2889" w:type="pct"/>
            <w:tcBorders>
              <w:tl2br w:val="nil"/>
              <w:tr2bl w:val="nil"/>
            </w:tcBorders>
            <w:vAlign w:val="center"/>
          </w:tcPr>
          <w:p w14:paraId="241132AF">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IP68</w:t>
            </w:r>
          </w:p>
        </w:tc>
        <w:tc>
          <w:tcPr>
            <w:tcW w:w="858" w:type="pct"/>
            <w:tcBorders>
              <w:tl2br w:val="nil"/>
              <w:tr2bl w:val="nil"/>
            </w:tcBorders>
            <w:vAlign w:val="center"/>
          </w:tcPr>
          <w:p w14:paraId="44FDAA42">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69DF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252" w:type="pct"/>
            <w:tcBorders>
              <w:tl2br w:val="nil"/>
              <w:tr2bl w:val="nil"/>
            </w:tcBorders>
            <w:vAlign w:val="center"/>
          </w:tcPr>
          <w:p w14:paraId="1507FF65">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响应时间</w:t>
            </w:r>
          </w:p>
        </w:tc>
        <w:tc>
          <w:tcPr>
            <w:tcW w:w="2889" w:type="pct"/>
            <w:tcBorders>
              <w:tl2br w:val="nil"/>
              <w:tr2bl w:val="nil"/>
            </w:tcBorders>
            <w:vAlign w:val="center"/>
          </w:tcPr>
          <w:p w14:paraId="605B98BB">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在1秒内进入稳态过程</w:t>
            </w:r>
          </w:p>
        </w:tc>
        <w:tc>
          <w:tcPr>
            <w:tcW w:w="858" w:type="pct"/>
            <w:tcBorders>
              <w:tl2br w:val="nil"/>
              <w:tr2bl w:val="nil"/>
            </w:tcBorders>
            <w:vAlign w:val="center"/>
          </w:tcPr>
          <w:p w14:paraId="02A461F0">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56F9F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52" w:type="pct"/>
            <w:tcBorders>
              <w:tl2br w:val="nil"/>
              <w:tr2bl w:val="nil"/>
            </w:tcBorders>
            <w:vAlign w:val="center"/>
          </w:tcPr>
          <w:p w14:paraId="2BB8F8D7">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分辨率</w:t>
            </w:r>
          </w:p>
        </w:tc>
        <w:tc>
          <w:tcPr>
            <w:tcW w:w="2889" w:type="pct"/>
            <w:tcBorders>
              <w:tl2br w:val="nil"/>
              <w:tr2bl w:val="nil"/>
            </w:tcBorders>
            <w:vAlign w:val="center"/>
          </w:tcPr>
          <w:p w14:paraId="1126FEA6">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1/1000</w:t>
            </w:r>
          </w:p>
        </w:tc>
        <w:tc>
          <w:tcPr>
            <w:tcW w:w="858" w:type="pct"/>
            <w:tcBorders>
              <w:tl2br w:val="nil"/>
              <w:tr2bl w:val="nil"/>
            </w:tcBorders>
            <w:vAlign w:val="center"/>
          </w:tcPr>
          <w:p w14:paraId="097ED419">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65124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52" w:type="pct"/>
            <w:tcBorders>
              <w:tl2br w:val="nil"/>
              <w:tr2bl w:val="nil"/>
            </w:tcBorders>
            <w:vAlign w:val="center"/>
          </w:tcPr>
          <w:p w14:paraId="25C6AF74">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电压</w:t>
            </w:r>
          </w:p>
        </w:tc>
        <w:tc>
          <w:tcPr>
            <w:tcW w:w="2889" w:type="pct"/>
            <w:tcBorders>
              <w:tl2br w:val="nil"/>
              <w:tr2bl w:val="nil"/>
            </w:tcBorders>
            <w:vAlign w:val="center"/>
          </w:tcPr>
          <w:p w14:paraId="3DA14138">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5VDC-12VDC</w:t>
            </w:r>
          </w:p>
        </w:tc>
        <w:tc>
          <w:tcPr>
            <w:tcW w:w="858" w:type="pct"/>
            <w:tcBorders>
              <w:tl2br w:val="nil"/>
              <w:tr2bl w:val="nil"/>
            </w:tcBorders>
            <w:vAlign w:val="center"/>
          </w:tcPr>
          <w:p w14:paraId="0873A749">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1BDF2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252" w:type="pct"/>
            <w:tcBorders>
              <w:tl2br w:val="nil"/>
              <w:tr2bl w:val="nil"/>
            </w:tcBorders>
            <w:vAlign w:val="center"/>
          </w:tcPr>
          <w:p w14:paraId="0346C4B2">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工作电流</w:t>
            </w:r>
          </w:p>
        </w:tc>
        <w:tc>
          <w:tcPr>
            <w:tcW w:w="2889" w:type="pct"/>
            <w:tcBorders>
              <w:tl2br w:val="nil"/>
              <w:tr2bl w:val="nil"/>
            </w:tcBorders>
            <w:vAlign w:val="center"/>
          </w:tcPr>
          <w:p w14:paraId="28B7804B">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不带温度＜50mA；带温度＜80mA</w:t>
            </w:r>
          </w:p>
        </w:tc>
        <w:tc>
          <w:tcPr>
            <w:tcW w:w="858" w:type="pct"/>
            <w:tcBorders>
              <w:tl2br w:val="nil"/>
              <w:tr2bl w:val="nil"/>
            </w:tcBorders>
            <w:vAlign w:val="center"/>
          </w:tcPr>
          <w:p w14:paraId="50A2F26E">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4E144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52" w:type="pct"/>
            <w:tcBorders>
              <w:tl2br w:val="nil"/>
              <w:tr2bl w:val="nil"/>
            </w:tcBorders>
            <w:vAlign w:val="center"/>
          </w:tcPr>
          <w:p w14:paraId="323F9E8E">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安装方式</w:t>
            </w:r>
          </w:p>
        </w:tc>
        <w:tc>
          <w:tcPr>
            <w:tcW w:w="2889" w:type="pct"/>
            <w:tcBorders>
              <w:tl2br w:val="nil"/>
              <w:tr2bl w:val="nil"/>
            </w:tcBorders>
            <w:vAlign w:val="center"/>
          </w:tcPr>
          <w:p w14:paraId="7500CAE5">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原状土回灌浆等</w:t>
            </w:r>
          </w:p>
        </w:tc>
        <w:tc>
          <w:tcPr>
            <w:tcW w:w="858" w:type="pct"/>
            <w:tcBorders>
              <w:tl2br w:val="nil"/>
              <w:tr2bl w:val="nil"/>
            </w:tcBorders>
            <w:vAlign w:val="center"/>
          </w:tcPr>
          <w:p w14:paraId="35574BF8">
            <w:pPr>
              <w:pStyle w:val="11"/>
              <w:spacing w:line="240" w:lineRule="auto"/>
              <w:ind w:firstLine="0" w:firstLineChars="0"/>
              <w:rPr>
                <w:rFonts w:asciiTheme="minorEastAsia" w:hAnsiTheme="minorEastAsia" w:eastAsiaTheme="minorEastAsia" w:cstheme="minorEastAsia"/>
                <w:color w:val="auto"/>
                <w:sz w:val="21"/>
                <w:highlight w:val="none"/>
              </w:rPr>
            </w:pPr>
          </w:p>
        </w:tc>
      </w:tr>
      <w:tr w14:paraId="4BB4F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52" w:type="pct"/>
            <w:tcBorders>
              <w:tl2br w:val="nil"/>
              <w:tr2bl w:val="nil"/>
            </w:tcBorders>
            <w:vAlign w:val="center"/>
          </w:tcPr>
          <w:p w14:paraId="061A72FA">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供电要求</w:t>
            </w:r>
          </w:p>
        </w:tc>
        <w:tc>
          <w:tcPr>
            <w:tcW w:w="2889" w:type="pct"/>
            <w:tcBorders>
              <w:tl2br w:val="nil"/>
              <w:tr2bl w:val="nil"/>
            </w:tcBorders>
            <w:vAlign w:val="center"/>
          </w:tcPr>
          <w:p w14:paraId="4282D27B">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满足连续30个阴雨日正常工作</w:t>
            </w:r>
          </w:p>
        </w:tc>
        <w:tc>
          <w:tcPr>
            <w:tcW w:w="858" w:type="pct"/>
            <w:tcBorders>
              <w:tl2br w:val="nil"/>
              <w:tr2bl w:val="nil"/>
            </w:tcBorders>
            <w:vAlign w:val="center"/>
          </w:tcPr>
          <w:p w14:paraId="263260E9">
            <w:pPr>
              <w:pStyle w:val="11"/>
              <w:spacing w:line="240" w:lineRule="auto"/>
              <w:ind w:firstLine="0" w:firstLineChars="0"/>
              <w:rPr>
                <w:rFonts w:asciiTheme="minorEastAsia" w:hAnsiTheme="minorEastAsia" w:eastAsiaTheme="minorEastAsia" w:cstheme="minorEastAsia"/>
                <w:color w:val="auto"/>
                <w:sz w:val="21"/>
                <w:highlight w:val="none"/>
              </w:rPr>
            </w:pPr>
            <w:r>
              <w:rPr>
                <w:rFonts w:asciiTheme="minorEastAsia" w:hAnsiTheme="minorEastAsia" w:eastAsiaTheme="minorEastAsia" w:cstheme="minorEastAsia"/>
                <w:color w:val="auto"/>
                <w:sz w:val="21"/>
                <w:highlight w:val="none"/>
              </w:rPr>
              <w:t>过压及欠压保护</w:t>
            </w:r>
          </w:p>
        </w:tc>
      </w:tr>
    </w:tbl>
    <w:p w14:paraId="51DAF6A6">
      <w:pPr>
        <w:pStyle w:val="3"/>
        <w:ind w:firstLine="482"/>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多参数裂缝计：</w:t>
      </w:r>
    </w:p>
    <w:p w14:paraId="0FD39E26">
      <w:pPr>
        <w:ind w:firstLine="42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多参数裂缝计技术指标</w:t>
      </w:r>
    </w:p>
    <w:tbl>
      <w:tblPr>
        <w:tblStyle w:val="7"/>
        <w:tblW w:w="5000" w:type="pct"/>
        <w:tblInd w:w="0" w:type="dxa"/>
        <w:tblLayout w:type="autofit"/>
        <w:tblCellMar>
          <w:top w:w="0" w:type="dxa"/>
          <w:left w:w="108" w:type="dxa"/>
          <w:bottom w:w="0" w:type="dxa"/>
          <w:right w:w="108" w:type="dxa"/>
        </w:tblCellMar>
      </w:tblPr>
      <w:tblGrid>
        <w:gridCol w:w="2030"/>
        <w:gridCol w:w="4219"/>
        <w:gridCol w:w="2273"/>
      </w:tblGrid>
      <w:tr w14:paraId="7C01BEF7">
        <w:tblPrEx>
          <w:tblCellMar>
            <w:top w:w="0" w:type="dxa"/>
            <w:left w:w="108" w:type="dxa"/>
            <w:bottom w:w="0" w:type="dxa"/>
            <w:right w:w="108" w:type="dxa"/>
          </w:tblCellMar>
        </w:tblPrEx>
        <w:trPr>
          <w:trHeight w:val="270" w:hRule="atLeast"/>
        </w:trPr>
        <w:tc>
          <w:tcPr>
            <w:tcW w:w="1191" w:type="pct"/>
            <w:tcBorders>
              <w:top w:val="single" w:color="auto" w:sz="4" w:space="0"/>
              <w:left w:val="single" w:color="auto" w:sz="4" w:space="0"/>
              <w:bottom w:val="single" w:color="auto" w:sz="4" w:space="0"/>
              <w:right w:val="single" w:color="auto" w:sz="4" w:space="0"/>
            </w:tcBorders>
            <w:vAlign w:val="center"/>
          </w:tcPr>
          <w:p w14:paraId="3DD467EA">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参数类型</w:t>
            </w:r>
          </w:p>
        </w:tc>
        <w:tc>
          <w:tcPr>
            <w:tcW w:w="2475" w:type="pct"/>
            <w:tcBorders>
              <w:top w:val="single" w:color="auto" w:sz="4" w:space="0"/>
              <w:left w:val="nil"/>
              <w:bottom w:val="single" w:color="auto" w:sz="4" w:space="0"/>
              <w:right w:val="single" w:color="auto" w:sz="4" w:space="0"/>
            </w:tcBorders>
            <w:vAlign w:val="center"/>
          </w:tcPr>
          <w:p w14:paraId="32F499EF">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技术指标</w:t>
            </w:r>
          </w:p>
        </w:tc>
        <w:tc>
          <w:tcPr>
            <w:tcW w:w="1333" w:type="pct"/>
            <w:tcBorders>
              <w:top w:val="single" w:color="auto" w:sz="4" w:space="0"/>
              <w:left w:val="nil"/>
              <w:bottom w:val="single" w:color="auto" w:sz="4" w:space="0"/>
              <w:right w:val="single" w:color="auto" w:sz="4" w:space="0"/>
            </w:tcBorders>
            <w:vAlign w:val="center"/>
          </w:tcPr>
          <w:p w14:paraId="2A9C11AE">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备注</w:t>
            </w:r>
          </w:p>
        </w:tc>
      </w:tr>
      <w:tr w14:paraId="39162CB4">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455500C3">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裂缝测量范围</w:t>
            </w:r>
          </w:p>
        </w:tc>
        <w:tc>
          <w:tcPr>
            <w:tcW w:w="2475" w:type="pct"/>
            <w:tcBorders>
              <w:top w:val="nil"/>
              <w:left w:val="nil"/>
              <w:bottom w:val="single" w:color="auto" w:sz="4" w:space="0"/>
              <w:right w:val="single" w:color="auto" w:sz="4" w:space="0"/>
            </w:tcBorders>
            <w:vAlign w:val="center"/>
          </w:tcPr>
          <w:p w14:paraId="2D2D14A2">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0～1000mm</w:t>
            </w:r>
          </w:p>
        </w:tc>
        <w:tc>
          <w:tcPr>
            <w:tcW w:w="1333" w:type="pct"/>
            <w:tcBorders>
              <w:top w:val="nil"/>
              <w:left w:val="nil"/>
              <w:bottom w:val="single" w:color="auto" w:sz="4" w:space="0"/>
              <w:right w:val="single" w:color="auto" w:sz="4" w:space="0"/>
            </w:tcBorders>
            <w:vAlign w:val="center"/>
          </w:tcPr>
          <w:p w14:paraId="1B37BB30">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可选</w:t>
            </w:r>
          </w:p>
        </w:tc>
      </w:tr>
      <w:tr w14:paraId="0E2770AB">
        <w:tblPrEx>
          <w:tblCellMar>
            <w:top w:w="0" w:type="dxa"/>
            <w:left w:w="108" w:type="dxa"/>
            <w:bottom w:w="0" w:type="dxa"/>
            <w:right w:w="108" w:type="dxa"/>
          </w:tblCellMar>
        </w:tblPrEx>
        <w:trPr>
          <w:trHeight w:val="294" w:hRule="atLeast"/>
        </w:trPr>
        <w:tc>
          <w:tcPr>
            <w:tcW w:w="1191" w:type="pct"/>
            <w:tcBorders>
              <w:top w:val="nil"/>
              <w:left w:val="single" w:color="auto" w:sz="4" w:space="0"/>
              <w:bottom w:val="single" w:color="auto" w:sz="4" w:space="0"/>
              <w:right w:val="single" w:color="auto" w:sz="4" w:space="0"/>
            </w:tcBorders>
            <w:vAlign w:val="center"/>
          </w:tcPr>
          <w:p w14:paraId="5AE48262">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裂缝测量精度</w:t>
            </w:r>
          </w:p>
        </w:tc>
        <w:tc>
          <w:tcPr>
            <w:tcW w:w="2475" w:type="pct"/>
            <w:tcBorders>
              <w:top w:val="nil"/>
              <w:left w:val="nil"/>
              <w:bottom w:val="single" w:color="auto" w:sz="4" w:space="0"/>
              <w:right w:val="single" w:color="auto" w:sz="4" w:space="0"/>
            </w:tcBorders>
            <w:vAlign w:val="center"/>
          </w:tcPr>
          <w:p w14:paraId="3989E009">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±0.1%F·S</w:t>
            </w:r>
          </w:p>
        </w:tc>
        <w:tc>
          <w:tcPr>
            <w:tcW w:w="1333" w:type="pct"/>
            <w:tcBorders>
              <w:top w:val="nil"/>
              <w:left w:val="nil"/>
              <w:bottom w:val="single" w:color="auto" w:sz="4" w:space="0"/>
              <w:right w:val="single" w:color="auto" w:sz="4" w:space="0"/>
            </w:tcBorders>
            <w:vAlign w:val="center"/>
          </w:tcPr>
          <w:p w14:paraId="4456F048">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3EF59DD5">
        <w:tblPrEx>
          <w:tblCellMar>
            <w:top w:w="0" w:type="dxa"/>
            <w:left w:w="108" w:type="dxa"/>
            <w:bottom w:w="0" w:type="dxa"/>
            <w:right w:w="108" w:type="dxa"/>
          </w:tblCellMar>
        </w:tblPrEx>
        <w:trPr>
          <w:trHeight w:val="299" w:hRule="atLeast"/>
        </w:trPr>
        <w:tc>
          <w:tcPr>
            <w:tcW w:w="1191" w:type="pct"/>
            <w:tcBorders>
              <w:top w:val="nil"/>
              <w:left w:val="single" w:color="auto" w:sz="4" w:space="0"/>
              <w:bottom w:val="single" w:color="auto" w:sz="4" w:space="0"/>
              <w:right w:val="single" w:color="auto" w:sz="4" w:space="0"/>
            </w:tcBorders>
            <w:vAlign w:val="center"/>
          </w:tcPr>
          <w:p w14:paraId="47F10D56">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倾角测量范围</w:t>
            </w:r>
          </w:p>
        </w:tc>
        <w:tc>
          <w:tcPr>
            <w:tcW w:w="2475" w:type="pct"/>
            <w:tcBorders>
              <w:top w:val="nil"/>
              <w:left w:val="nil"/>
              <w:bottom w:val="single" w:color="auto" w:sz="4" w:space="0"/>
              <w:right w:val="single" w:color="auto" w:sz="4" w:space="0"/>
            </w:tcBorders>
            <w:vAlign w:val="center"/>
          </w:tcPr>
          <w:p w14:paraId="31A8AD38">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±30</w:t>
            </w:r>
          </w:p>
        </w:tc>
        <w:tc>
          <w:tcPr>
            <w:tcW w:w="1333" w:type="pct"/>
            <w:tcBorders>
              <w:top w:val="nil"/>
              <w:left w:val="nil"/>
              <w:bottom w:val="single" w:color="auto" w:sz="4" w:space="0"/>
              <w:right w:val="single" w:color="auto" w:sz="4" w:space="0"/>
            </w:tcBorders>
            <w:vAlign w:val="center"/>
          </w:tcPr>
          <w:p w14:paraId="70529C7E">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必选功能</w:t>
            </w:r>
          </w:p>
        </w:tc>
      </w:tr>
      <w:tr w14:paraId="5D56B0A2">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189726E3">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倾角测量精度</w:t>
            </w:r>
          </w:p>
        </w:tc>
        <w:tc>
          <w:tcPr>
            <w:tcW w:w="2475" w:type="pct"/>
            <w:tcBorders>
              <w:top w:val="nil"/>
              <w:left w:val="nil"/>
              <w:bottom w:val="single" w:color="auto" w:sz="4" w:space="0"/>
              <w:right w:val="single" w:color="auto" w:sz="4" w:space="0"/>
            </w:tcBorders>
            <w:vAlign w:val="center"/>
          </w:tcPr>
          <w:p w14:paraId="37095FAE">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xml:space="preserve"> ±0.1°</w:t>
            </w:r>
          </w:p>
        </w:tc>
        <w:tc>
          <w:tcPr>
            <w:tcW w:w="1333" w:type="pct"/>
            <w:tcBorders>
              <w:top w:val="nil"/>
              <w:left w:val="nil"/>
              <w:bottom w:val="single" w:color="auto" w:sz="4" w:space="0"/>
              <w:right w:val="single" w:color="auto" w:sz="4" w:space="0"/>
            </w:tcBorders>
            <w:vAlign w:val="center"/>
          </w:tcPr>
          <w:p w14:paraId="078BB312">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必选功能</w:t>
            </w:r>
          </w:p>
        </w:tc>
      </w:tr>
      <w:tr w14:paraId="5665EE7A">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4D093C66">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加速度量程</w:t>
            </w:r>
          </w:p>
        </w:tc>
        <w:tc>
          <w:tcPr>
            <w:tcW w:w="2475" w:type="pct"/>
            <w:tcBorders>
              <w:top w:val="nil"/>
              <w:left w:val="nil"/>
              <w:bottom w:val="single" w:color="auto" w:sz="4" w:space="0"/>
              <w:right w:val="single" w:color="auto" w:sz="4" w:space="0"/>
            </w:tcBorders>
            <w:vAlign w:val="center"/>
          </w:tcPr>
          <w:p w14:paraId="69D2E127">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±2g</w:t>
            </w:r>
          </w:p>
        </w:tc>
        <w:tc>
          <w:tcPr>
            <w:tcW w:w="1333" w:type="pct"/>
            <w:tcBorders>
              <w:top w:val="nil"/>
              <w:left w:val="nil"/>
              <w:bottom w:val="single" w:color="auto" w:sz="4" w:space="0"/>
              <w:right w:val="single" w:color="auto" w:sz="4" w:space="0"/>
            </w:tcBorders>
            <w:vAlign w:val="center"/>
          </w:tcPr>
          <w:p w14:paraId="08F5C04B">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716648B3">
        <w:trPr>
          <w:trHeight w:val="270" w:hRule="atLeast"/>
        </w:trPr>
        <w:tc>
          <w:tcPr>
            <w:tcW w:w="1191" w:type="pct"/>
            <w:tcBorders>
              <w:top w:val="nil"/>
              <w:left w:val="single" w:color="auto" w:sz="4" w:space="0"/>
              <w:bottom w:val="single" w:color="auto" w:sz="4" w:space="0"/>
              <w:right w:val="single" w:color="auto" w:sz="4" w:space="0"/>
            </w:tcBorders>
            <w:vAlign w:val="center"/>
          </w:tcPr>
          <w:p w14:paraId="2691EEA7">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加速度分辨率</w:t>
            </w:r>
          </w:p>
        </w:tc>
        <w:tc>
          <w:tcPr>
            <w:tcW w:w="2475" w:type="pct"/>
            <w:tcBorders>
              <w:top w:val="nil"/>
              <w:left w:val="nil"/>
              <w:bottom w:val="single" w:color="auto" w:sz="4" w:space="0"/>
              <w:right w:val="single" w:color="auto" w:sz="4" w:space="0"/>
            </w:tcBorders>
            <w:vAlign w:val="center"/>
          </w:tcPr>
          <w:p w14:paraId="5239C296">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0.1mg</w:t>
            </w:r>
          </w:p>
        </w:tc>
        <w:tc>
          <w:tcPr>
            <w:tcW w:w="1333" w:type="pct"/>
            <w:tcBorders>
              <w:top w:val="nil"/>
              <w:left w:val="nil"/>
              <w:bottom w:val="single" w:color="auto" w:sz="4" w:space="0"/>
              <w:right w:val="single" w:color="auto" w:sz="4" w:space="0"/>
            </w:tcBorders>
            <w:vAlign w:val="center"/>
          </w:tcPr>
          <w:p w14:paraId="02328776">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4DC17484">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023D62AE">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加速度精度</w:t>
            </w:r>
          </w:p>
        </w:tc>
        <w:tc>
          <w:tcPr>
            <w:tcW w:w="2475" w:type="pct"/>
            <w:tcBorders>
              <w:top w:val="nil"/>
              <w:left w:val="nil"/>
              <w:bottom w:val="single" w:color="auto" w:sz="4" w:space="0"/>
              <w:right w:val="single" w:color="auto" w:sz="4" w:space="0"/>
            </w:tcBorders>
            <w:vAlign w:val="center"/>
          </w:tcPr>
          <w:p w14:paraId="6E34520B">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±1mg</w:t>
            </w:r>
          </w:p>
        </w:tc>
        <w:tc>
          <w:tcPr>
            <w:tcW w:w="1333" w:type="pct"/>
            <w:tcBorders>
              <w:top w:val="nil"/>
              <w:left w:val="nil"/>
              <w:bottom w:val="single" w:color="auto" w:sz="4" w:space="0"/>
              <w:right w:val="single" w:color="auto" w:sz="4" w:space="0"/>
            </w:tcBorders>
            <w:vAlign w:val="center"/>
          </w:tcPr>
          <w:p w14:paraId="14D238A0">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29243DD8">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059DB465">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采样间隔</w:t>
            </w:r>
          </w:p>
        </w:tc>
        <w:tc>
          <w:tcPr>
            <w:tcW w:w="2475" w:type="pct"/>
            <w:tcBorders>
              <w:top w:val="nil"/>
              <w:left w:val="nil"/>
              <w:bottom w:val="single" w:color="auto" w:sz="4" w:space="0"/>
              <w:right w:val="single" w:color="auto" w:sz="4" w:space="0"/>
            </w:tcBorders>
            <w:vAlign w:val="center"/>
          </w:tcPr>
          <w:p w14:paraId="3293EC2D">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0s～24h</w:t>
            </w:r>
          </w:p>
        </w:tc>
        <w:tc>
          <w:tcPr>
            <w:tcW w:w="1333" w:type="pct"/>
            <w:tcBorders>
              <w:top w:val="nil"/>
              <w:left w:val="nil"/>
              <w:bottom w:val="single" w:color="auto" w:sz="4" w:space="0"/>
              <w:right w:val="single" w:color="auto" w:sz="4" w:space="0"/>
            </w:tcBorders>
            <w:vAlign w:val="center"/>
          </w:tcPr>
          <w:p w14:paraId="142FC4FA">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可依据需求设定</w:t>
            </w:r>
          </w:p>
        </w:tc>
      </w:tr>
      <w:tr w14:paraId="3B4B3FE2">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2BD1E350">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上传间隔</w:t>
            </w:r>
          </w:p>
        </w:tc>
        <w:tc>
          <w:tcPr>
            <w:tcW w:w="2475" w:type="pct"/>
            <w:tcBorders>
              <w:top w:val="nil"/>
              <w:left w:val="nil"/>
              <w:bottom w:val="single" w:color="auto" w:sz="4" w:space="0"/>
              <w:right w:val="single" w:color="auto" w:sz="4" w:space="0"/>
            </w:tcBorders>
            <w:vAlign w:val="center"/>
          </w:tcPr>
          <w:p w14:paraId="49E0F088">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0s～72h</w:t>
            </w:r>
          </w:p>
        </w:tc>
        <w:tc>
          <w:tcPr>
            <w:tcW w:w="1333" w:type="pct"/>
            <w:tcBorders>
              <w:top w:val="nil"/>
              <w:left w:val="nil"/>
              <w:bottom w:val="single" w:color="auto" w:sz="4" w:space="0"/>
              <w:right w:val="single" w:color="auto" w:sz="4" w:space="0"/>
            </w:tcBorders>
            <w:vAlign w:val="center"/>
          </w:tcPr>
          <w:p w14:paraId="61B7B8F6">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可依据需求设定</w:t>
            </w:r>
          </w:p>
        </w:tc>
      </w:tr>
      <w:tr w14:paraId="2080DF1C">
        <w:tblPrEx>
          <w:tblCellMar>
            <w:top w:w="0" w:type="dxa"/>
            <w:left w:w="108" w:type="dxa"/>
            <w:bottom w:w="0" w:type="dxa"/>
            <w:right w:w="108" w:type="dxa"/>
          </w:tblCellMar>
        </w:tblPrEx>
        <w:trPr>
          <w:trHeight w:val="337" w:hRule="atLeast"/>
        </w:trPr>
        <w:tc>
          <w:tcPr>
            <w:tcW w:w="1191" w:type="pct"/>
            <w:tcBorders>
              <w:top w:val="nil"/>
              <w:left w:val="single" w:color="auto" w:sz="4" w:space="0"/>
              <w:bottom w:val="single" w:color="auto" w:sz="4" w:space="0"/>
              <w:right w:val="single" w:color="auto" w:sz="4" w:space="0"/>
            </w:tcBorders>
            <w:vAlign w:val="center"/>
          </w:tcPr>
          <w:p w14:paraId="2C48EB18">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通信方式</w:t>
            </w:r>
          </w:p>
        </w:tc>
        <w:tc>
          <w:tcPr>
            <w:tcW w:w="2475" w:type="pct"/>
            <w:tcBorders>
              <w:top w:val="nil"/>
              <w:left w:val="nil"/>
              <w:bottom w:val="single" w:color="auto" w:sz="4" w:space="0"/>
              <w:right w:val="single" w:color="auto" w:sz="4" w:space="0"/>
            </w:tcBorders>
            <w:vAlign w:val="center"/>
          </w:tcPr>
          <w:p w14:paraId="0F727D15">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kern w:val="0"/>
                <w:sz w:val="21"/>
                <w:szCs w:val="21"/>
                <w:highlight w:val="none"/>
                <w:lang w:bidi="ar"/>
              </w:rPr>
              <w:t>移动通信</w:t>
            </w:r>
          </w:p>
        </w:tc>
        <w:tc>
          <w:tcPr>
            <w:tcW w:w="1333" w:type="pct"/>
            <w:tcBorders>
              <w:top w:val="nil"/>
              <w:left w:val="nil"/>
              <w:bottom w:val="single" w:color="auto" w:sz="4" w:space="0"/>
              <w:right w:val="single" w:color="auto" w:sz="4" w:space="0"/>
            </w:tcBorders>
            <w:vAlign w:val="center"/>
          </w:tcPr>
          <w:p w14:paraId="14FC17BB">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5DE797A0">
        <w:tblPrEx>
          <w:tblCellMar>
            <w:top w:w="0" w:type="dxa"/>
            <w:left w:w="108" w:type="dxa"/>
            <w:bottom w:w="0" w:type="dxa"/>
            <w:right w:w="108" w:type="dxa"/>
          </w:tblCellMar>
        </w:tblPrEx>
        <w:trPr>
          <w:trHeight w:val="351" w:hRule="atLeast"/>
        </w:trPr>
        <w:tc>
          <w:tcPr>
            <w:tcW w:w="1191" w:type="pct"/>
            <w:tcBorders>
              <w:top w:val="nil"/>
              <w:left w:val="single" w:color="auto" w:sz="4" w:space="0"/>
              <w:bottom w:val="single" w:color="auto" w:sz="4" w:space="0"/>
              <w:right w:val="single" w:color="auto" w:sz="4" w:space="0"/>
            </w:tcBorders>
            <w:vAlign w:val="center"/>
          </w:tcPr>
          <w:p w14:paraId="5D116C96">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通讯标准</w:t>
            </w:r>
          </w:p>
        </w:tc>
        <w:tc>
          <w:tcPr>
            <w:tcW w:w="2475" w:type="pct"/>
            <w:tcBorders>
              <w:top w:val="nil"/>
              <w:left w:val="nil"/>
              <w:bottom w:val="single" w:color="auto" w:sz="4" w:space="0"/>
              <w:right w:val="single" w:color="auto" w:sz="4" w:space="0"/>
            </w:tcBorders>
            <w:vAlign w:val="center"/>
          </w:tcPr>
          <w:p w14:paraId="3714BD41">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符合《地质灾害监测数据通讯技术要求》</w:t>
            </w:r>
          </w:p>
        </w:tc>
        <w:tc>
          <w:tcPr>
            <w:tcW w:w="1333" w:type="pct"/>
            <w:tcBorders>
              <w:top w:val="nil"/>
              <w:left w:val="nil"/>
              <w:bottom w:val="single" w:color="auto" w:sz="4" w:space="0"/>
              <w:right w:val="single" w:color="auto" w:sz="4" w:space="0"/>
            </w:tcBorders>
            <w:vAlign w:val="center"/>
          </w:tcPr>
          <w:p w14:paraId="09BFF201">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0AE7F33C">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6ABDC9C1">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输出参数</w:t>
            </w:r>
          </w:p>
        </w:tc>
        <w:tc>
          <w:tcPr>
            <w:tcW w:w="2475" w:type="pct"/>
            <w:tcBorders>
              <w:top w:val="nil"/>
              <w:left w:val="nil"/>
              <w:bottom w:val="single" w:color="auto" w:sz="4" w:space="0"/>
              <w:right w:val="single" w:color="auto" w:sz="4" w:space="0"/>
            </w:tcBorders>
            <w:vAlign w:val="center"/>
          </w:tcPr>
          <w:p w14:paraId="4CB7F14E">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裂缝宽度、加速度、倾角</w:t>
            </w:r>
          </w:p>
        </w:tc>
        <w:tc>
          <w:tcPr>
            <w:tcW w:w="1333" w:type="pct"/>
            <w:tcBorders>
              <w:top w:val="nil"/>
              <w:left w:val="nil"/>
              <w:bottom w:val="single" w:color="auto" w:sz="4" w:space="0"/>
              <w:right w:val="single" w:color="auto" w:sz="4" w:space="0"/>
            </w:tcBorders>
            <w:vAlign w:val="center"/>
          </w:tcPr>
          <w:p w14:paraId="291D6A21">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6E1811C7">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0B5B5FAF">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工作温度</w:t>
            </w:r>
          </w:p>
        </w:tc>
        <w:tc>
          <w:tcPr>
            <w:tcW w:w="2475" w:type="pct"/>
            <w:tcBorders>
              <w:top w:val="nil"/>
              <w:left w:val="nil"/>
              <w:bottom w:val="single" w:color="auto" w:sz="4" w:space="0"/>
              <w:right w:val="single" w:color="auto" w:sz="4" w:space="0"/>
            </w:tcBorders>
            <w:vAlign w:val="center"/>
          </w:tcPr>
          <w:p w14:paraId="69F4113A">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-20℃～+80℃</w:t>
            </w:r>
          </w:p>
        </w:tc>
        <w:tc>
          <w:tcPr>
            <w:tcW w:w="1333" w:type="pct"/>
            <w:tcBorders>
              <w:top w:val="nil"/>
              <w:left w:val="nil"/>
              <w:bottom w:val="single" w:color="auto" w:sz="4" w:space="0"/>
              <w:right w:val="single" w:color="auto" w:sz="4" w:space="0"/>
            </w:tcBorders>
            <w:vAlign w:val="center"/>
          </w:tcPr>
          <w:p w14:paraId="424D0034">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4378646D">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10C654A6">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工作湿度</w:t>
            </w:r>
          </w:p>
        </w:tc>
        <w:tc>
          <w:tcPr>
            <w:tcW w:w="2475" w:type="pct"/>
            <w:tcBorders>
              <w:top w:val="nil"/>
              <w:left w:val="nil"/>
              <w:bottom w:val="single" w:color="auto" w:sz="4" w:space="0"/>
              <w:right w:val="single" w:color="auto" w:sz="4" w:space="0"/>
            </w:tcBorders>
            <w:vAlign w:val="center"/>
          </w:tcPr>
          <w:p w14:paraId="446B35E3">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kern w:val="0"/>
                <w:sz w:val="21"/>
                <w:szCs w:val="21"/>
                <w:highlight w:val="none"/>
                <w:lang w:bidi="ar"/>
              </w:rPr>
              <w:t>0～98%RH（</w:t>
            </w:r>
            <w:r>
              <w:rPr>
                <w:rFonts w:hint="eastAsia" w:asciiTheme="minorEastAsia" w:hAnsiTheme="minorEastAsia" w:eastAsiaTheme="minorEastAsia" w:cstheme="minorEastAsia"/>
                <w:bCs/>
                <w:color w:val="auto"/>
                <w:sz w:val="21"/>
                <w:szCs w:val="21"/>
                <w:highlight w:val="none"/>
              </w:rPr>
              <w:t>无凝结</w:t>
            </w:r>
            <w:r>
              <w:rPr>
                <w:rFonts w:hint="eastAsia" w:asciiTheme="minorEastAsia" w:hAnsiTheme="minorEastAsia" w:eastAsiaTheme="minorEastAsia" w:cstheme="minorEastAsia"/>
                <w:bCs/>
                <w:color w:val="auto"/>
                <w:kern w:val="0"/>
                <w:sz w:val="21"/>
                <w:szCs w:val="21"/>
                <w:highlight w:val="none"/>
                <w:lang w:bidi="ar"/>
              </w:rPr>
              <w:t>）</w:t>
            </w:r>
          </w:p>
        </w:tc>
        <w:tc>
          <w:tcPr>
            <w:tcW w:w="1333" w:type="pct"/>
            <w:tcBorders>
              <w:top w:val="nil"/>
              <w:left w:val="nil"/>
              <w:bottom w:val="single" w:color="auto" w:sz="4" w:space="0"/>
              <w:right w:val="single" w:color="auto" w:sz="4" w:space="0"/>
            </w:tcBorders>
            <w:vAlign w:val="center"/>
          </w:tcPr>
          <w:p w14:paraId="71D7869D">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7DD07B66">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2938119C">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防护等级</w:t>
            </w:r>
          </w:p>
        </w:tc>
        <w:tc>
          <w:tcPr>
            <w:tcW w:w="2475" w:type="pct"/>
            <w:tcBorders>
              <w:top w:val="nil"/>
              <w:left w:val="nil"/>
              <w:bottom w:val="single" w:color="auto" w:sz="4" w:space="0"/>
              <w:right w:val="single" w:color="auto" w:sz="4" w:space="0"/>
            </w:tcBorders>
            <w:vAlign w:val="center"/>
          </w:tcPr>
          <w:p w14:paraId="2E334D1D">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IP66</w:t>
            </w:r>
          </w:p>
        </w:tc>
        <w:tc>
          <w:tcPr>
            <w:tcW w:w="1333" w:type="pct"/>
            <w:tcBorders>
              <w:top w:val="nil"/>
              <w:left w:val="nil"/>
              <w:bottom w:val="single" w:color="auto" w:sz="4" w:space="0"/>
              <w:right w:val="single" w:color="auto" w:sz="4" w:space="0"/>
            </w:tcBorders>
            <w:vAlign w:val="center"/>
          </w:tcPr>
          <w:p w14:paraId="029A024C">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67765185">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60CACD44">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安装方式</w:t>
            </w:r>
          </w:p>
        </w:tc>
        <w:tc>
          <w:tcPr>
            <w:tcW w:w="2475" w:type="pct"/>
            <w:tcBorders>
              <w:top w:val="nil"/>
              <w:left w:val="nil"/>
              <w:bottom w:val="single" w:color="auto" w:sz="4" w:space="0"/>
              <w:right w:val="single" w:color="auto" w:sz="4" w:space="0"/>
            </w:tcBorders>
            <w:vAlign w:val="center"/>
          </w:tcPr>
          <w:p w14:paraId="348EBCC1">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标准观测墩、现浇混凝土墩、钢结构等</w:t>
            </w:r>
          </w:p>
        </w:tc>
        <w:tc>
          <w:tcPr>
            <w:tcW w:w="1333" w:type="pct"/>
            <w:tcBorders>
              <w:top w:val="nil"/>
              <w:left w:val="nil"/>
              <w:bottom w:val="single" w:color="auto" w:sz="4" w:space="0"/>
              <w:right w:val="single" w:color="auto" w:sz="4" w:space="0"/>
            </w:tcBorders>
            <w:vAlign w:val="center"/>
          </w:tcPr>
          <w:p w14:paraId="0C67A07F">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2143E4B2">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0EA425E7">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电源电压</w:t>
            </w:r>
          </w:p>
        </w:tc>
        <w:tc>
          <w:tcPr>
            <w:tcW w:w="2475" w:type="pct"/>
            <w:tcBorders>
              <w:top w:val="nil"/>
              <w:left w:val="nil"/>
              <w:bottom w:val="single" w:color="auto" w:sz="4" w:space="0"/>
              <w:right w:val="single" w:color="auto" w:sz="4" w:space="0"/>
            </w:tcBorders>
            <w:vAlign w:val="center"/>
          </w:tcPr>
          <w:p w14:paraId="792A08BC">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kern w:val="0"/>
                <w:sz w:val="21"/>
                <w:szCs w:val="21"/>
                <w:highlight w:val="none"/>
                <w:lang w:bidi="ar"/>
              </w:rPr>
              <w:t>DC10～18V</w:t>
            </w:r>
          </w:p>
        </w:tc>
        <w:tc>
          <w:tcPr>
            <w:tcW w:w="1333" w:type="pct"/>
            <w:tcBorders>
              <w:top w:val="nil"/>
              <w:left w:val="nil"/>
              <w:bottom w:val="single" w:color="auto" w:sz="4" w:space="0"/>
              <w:right w:val="single" w:color="auto" w:sz="4" w:space="0"/>
            </w:tcBorders>
            <w:vAlign w:val="center"/>
          </w:tcPr>
          <w:p w14:paraId="09AFE285">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锂电池供电　</w:t>
            </w:r>
          </w:p>
        </w:tc>
      </w:tr>
      <w:tr w14:paraId="22EE1DD7">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64236516">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平均电流</w:t>
            </w:r>
          </w:p>
        </w:tc>
        <w:tc>
          <w:tcPr>
            <w:tcW w:w="2475" w:type="pct"/>
            <w:tcBorders>
              <w:top w:val="nil"/>
              <w:left w:val="nil"/>
              <w:bottom w:val="single" w:color="auto" w:sz="4" w:space="0"/>
              <w:right w:val="single" w:color="auto" w:sz="4" w:space="0"/>
            </w:tcBorders>
            <w:vAlign w:val="center"/>
          </w:tcPr>
          <w:p w14:paraId="755D369B">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kern w:val="0"/>
                <w:sz w:val="21"/>
                <w:szCs w:val="21"/>
                <w:highlight w:val="none"/>
                <w:lang w:bidi="ar"/>
              </w:rPr>
              <w:t>小于50mA(锂电池14VDC/蓄电池12VDC)</w:t>
            </w:r>
          </w:p>
        </w:tc>
        <w:tc>
          <w:tcPr>
            <w:tcW w:w="1333" w:type="pct"/>
            <w:tcBorders>
              <w:top w:val="nil"/>
              <w:left w:val="nil"/>
              <w:bottom w:val="single" w:color="auto" w:sz="4" w:space="0"/>
              <w:right w:val="single" w:color="auto" w:sz="4" w:space="0"/>
            </w:tcBorders>
            <w:vAlign w:val="center"/>
          </w:tcPr>
          <w:p w14:paraId="30BDF585">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10B2F059">
        <w:tblPrEx>
          <w:tblCellMar>
            <w:top w:w="0" w:type="dxa"/>
            <w:left w:w="108" w:type="dxa"/>
            <w:bottom w:w="0" w:type="dxa"/>
            <w:right w:w="108" w:type="dxa"/>
          </w:tblCellMar>
        </w:tblPrEx>
        <w:trPr>
          <w:trHeight w:val="270" w:hRule="atLeast"/>
        </w:trPr>
        <w:tc>
          <w:tcPr>
            <w:tcW w:w="1191" w:type="pct"/>
            <w:tcBorders>
              <w:top w:val="nil"/>
              <w:left w:val="single" w:color="auto" w:sz="4" w:space="0"/>
              <w:bottom w:val="single" w:color="auto" w:sz="4" w:space="0"/>
              <w:right w:val="single" w:color="auto" w:sz="4" w:space="0"/>
            </w:tcBorders>
            <w:vAlign w:val="center"/>
          </w:tcPr>
          <w:p w14:paraId="6806A4A3">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sz w:val="21"/>
                <w:szCs w:val="21"/>
                <w:highlight w:val="none"/>
              </w:rPr>
              <w:t>供电要求</w:t>
            </w:r>
          </w:p>
        </w:tc>
        <w:tc>
          <w:tcPr>
            <w:tcW w:w="2475" w:type="pct"/>
            <w:tcBorders>
              <w:top w:val="nil"/>
              <w:left w:val="nil"/>
              <w:bottom w:val="single" w:color="auto" w:sz="4" w:space="0"/>
              <w:right w:val="single" w:color="auto" w:sz="4" w:space="0"/>
            </w:tcBorders>
            <w:vAlign w:val="center"/>
          </w:tcPr>
          <w:p w14:paraId="5B259800">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满足连续30个阴雨日正常工作</w:t>
            </w:r>
          </w:p>
        </w:tc>
        <w:tc>
          <w:tcPr>
            <w:tcW w:w="1333" w:type="pct"/>
            <w:tcBorders>
              <w:top w:val="nil"/>
              <w:left w:val="nil"/>
              <w:bottom w:val="single" w:color="auto" w:sz="4" w:space="0"/>
              <w:right w:val="single" w:color="auto" w:sz="4" w:space="0"/>
            </w:tcBorders>
            <w:vAlign w:val="center"/>
          </w:tcPr>
          <w:p w14:paraId="64C58408">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过压及欠压保护</w:t>
            </w:r>
          </w:p>
        </w:tc>
      </w:tr>
    </w:tbl>
    <w:p w14:paraId="4F4EC865">
      <w:pPr>
        <w:pStyle w:val="3"/>
        <w:ind w:firstLine="482"/>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预警广播站：</w:t>
      </w:r>
    </w:p>
    <w:p w14:paraId="6CD023B6">
      <w:pPr>
        <w:ind w:firstLine="42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预警广播站技术指标</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5100"/>
        <w:gridCol w:w="1390"/>
      </w:tblGrid>
      <w:tr w14:paraId="5CF13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92" w:type="pct"/>
            <w:tcBorders>
              <w:tl2br w:val="nil"/>
              <w:tr2bl w:val="nil"/>
            </w:tcBorders>
            <w:vAlign w:val="center"/>
          </w:tcPr>
          <w:p w14:paraId="75C35681">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参数类型</w:t>
            </w:r>
          </w:p>
        </w:tc>
        <w:tc>
          <w:tcPr>
            <w:tcW w:w="2991" w:type="pct"/>
            <w:tcBorders>
              <w:tl2br w:val="nil"/>
              <w:tr2bl w:val="nil"/>
            </w:tcBorders>
            <w:vAlign w:val="center"/>
          </w:tcPr>
          <w:p w14:paraId="659E1731">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技术指标</w:t>
            </w:r>
          </w:p>
        </w:tc>
        <w:tc>
          <w:tcPr>
            <w:tcW w:w="815" w:type="pct"/>
            <w:tcBorders>
              <w:tl2br w:val="nil"/>
              <w:tr2bl w:val="nil"/>
            </w:tcBorders>
            <w:vAlign w:val="center"/>
          </w:tcPr>
          <w:p w14:paraId="3FCDDB62">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备注</w:t>
            </w:r>
          </w:p>
        </w:tc>
      </w:tr>
      <w:tr w14:paraId="059F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92" w:type="pct"/>
            <w:tcBorders>
              <w:tl2br w:val="nil"/>
              <w:tr2bl w:val="nil"/>
            </w:tcBorders>
            <w:vAlign w:val="center"/>
          </w:tcPr>
          <w:p w14:paraId="1DABDAF1">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上传间隔</w:t>
            </w:r>
          </w:p>
        </w:tc>
        <w:tc>
          <w:tcPr>
            <w:tcW w:w="2991" w:type="pct"/>
            <w:tcBorders>
              <w:tl2br w:val="nil"/>
              <w:tr2bl w:val="nil"/>
            </w:tcBorders>
            <w:vAlign w:val="center"/>
          </w:tcPr>
          <w:p w14:paraId="14CFE219">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0s</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color w:val="auto"/>
                <w:sz w:val="21"/>
                <w:szCs w:val="21"/>
                <w:highlight w:val="none"/>
              </w:rPr>
              <w:t>72h</w:t>
            </w:r>
          </w:p>
        </w:tc>
        <w:tc>
          <w:tcPr>
            <w:tcW w:w="815" w:type="pct"/>
            <w:tcBorders>
              <w:tl2br w:val="nil"/>
              <w:tr2bl w:val="nil"/>
            </w:tcBorders>
            <w:vAlign w:val="center"/>
          </w:tcPr>
          <w:p w14:paraId="59EE9CC7">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4BB2B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192" w:type="pct"/>
            <w:tcBorders>
              <w:tl2br w:val="nil"/>
              <w:tr2bl w:val="nil"/>
            </w:tcBorders>
            <w:vAlign w:val="center"/>
          </w:tcPr>
          <w:p w14:paraId="06B26D71">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通讯标准</w:t>
            </w:r>
          </w:p>
        </w:tc>
        <w:tc>
          <w:tcPr>
            <w:tcW w:w="2991" w:type="pct"/>
            <w:tcBorders>
              <w:tl2br w:val="nil"/>
              <w:tr2bl w:val="nil"/>
            </w:tcBorders>
            <w:vAlign w:val="center"/>
          </w:tcPr>
          <w:p w14:paraId="43BB6735">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符合《地质灾害监测数据通讯技术要求》</w:t>
            </w:r>
          </w:p>
        </w:tc>
        <w:tc>
          <w:tcPr>
            <w:tcW w:w="815" w:type="pct"/>
            <w:tcBorders>
              <w:tl2br w:val="nil"/>
              <w:tr2bl w:val="nil"/>
            </w:tcBorders>
            <w:vAlign w:val="center"/>
          </w:tcPr>
          <w:p w14:paraId="64A62C35">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3E667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192" w:type="pct"/>
            <w:tcBorders>
              <w:tl2br w:val="nil"/>
              <w:tr2bl w:val="nil"/>
            </w:tcBorders>
            <w:vAlign w:val="center"/>
          </w:tcPr>
          <w:p w14:paraId="28BA2353">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报警来源</w:t>
            </w:r>
          </w:p>
        </w:tc>
        <w:tc>
          <w:tcPr>
            <w:tcW w:w="2991" w:type="pct"/>
            <w:tcBorders>
              <w:tl2br w:val="nil"/>
              <w:tr2bl w:val="nil"/>
            </w:tcBorders>
            <w:vAlign w:val="center"/>
          </w:tcPr>
          <w:p w14:paraId="177E1A6E">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本地人工播报；本地自主判断；远程系统发送等</w:t>
            </w:r>
          </w:p>
        </w:tc>
        <w:tc>
          <w:tcPr>
            <w:tcW w:w="815" w:type="pct"/>
            <w:tcBorders>
              <w:tl2br w:val="nil"/>
              <w:tr2bl w:val="nil"/>
            </w:tcBorders>
            <w:vAlign w:val="center"/>
          </w:tcPr>
          <w:p w14:paraId="4388F295">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按需求设定</w:t>
            </w:r>
          </w:p>
        </w:tc>
      </w:tr>
      <w:tr w14:paraId="5C0EF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1192" w:type="pct"/>
            <w:tcBorders>
              <w:tl2br w:val="nil"/>
              <w:tr2bl w:val="nil"/>
            </w:tcBorders>
            <w:vAlign w:val="center"/>
          </w:tcPr>
          <w:p w14:paraId="0209E0E9">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报警方式</w:t>
            </w:r>
          </w:p>
        </w:tc>
        <w:tc>
          <w:tcPr>
            <w:tcW w:w="2991" w:type="pct"/>
            <w:tcBorders>
              <w:tl2br w:val="nil"/>
              <w:tr2bl w:val="nil"/>
            </w:tcBorders>
            <w:vAlign w:val="center"/>
          </w:tcPr>
          <w:p w14:paraId="57637133">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报警音；警示灯光</w:t>
            </w:r>
          </w:p>
        </w:tc>
        <w:tc>
          <w:tcPr>
            <w:tcW w:w="815" w:type="pct"/>
            <w:tcBorders>
              <w:tl2br w:val="nil"/>
              <w:tr2bl w:val="nil"/>
            </w:tcBorders>
            <w:vAlign w:val="center"/>
          </w:tcPr>
          <w:p w14:paraId="19CFAD75">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37E6A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192" w:type="pct"/>
            <w:tcBorders>
              <w:tl2br w:val="nil"/>
              <w:tr2bl w:val="nil"/>
            </w:tcBorders>
            <w:vAlign w:val="center"/>
          </w:tcPr>
          <w:p w14:paraId="66B7EA7A">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通讯方式</w:t>
            </w:r>
          </w:p>
        </w:tc>
        <w:tc>
          <w:tcPr>
            <w:tcW w:w="2991" w:type="pct"/>
            <w:tcBorders>
              <w:tl2br w:val="nil"/>
              <w:tr2bl w:val="nil"/>
            </w:tcBorders>
            <w:vAlign w:val="center"/>
          </w:tcPr>
          <w:p w14:paraId="4205EAFD">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kern w:val="0"/>
                <w:sz w:val="21"/>
                <w:szCs w:val="21"/>
                <w:highlight w:val="none"/>
                <w:lang w:bidi="ar"/>
              </w:rPr>
              <w:t>移动通信</w:t>
            </w:r>
          </w:p>
        </w:tc>
        <w:tc>
          <w:tcPr>
            <w:tcW w:w="815" w:type="pct"/>
            <w:tcBorders>
              <w:tl2br w:val="nil"/>
              <w:tr2bl w:val="nil"/>
            </w:tcBorders>
            <w:vAlign w:val="center"/>
          </w:tcPr>
          <w:p w14:paraId="0F16551A">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44911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192" w:type="pct"/>
            <w:tcBorders>
              <w:tl2br w:val="nil"/>
              <w:tr2bl w:val="nil"/>
            </w:tcBorders>
            <w:vAlign w:val="center"/>
          </w:tcPr>
          <w:p w14:paraId="17EA2A11">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工作温度</w:t>
            </w:r>
          </w:p>
        </w:tc>
        <w:tc>
          <w:tcPr>
            <w:tcW w:w="2991" w:type="pct"/>
            <w:tcBorders>
              <w:tl2br w:val="nil"/>
              <w:tr2bl w:val="nil"/>
            </w:tcBorders>
            <w:vAlign w:val="center"/>
          </w:tcPr>
          <w:p w14:paraId="15FAE130">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-20℃</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color w:val="auto"/>
                <w:sz w:val="21"/>
                <w:szCs w:val="21"/>
                <w:highlight w:val="none"/>
              </w:rPr>
              <w:t>+65℃</w:t>
            </w:r>
          </w:p>
        </w:tc>
        <w:tc>
          <w:tcPr>
            <w:tcW w:w="815" w:type="pct"/>
            <w:tcBorders>
              <w:tl2br w:val="nil"/>
              <w:tr2bl w:val="nil"/>
            </w:tcBorders>
            <w:vAlign w:val="center"/>
          </w:tcPr>
          <w:p w14:paraId="0B52E4F0">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2A7C1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92" w:type="pct"/>
            <w:tcBorders>
              <w:tl2br w:val="nil"/>
              <w:tr2bl w:val="nil"/>
            </w:tcBorders>
            <w:vAlign w:val="center"/>
          </w:tcPr>
          <w:p w14:paraId="38AF8688">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布设位置</w:t>
            </w:r>
          </w:p>
        </w:tc>
        <w:tc>
          <w:tcPr>
            <w:tcW w:w="2991" w:type="pct"/>
            <w:tcBorders>
              <w:tl2br w:val="nil"/>
              <w:tr2bl w:val="nil"/>
            </w:tcBorders>
            <w:vAlign w:val="center"/>
          </w:tcPr>
          <w:p w14:paraId="289A22F3">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室外</w:t>
            </w:r>
          </w:p>
        </w:tc>
        <w:tc>
          <w:tcPr>
            <w:tcW w:w="815" w:type="pct"/>
            <w:tcBorders>
              <w:tl2br w:val="nil"/>
              <w:tr2bl w:val="nil"/>
            </w:tcBorders>
            <w:vAlign w:val="center"/>
          </w:tcPr>
          <w:p w14:paraId="6A3CE267">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42EF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92" w:type="pct"/>
            <w:tcBorders>
              <w:tl2br w:val="nil"/>
              <w:tr2bl w:val="nil"/>
            </w:tcBorders>
            <w:vAlign w:val="center"/>
          </w:tcPr>
          <w:p w14:paraId="39F02F3D">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输出功率</w:t>
            </w:r>
          </w:p>
        </w:tc>
        <w:tc>
          <w:tcPr>
            <w:tcW w:w="2991" w:type="pct"/>
            <w:tcBorders>
              <w:tl2br w:val="nil"/>
              <w:tr2bl w:val="nil"/>
            </w:tcBorders>
            <w:vAlign w:val="center"/>
          </w:tcPr>
          <w:p w14:paraId="17540154">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≥100W</w:t>
            </w:r>
          </w:p>
        </w:tc>
        <w:tc>
          <w:tcPr>
            <w:tcW w:w="815" w:type="pct"/>
            <w:tcBorders>
              <w:tl2br w:val="nil"/>
              <w:tr2bl w:val="nil"/>
            </w:tcBorders>
            <w:vAlign w:val="center"/>
          </w:tcPr>
          <w:p w14:paraId="2D9C9D8F">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p>
        </w:tc>
      </w:tr>
      <w:tr w14:paraId="30686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92" w:type="pct"/>
            <w:tcBorders>
              <w:tl2br w:val="nil"/>
              <w:tr2bl w:val="nil"/>
            </w:tcBorders>
            <w:vAlign w:val="center"/>
          </w:tcPr>
          <w:p w14:paraId="44A48110">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防护等级</w:t>
            </w:r>
          </w:p>
        </w:tc>
        <w:tc>
          <w:tcPr>
            <w:tcW w:w="2991" w:type="pct"/>
            <w:tcBorders>
              <w:tl2br w:val="nil"/>
              <w:tr2bl w:val="nil"/>
            </w:tcBorders>
            <w:vAlign w:val="center"/>
          </w:tcPr>
          <w:p w14:paraId="4C3051DB">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IP65以上</w:t>
            </w:r>
          </w:p>
        </w:tc>
        <w:tc>
          <w:tcPr>
            <w:tcW w:w="815" w:type="pct"/>
            <w:tcBorders>
              <w:tl2br w:val="nil"/>
              <w:tr2bl w:val="nil"/>
            </w:tcBorders>
            <w:vAlign w:val="center"/>
          </w:tcPr>
          <w:p w14:paraId="684D2D9F">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5781C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192" w:type="pct"/>
            <w:tcBorders>
              <w:tl2br w:val="nil"/>
              <w:tr2bl w:val="nil"/>
            </w:tcBorders>
            <w:vAlign w:val="center"/>
          </w:tcPr>
          <w:p w14:paraId="0DB5A3F5">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电源电压</w:t>
            </w:r>
          </w:p>
        </w:tc>
        <w:tc>
          <w:tcPr>
            <w:tcW w:w="2991" w:type="pct"/>
            <w:tcBorders>
              <w:tl2br w:val="nil"/>
              <w:tr2bl w:val="nil"/>
            </w:tcBorders>
            <w:vAlign w:val="center"/>
          </w:tcPr>
          <w:p w14:paraId="5D4E634D">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12VDC</w:t>
            </w:r>
          </w:p>
        </w:tc>
        <w:tc>
          <w:tcPr>
            <w:tcW w:w="815" w:type="pct"/>
            <w:tcBorders>
              <w:tl2br w:val="nil"/>
              <w:tr2bl w:val="nil"/>
            </w:tcBorders>
            <w:vAlign w:val="center"/>
          </w:tcPr>
          <w:p w14:paraId="53AEEF72">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400E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192" w:type="pct"/>
            <w:tcBorders>
              <w:tl2br w:val="nil"/>
              <w:tr2bl w:val="nil"/>
            </w:tcBorders>
            <w:vAlign w:val="center"/>
          </w:tcPr>
          <w:p w14:paraId="59C7D390">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报警功率</w:t>
            </w:r>
          </w:p>
        </w:tc>
        <w:tc>
          <w:tcPr>
            <w:tcW w:w="2991" w:type="pct"/>
            <w:tcBorders>
              <w:tl2br w:val="nil"/>
              <w:tr2bl w:val="nil"/>
            </w:tcBorders>
            <w:vAlign w:val="center"/>
          </w:tcPr>
          <w:p w14:paraId="075F069D">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160mA</w:t>
            </w:r>
          </w:p>
        </w:tc>
        <w:tc>
          <w:tcPr>
            <w:tcW w:w="815" w:type="pct"/>
            <w:tcBorders>
              <w:tl2br w:val="nil"/>
              <w:tr2bl w:val="nil"/>
            </w:tcBorders>
            <w:vAlign w:val="center"/>
          </w:tcPr>
          <w:p w14:paraId="48DFA690">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58C5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192" w:type="pct"/>
            <w:tcBorders>
              <w:tl2br w:val="nil"/>
              <w:tr2bl w:val="nil"/>
            </w:tcBorders>
            <w:vAlign w:val="center"/>
          </w:tcPr>
          <w:p w14:paraId="4EFD2AD3">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安装方式</w:t>
            </w:r>
          </w:p>
        </w:tc>
        <w:tc>
          <w:tcPr>
            <w:tcW w:w="2991" w:type="pct"/>
            <w:tcBorders>
              <w:tl2br w:val="nil"/>
              <w:tr2bl w:val="nil"/>
            </w:tcBorders>
            <w:vAlign w:val="center"/>
          </w:tcPr>
          <w:p w14:paraId="5AC3ECE6">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立杆胀杆固定、一体化基座安装、浇筑基础、钢结构、壁挂安装，安装离地高度大于1.8m</w:t>
            </w:r>
          </w:p>
        </w:tc>
        <w:tc>
          <w:tcPr>
            <w:tcW w:w="815" w:type="pct"/>
            <w:tcBorders>
              <w:tl2br w:val="nil"/>
              <w:tr2bl w:val="nil"/>
            </w:tcBorders>
            <w:vAlign w:val="center"/>
          </w:tcPr>
          <w:p w14:paraId="0EF8C5CA">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　</w:t>
            </w:r>
          </w:p>
        </w:tc>
      </w:tr>
      <w:tr w14:paraId="4BC1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192" w:type="pct"/>
            <w:tcBorders>
              <w:tl2br w:val="nil"/>
              <w:tr2bl w:val="nil"/>
            </w:tcBorders>
            <w:vAlign w:val="center"/>
          </w:tcPr>
          <w:p w14:paraId="39F403F9">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sz w:val="21"/>
                <w:szCs w:val="21"/>
                <w:highlight w:val="none"/>
              </w:rPr>
              <w:t>供电要求</w:t>
            </w:r>
          </w:p>
        </w:tc>
        <w:tc>
          <w:tcPr>
            <w:tcW w:w="2991" w:type="pct"/>
            <w:tcBorders>
              <w:tl2br w:val="nil"/>
              <w:tr2bl w:val="nil"/>
            </w:tcBorders>
            <w:vAlign w:val="center"/>
          </w:tcPr>
          <w:p w14:paraId="442B298A">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满足连续30个阴雨天正常工作</w:t>
            </w:r>
          </w:p>
        </w:tc>
        <w:tc>
          <w:tcPr>
            <w:tcW w:w="815" w:type="pct"/>
            <w:tcBorders>
              <w:tl2br w:val="nil"/>
              <w:tr2bl w:val="nil"/>
            </w:tcBorders>
            <w:vAlign w:val="center"/>
          </w:tcPr>
          <w:p w14:paraId="77BC93E6">
            <w:pPr>
              <w:widowControl/>
              <w:spacing w:line="240" w:lineRule="auto"/>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过压及欠压保护</w:t>
            </w:r>
          </w:p>
        </w:tc>
      </w:tr>
    </w:tbl>
    <w:p w14:paraId="73718BD2">
      <w:pPr>
        <w:pStyle w:val="3"/>
        <w:ind w:firstLine="482"/>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雨量监测站(压电式)：</w:t>
      </w:r>
    </w:p>
    <w:p w14:paraId="57FD9A40">
      <w:pPr>
        <w:ind w:firstLine="42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压电式雨量计技术指标</w:t>
      </w:r>
    </w:p>
    <w:tbl>
      <w:tblPr>
        <w:tblStyle w:val="7"/>
        <w:tblW w:w="5000" w:type="pct"/>
        <w:tblInd w:w="0" w:type="dxa"/>
        <w:tblLayout w:type="autofit"/>
        <w:tblCellMar>
          <w:top w:w="0" w:type="dxa"/>
          <w:left w:w="108" w:type="dxa"/>
          <w:bottom w:w="0" w:type="dxa"/>
          <w:right w:w="108" w:type="dxa"/>
        </w:tblCellMar>
      </w:tblPr>
      <w:tblGrid>
        <w:gridCol w:w="1700"/>
        <w:gridCol w:w="4404"/>
        <w:gridCol w:w="2418"/>
      </w:tblGrid>
      <w:tr w14:paraId="20AF1F50">
        <w:tblPrEx>
          <w:tblCellMar>
            <w:top w:w="0" w:type="dxa"/>
            <w:left w:w="108" w:type="dxa"/>
            <w:bottom w:w="0" w:type="dxa"/>
            <w:right w:w="108" w:type="dxa"/>
          </w:tblCellMar>
        </w:tblPrEx>
        <w:trPr>
          <w:trHeight w:val="270" w:hRule="atLeast"/>
        </w:trPr>
        <w:tc>
          <w:tcPr>
            <w:tcW w:w="997" w:type="pct"/>
            <w:tcBorders>
              <w:top w:val="single" w:color="auto" w:sz="4" w:space="0"/>
              <w:left w:val="single" w:color="auto" w:sz="4" w:space="0"/>
              <w:bottom w:val="single" w:color="auto" w:sz="4" w:space="0"/>
              <w:right w:val="single" w:color="auto" w:sz="4" w:space="0"/>
            </w:tcBorders>
            <w:vAlign w:val="center"/>
          </w:tcPr>
          <w:p w14:paraId="59BF09E6">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参数类型</w:t>
            </w:r>
          </w:p>
        </w:tc>
        <w:tc>
          <w:tcPr>
            <w:tcW w:w="2583" w:type="pct"/>
            <w:tcBorders>
              <w:top w:val="single" w:color="auto" w:sz="4" w:space="0"/>
              <w:left w:val="nil"/>
              <w:bottom w:val="single" w:color="auto" w:sz="4" w:space="0"/>
              <w:right w:val="single" w:color="auto" w:sz="4" w:space="0"/>
            </w:tcBorders>
            <w:vAlign w:val="center"/>
          </w:tcPr>
          <w:p w14:paraId="065F18E5">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技术指标</w:t>
            </w:r>
          </w:p>
        </w:tc>
        <w:tc>
          <w:tcPr>
            <w:tcW w:w="1418" w:type="pct"/>
            <w:tcBorders>
              <w:top w:val="single" w:color="auto" w:sz="4" w:space="0"/>
              <w:left w:val="nil"/>
              <w:bottom w:val="single" w:color="auto" w:sz="4" w:space="0"/>
              <w:right w:val="single" w:color="auto" w:sz="4" w:space="0"/>
            </w:tcBorders>
            <w:vAlign w:val="center"/>
          </w:tcPr>
          <w:p w14:paraId="77AFE955">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备注</w:t>
            </w:r>
          </w:p>
        </w:tc>
      </w:tr>
      <w:tr w14:paraId="5791F052">
        <w:tblPrEx>
          <w:tblCellMar>
            <w:top w:w="0" w:type="dxa"/>
            <w:left w:w="108" w:type="dxa"/>
            <w:bottom w:w="0" w:type="dxa"/>
            <w:right w:w="108" w:type="dxa"/>
          </w:tblCellMar>
        </w:tblPrEx>
        <w:trPr>
          <w:trHeight w:val="356" w:hRule="atLeast"/>
        </w:trPr>
        <w:tc>
          <w:tcPr>
            <w:tcW w:w="997" w:type="pct"/>
            <w:tcBorders>
              <w:top w:val="nil"/>
              <w:left w:val="single" w:color="auto" w:sz="4" w:space="0"/>
              <w:bottom w:val="single" w:color="auto" w:sz="4" w:space="0"/>
              <w:right w:val="single" w:color="auto" w:sz="4" w:space="0"/>
            </w:tcBorders>
            <w:vAlign w:val="center"/>
          </w:tcPr>
          <w:p w14:paraId="141DE5F0">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测量范围</w:t>
            </w:r>
          </w:p>
        </w:tc>
        <w:tc>
          <w:tcPr>
            <w:tcW w:w="2583" w:type="pct"/>
            <w:tcBorders>
              <w:top w:val="nil"/>
              <w:left w:val="nil"/>
              <w:bottom w:val="single" w:color="auto" w:sz="4" w:space="0"/>
              <w:right w:val="single" w:color="auto" w:sz="4" w:space="0"/>
            </w:tcBorders>
            <w:vAlign w:val="center"/>
          </w:tcPr>
          <w:p w14:paraId="3B240B00">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0mm/min～8mm/min</w:t>
            </w:r>
          </w:p>
        </w:tc>
        <w:tc>
          <w:tcPr>
            <w:tcW w:w="1418" w:type="pct"/>
            <w:tcBorders>
              <w:top w:val="nil"/>
              <w:left w:val="nil"/>
              <w:bottom w:val="single" w:color="auto" w:sz="4" w:space="0"/>
              <w:right w:val="single" w:color="auto" w:sz="4" w:space="0"/>
            </w:tcBorders>
            <w:vAlign w:val="center"/>
          </w:tcPr>
          <w:p w14:paraId="12DA3C91">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554227CF">
        <w:tblPrEx>
          <w:tblCellMar>
            <w:top w:w="0" w:type="dxa"/>
            <w:left w:w="108" w:type="dxa"/>
            <w:bottom w:w="0" w:type="dxa"/>
            <w:right w:w="108" w:type="dxa"/>
          </w:tblCellMar>
        </w:tblPrEx>
        <w:trPr>
          <w:trHeight w:val="270" w:hRule="atLeast"/>
        </w:trPr>
        <w:tc>
          <w:tcPr>
            <w:tcW w:w="997" w:type="pct"/>
            <w:tcBorders>
              <w:top w:val="nil"/>
              <w:left w:val="single" w:color="auto" w:sz="4" w:space="0"/>
              <w:bottom w:val="single" w:color="auto" w:sz="4" w:space="0"/>
              <w:right w:val="single" w:color="auto" w:sz="4" w:space="0"/>
            </w:tcBorders>
            <w:vAlign w:val="center"/>
          </w:tcPr>
          <w:p w14:paraId="6352BA8B">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测量精度</w:t>
            </w:r>
          </w:p>
        </w:tc>
        <w:tc>
          <w:tcPr>
            <w:tcW w:w="2583" w:type="pct"/>
            <w:tcBorders>
              <w:top w:val="nil"/>
              <w:left w:val="nil"/>
              <w:bottom w:val="single" w:color="auto" w:sz="4" w:space="0"/>
              <w:right w:val="single" w:color="auto" w:sz="4" w:space="0"/>
            </w:tcBorders>
            <w:vAlign w:val="center"/>
          </w:tcPr>
          <w:p w14:paraId="6EA71197">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w:t>
            </w:r>
          </w:p>
        </w:tc>
        <w:tc>
          <w:tcPr>
            <w:tcW w:w="1418" w:type="pct"/>
            <w:tcBorders>
              <w:top w:val="nil"/>
              <w:left w:val="nil"/>
              <w:bottom w:val="single" w:color="auto" w:sz="4" w:space="0"/>
              <w:right w:val="single" w:color="auto" w:sz="4" w:space="0"/>
            </w:tcBorders>
            <w:vAlign w:val="center"/>
          </w:tcPr>
          <w:p w14:paraId="130BA769">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4E31A9D4">
        <w:trPr>
          <w:trHeight w:val="270" w:hRule="atLeast"/>
        </w:trPr>
        <w:tc>
          <w:tcPr>
            <w:tcW w:w="997" w:type="pct"/>
            <w:tcBorders>
              <w:top w:val="nil"/>
              <w:left w:val="single" w:color="auto" w:sz="4" w:space="0"/>
              <w:bottom w:val="single" w:color="auto" w:sz="4" w:space="0"/>
              <w:right w:val="single" w:color="auto" w:sz="4" w:space="0"/>
            </w:tcBorders>
            <w:vAlign w:val="center"/>
          </w:tcPr>
          <w:p w14:paraId="3E7FD28A">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分辨率</w:t>
            </w:r>
          </w:p>
        </w:tc>
        <w:tc>
          <w:tcPr>
            <w:tcW w:w="2583" w:type="pct"/>
            <w:tcBorders>
              <w:top w:val="nil"/>
              <w:left w:val="nil"/>
              <w:bottom w:val="single" w:color="auto" w:sz="4" w:space="0"/>
              <w:right w:val="single" w:color="auto" w:sz="4" w:space="0"/>
            </w:tcBorders>
            <w:vAlign w:val="center"/>
          </w:tcPr>
          <w:p w14:paraId="310D1269">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0.1mm</w:t>
            </w:r>
          </w:p>
        </w:tc>
        <w:tc>
          <w:tcPr>
            <w:tcW w:w="1418" w:type="pct"/>
            <w:tcBorders>
              <w:top w:val="nil"/>
              <w:left w:val="nil"/>
              <w:bottom w:val="single" w:color="auto" w:sz="4" w:space="0"/>
              <w:right w:val="single" w:color="auto" w:sz="4" w:space="0"/>
            </w:tcBorders>
            <w:vAlign w:val="center"/>
          </w:tcPr>
          <w:p w14:paraId="5ABFB3DE">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6E0E1F9E">
        <w:tblPrEx>
          <w:tblCellMar>
            <w:top w:w="0" w:type="dxa"/>
            <w:left w:w="108" w:type="dxa"/>
            <w:bottom w:w="0" w:type="dxa"/>
            <w:right w:w="108" w:type="dxa"/>
          </w:tblCellMar>
        </w:tblPrEx>
        <w:trPr>
          <w:trHeight w:val="270" w:hRule="atLeast"/>
        </w:trPr>
        <w:tc>
          <w:tcPr>
            <w:tcW w:w="997" w:type="pct"/>
            <w:tcBorders>
              <w:top w:val="nil"/>
              <w:left w:val="single" w:color="auto" w:sz="4" w:space="0"/>
              <w:bottom w:val="single" w:color="auto" w:sz="4" w:space="0"/>
              <w:right w:val="single" w:color="auto" w:sz="4" w:space="0"/>
            </w:tcBorders>
            <w:vAlign w:val="center"/>
          </w:tcPr>
          <w:p w14:paraId="6748E3B9">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采样间隔</w:t>
            </w:r>
          </w:p>
        </w:tc>
        <w:tc>
          <w:tcPr>
            <w:tcW w:w="2583" w:type="pct"/>
            <w:tcBorders>
              <w:top w:val="nil"/>
              <w:left w:val="nil"/>
              <w:bottom w:val="single" w:color="auto" w:sz="4" w:space="0"/>
              <w:right w:val="single" w:color="auto" w:sz="4" w:space="0"/>
            </w:tcBorders>
            <w:vAlign w:val="center"/>
          </w:tcPr>
          <w:p w14:paraId="17D9859C">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0s～24h</w:t>
            </w:r>
          </w:p>
        </w:tc>
        <w:tc>
          <w:tcPr>
            <w:tcW w:w="1418" w:type="pct"/>
            <w:tcBorders>
              <w:top w:val="nil"/>
              <w:left w:val="nil"/>
              <w:bottom w:val="single" w:color="auto" w:sz="4" w:space="0"/>
              <w:right w:val="single" w:color="auto" w:sz="4" w:space="0"/>
            </w:tcBorders>
            <w:vAlign w:val="center"/>
          </w:tcPr>
          <w:p w14:paraId="794059BB">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可依据需求设定</w:t>
            </w:r>
          </w:p>
        </w:tc>
      </w:tr>
      <w:tr w14:paraId="179103EC">
        <w:tblPrEx>
          <w:tblCellMar>
            <w:top w:w="0" w:type="dxa"/>
            <w:left w:w="108" w:type="dxa"/>
            <w:bottom w:w="0" w:type="dxa"/>
            <w:right w:w="108" w:type="dxa"/>
          </w:tblCellMar>
        </w:tblPrEx>
        <w:trPr>
          <w:trHeight w:val="270" w:hRule="atLeast"/>
        </w:trPr>
        <w:tc>
          <w:tcPr>
            <w:tcW w:w="997" w:type="pct"/>
            <w:tcBorders>
              <w:top w:val="nil"/>
              <w:left w:val="single" w:color="auto" w:sz="4" w:space="0"/>
              <w:bottom w:val="single" w:color="auto" w:sz="4" w:space="0"/>
              <w:right w:val="single" w:color="auto" w:sz="4" w:space="0"/>
            </w:tcBorders>
            <w:vAlign w:val="center"/>
          </w:tcPr>
          <w:p w14:paraId="4F52E7DC">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上传间隔</w:t>
            </w:r>
          </w:p>
        </w:tc>
        <w:tc>
          <w:tcPr>
            <w:tcW w:w="2583" w:type="pct"/>
            <w:tcBorders>
              <w:top w:val="nil"/>
              <w:left w:val="nil"/>
              <w:bottom w:val="single" w:color="auto" w:sz="4" w:space="0"/>
              <w:right w:val="single" w:color="auto" w:sz="4" w:space="0"/>
            </w:tcBorders>
            <w:vAlign w:val="center"/>
          </w:tcPr>
          <w:p w14:paraId="24241267">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0s～72h</w:t>
            </w:r>
          </w:p>
        </w:tc>
        <w:tc>
          <w:tcPr>
            <w:tcW w:w="1418" w:type="pct"/>
            <w:tcBorders>
              <w:top w:val="nil"/>
              <w:left w:val="nil"/>
              <w:bottom w:val="single" w:color="auto" w:sz="4" w:space="0"/>
              <w:right w:val="single" w:color="auto" w:sz="4" w:space="0"/>
            </w:tcBorders>
            <w:vAlign w:val="center"/>
          </w:tcPr>
          <w:p w14:paraId="2E326C6E">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可依据需求设定</w:t>
            </w:r>
          </w:p>
        </w:tc>
      </w:tr>
      <w:tr w14:paraId="231C4F24">
        <w:tblPrEx>
          <w:tblCellMar>
            <w:top w:w="0" w:type="dxa"/>
            <w:left w:w="108" w:type="dxa"/>
            <w:bottom w:w="0" w:type="dxa"/>
            <w:right w:w="108" w:type="dxa"/>
          </w:tblCellMar>
        </w:tblPrEx>
        <w:trPr>
          <w:trHeight w:val="510" w:hRule="atLeast"/>
        </w:trPr>
        <w:tc>
          <w:tcPr>
            <w:tcW w:w="997" w:type="pct"/>
            <w:tcBorders>
              <w:top w:val="nil"/>
              <w:left w:val="single" w:color="auto" w:sz="4" w:space="0"/>
              <w:bottom w:val="single" w:color="auto" w:sz="4" w:space="0"/>
              <w:right w:val="single" w:color="auto" w:sz="4" w:space="0"/>
            </w:tcBorders>
            <w:vAlign w:val="center"/>
          </w:tcPr>
          <w:p w14:paraId="0ABA4951">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通信方式</w:t>
            </w:r>
          </w:p>
        </w:tc>
        <w:tc>
          <w:tcPr>
            <w:tcW w:w="2583" w:type="pct"/>
            <w:tcBorders>
              <w:top w:val="nil"/>
              <w:left w:val="nil"/>
              <w:bottom w:val="single" w:color="auto" w:sz="4" w:space="0"/>
              <w:right w:val="single" w:color="auto" w:sz="4" w:space="0"/>
            </w:tcBorders>
            <w:vAlign w:val="center"/>
          </w:tcPr>
          <w:p w14:paraId="5F56CCE7">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移动通信</w:t>
            </w:r>
          </w:p>
        </w:tc>
        <w:tc>
          <w:tcPr>
            <w:tcW w:w="1418" w:type="pct"/>
            <w:tcBorders>
              <w:top w:val="nil"/>
              <w:left w:val="nil"/>
              <w:bottom w:val="single" w:color="auto" w:sz="4" w:space="0"/>
              <w:right w:val="single" w:color="auto" w:sz="4" w:space="0"/>
            </w:tcBorders>
            <w:vAlign w:val="center"/>
          </w:tcPr>
          <w:p w14:paraId="7B5B026F">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613AB7D6">
        <w:tblPrEx>
          <w:tblCellMar>
            <w:top w:w="0" w:type="dxa"/>
            <w:left w:w="108" w:type="dxa"/>
            <w:bottom w:w="0" w:type="dxa"/>
            <w:right w:w="108" w:type="dxa"/>
          </w:tblCellMar>
        </w:tblPrEx>
        <w:trPr>
          <w:trHeight w:val="270" w:hRule="atLeast"/>
        </w:trPr>
        <w:tc>
          <w:tcPr>
            <w:tcW w:w="997" w:type="pct"/>
            <w:tcBorders>
              <w:top w:val="nil"/>
              <w:left w:val="single" w:color="auto" w:sz="4" w:space="0"/>
              <w:bottom w:val="single" w:color="auto" w:sz="4" w:space="0"/>
              <w:right w:val="single" w:color="auto" w:sz="4" w:space="0"/>
            </w:tcBorders>
            <w:vAlign w:val="center"/>
          </w:tcPr>
          <w:p w14:paraId="40CF11D7">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工作温度</w:t>
            </w:r>
          </w:p>
        </w:tc>
        <w:tc>
          <w:tcPr>
            <w:tcW w:w="2583" w:type="pct"/>
            <w:tcBorders>
              <w:top w:val="nil"/>
              <w:left w:val="nil"/>
              <w:bottom w:val="single" w:color="auto" w:sz="4" w:space="0"/>
              <w:right w:val="single" w:color="auto" w:sz="4" w:space="0"/>
            </w:tcBorders>
            <w:vAlign w:val="center"/>
          </w:tcPr>
          <w:p w14:paraId="636D89A2">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0℃～80℃ </w:t>
            </w:r>
          </w:p>
        </w:tc>
        <w:tc>
          <w:tcPr>
            <w:tcW w:w="1418" w:type="pct"/>
            <w:tcBorders>
              <w:top w:val="nil"/>
              <w:left w:val="nil"/>
              <w:bottom w:val="single" w:color="auto" w:sz="4" w:space="0"/>
              <w:right w:val="single" w:color="auto" w:sz="4" w:space="0"/>
            </w:tcBorders>
            <w:vAlign w:val="center"/>
          </w:tcPr>
          <w:p w14:paraId="52CABD7E">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71E841E8">
        <w:tblPrEx>
          <w:tblCellMar>
            <w:top w:w="0" w:type="dxa"/>
            <w:left w:w="108" w:type="dxa"/>
            <w:bottom w:w="0" w:type="dxa"/>
            <w:right w:w="108" w:type="dxa"/>
          </w:tblCellMar>
        </w:tblPrEx>
        <w:trPr>
          <w:trHeight w:val="270" w:hRule="atLeast"/>
        </w:trPr>
        <w:tc>
          <w:tcPr>
            <w:tcW w:w="997" w:type="pct"/>
            <w:tcBorders>
              <w:top w:val="nil"/>
              <w:left w:val="single" w:color="auto" w:sz="4" w:space="0"/>
              <w:bottom w:val="single" w:color="auto" w:sz="4" w:space="0"/>
              <w:right w:val="single" w:color="auto" w:sz="4" w:space="0"/>
            </w:tcBorders>
            <w:vAlign w:val="center"/>
          </w:tcPr>
          <w:p w14:paraId="1A79F514">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通讯标准</w:t>
            </w:r>
          </w:p>
        </w:tc>
        <w:tc>
          <w:tcPr>
            <w:tcW w:w="2583" w:type="pct"/>
            <w:tcBorders>
              <w:top w:val="nil"/>
              <w:left w:val="nil"/>
              <w:bottom w:val="single" w:color="auto" w:sz="4" w:space="0"/>
              <w:right w:val="single" w:color="auto" w:sz="4" w:space="0"/>
            </w:tcBorders>
            <w:vAlign w:val="center"/>
          </w:tcPr>
          <w:p w14:paraId="4194B2AD">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符合《地质灾害监测数据通讯技术要求》</w:t>
            </w:r>
          </w:p>
        </w:tc>
        <w:tc>
          <w:tcPr>
            <w:tcW w:w="1418" w:type="pct"/>
            <w:tcBorders>
              <w:top w:val="nil"/>
              <w:left w:val="nil"/>
              <w:bottom w:val="single" w:color="auto" w:sz="4" w:space="0"/>
              <w:right w:val="single" w:color="auto" w:sz="4" w:space="0"/>
            </w:tcBorders>
            <w:vAlign w:val="center"/>
          </w:tcPr>
          <w:p w14:paraId="18509F05">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78EE3715">
        <w:tblPrEx>
          <w:tblCellMar>
            <w:top w:w="0" w:type="dxa"/>
            <w:left w:w="108" w:type="dxa"/>
            <w:bottom w:w="0" w:type="dxa"/>
            <w:right w:w="108" w:type="dxa"/>
          </w:tblCellMar>
        </w:tblPrEx>
        <w:trPr>
          <w:trHeight w:val="270" w:hRule="atLeast"/>
        </w:trPr>
        <w:tc>
          <w:tcPr>
            <w:tcW w:w="997" w:type="pct"/>
            <w:tcBorders>
              <w:top w:val="nil"/>
              <w:left w:val="single" w:color="auto" w:sz="4" w:space="0"/>
              <w:bottom w:val="single" w:color="auto" w:sz="4" w:space="0"/>
              <w:right w:val="single" w:color="auto" w:sz="4" w:space="0"/>
            </w:tcBorders>
            <w:vAlign w:val="center"/>
          </w:tcPr>
          <w:p w14:paraId="313368AC">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防护等级</w:t>
            </w:r>
          </w:p>
        </w:tc>
        <w:tc>
          <w:tcPr>
            <w:tcW w:w="2583" w:type="pct"/>
            <w:tcBorders>
              <w:top w:val="nil"/>
              <w:left w:val="nil"/>
              <w:bottom w:val="single" w:color="auto" w:sz="4" w:space="0"/>
              <w:right w:val="single" w:color="auto" w:sz="4" w:space="0"/>
            </w:tcBorders>
            <w:vAlign w:val="center"/>
          </w:tcPr>
          <w:p w14:paraId="2396BD62">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IP67</w:t>
            </w:r>
          </w:p>
        </w:tc>
        <w:tc>
          <w:tcPr>
            <w:tcW w:w="1418" w:type="pct"/>
            <w:tcBorders>
              <w:top w:val="nil"/>
              <w:left w:val="nil"/>
              <w:bottom w:val="single" w:color="auto" w:sz="4" w:space="0"/>
              <w:right w:val="single" w:color="auto" w:sz="4" w:space="0"/>
            </w:tcBorders>
            <w:vAlign w:val="center"/>
          </w:tcPr>
          <w:p w14:paraId="297C0424">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1E489A8F">
        <w:tblPrEx>
          <w:tblCellMar>
            <w:top w:w="0" w:type="dxa"/>
            <w:left w:w="108" w:type="dxa"/>
            <w:bottom w:w="0" w:type="dxa"/>
            <w:right w:w="108" w:type="dxa"/>
          </w:tblCellMar>
        </w:tblPrEx>
        <w:trPr>
          <w:trHeight w:val="270" w:hRule="atLeast"/>
        </w:trPr>
        <w:tc>
          <w:tcPr>
            <w:tcW w:w="997" w:type="pct"/>
            <w:tcBorders>
              <w:top w:val="nil"/>
              <w:left w:val="single" w:color="auto" w:sz="4" w:space="0"/>
              <w:bottom w:val="single" w:color="auto" w:sz="4" w:space="0"/>
              <w:right w:val="single" w:color="auto" w:sz="4" w:space="0"/>
            </w:tcBorders>
            <w:vAlign w:val="center"/>
          </w:tcPr>
          <w:p w14:paraId="69B7F13D">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累积雨量</w:t>
            </w:r>
          </w:p>
        </w:tc>
        <w:tc>
          <w:tcPr>
            <w:tcW w:w="2583" w:type="pct"/>
            <w:tcBorders>
              <w:top w:val="nil"/>
              <w:left w:val="nil"/>
              <w:bottom w:val="single" w:color="auto" w:sz="4" w:space="0"/>
              <w:right w:val="single" w:color="auto" w:sz="4" w:space="0"/>
            </w:tcBorders>
            <w:vAlign w:val="center"/>
          </w:tcPr>
          <w:p w14:paraId="3EE9EF84">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2000～6000mm</w:t>
            </w:r>
          </w:p>
        </w:tc>
        <w:tc>
          <w:tcPr>
            <w:tcW w:w="1418" w:type="pct"/>
            <w:tcBorders>
              <w:top w:val="nil"/>
              <w:left w:val="nil"/>
              <w:bottom w:val="single" w:color="auto" w:sz="4" w:space="0"/>
              <w:right w:val="single" w:color="auto" w:sz="4" w:space="0"/>
            </w:tcBorders>
            <w:vAlign w:val="center"/>
          </w:tcPr>
          <w:p w14:paraId="0F80B335">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可设置</w:t>
            </w:r>
          </w:p>
        </w:tc>
      </w:tr>
      <w:tr w14:paraId="2606DD33">
        <w:tblPrEx>
          <w:tblCellMar>
            <w:top w:w="0" w:type="dxa"/>
            <w:left w:w="108" w:type="dxa"/>
            <w:bottom w:w="0" w:type="dxa"/>
            <w:right w:w="108" w:type="dxa"/>
          </w:tblCellMar>
        </w:tblPrEx>
        <w:trPr>
          <w:trHeight w:val="270" w:hRule="atLeast"/>
        </w:trPr>
        <w:tc>
          <w:tcPr>
            <w:tcW w:w="997" w:type="pct"/>
            <w:tcBorders>
              <w:top w:val="nil"/>
              <w:left w:val="single" w:color="auto" w:sz="4" w:space="0"/>
              <w:bottom w:val="single" w:color="auto" w:sz="4" w:space="0"/>
              <w:right w:val="single" w:color="auto" w:sz="4" w:space="0"/>
            </w:tcBorders>
            <w:vAlign w:val="center"/>
          </w:tcPr>
          <w:p w14:paraId="0D0F8801">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抗噪时间</w:t>
            </w:r>
          </w:p>
        </w:tc>
        <w:tc>
          <w:tcPr>
            <w:tcW w:w="2583" w:type="pct"/>
            <w:tcBorders>
              <w:top w:val="nil"/>
              <w:left w:val="nil"/>
              <w:bottom w:val="single" w:color="auto" w:sz="4" w:space="0"/>
              <w:right w:val="single" w:color="auto" w:sz="4" w:space="0"/>
            </w:tcBorders>
            <w:vAlign w:val="center"/>
          </w:tcPr>
          <w:p w14:paraId="671908E4">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大于8秒</w:t>
            </w:r>
          </w:p>
        </w:tc>
        <w:tc>
          <w:tcPr>
            <w:tcW w:w="1418" w:type="pct"/>
            <w:tcBorders>
              <w:top w:val="nil"/>
              <w:left w:val="nil"/>
              <w:bottom w:val="single" w:color="auto" w:sz="4" w:space="0"/>
              <w:right w:val="single" w:color="auto" w:sz="4" w:space="0"/>
            </w:tcBorders>
            <w:vAlign w:val="center"/>
          </w:tcPr>
          <w:p w14:paraId="16C6B7B9">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1994C14B">
        <w:tblPrEx>
          <w:tblCellMar>
            <w:top w:w="0" w:type="dxa"/>
            <w:left w:w="108" w:type="dxa"/>
            <w:bottom w:w="0" w:type="dxa"/>
            <w:right w:w="108" w:type="dxa"/>
          </w:tblCellMar>
        </w:tblPrEx>
        <w:trPr>
          <w:trHeight w:val="270" w:hRule="atLeast"/>
        </w:trPr>
        <w:tc>
          <w:tcPr>
            <w:tcW w:w="997" w:type="pct"/>
            <w:tcBorders>
              <w:top w:val="nil"/>
              <w:left w:val="single" w:color="auto" w:sz="4" w:space="0"/>
              <w:bottom w:val="single" w:color="auto" w:sz="4" w:space="0"/>
              <w:right w:val="single" w:color="auto" w:sz="4" w:space="0"/>
            </w:tcBorders>
            <w:vAlign w:val="center"/>
          </w:tcPr>
          <w:p w14:paraId="46AA6DEB">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自动校零时间</w:t>
            </w:r>
          </w:p>
        </w:tc>
        <w:tc>
          <w:tcPr>
            <w:tcW w:w="2583" w:type="pct"/>
            <w:tcBorders>
              <w:top w:val="nil"/>
              <w:left w:val="nil"/>
              <w:bottom w:val="single" w:color="auto" w:sz="4" w:space="0"/>
              <w:right w:val="single" w:color="auto" w:sz="4" w:space="0"/>
            </w:tcBorders>
            <w:vAlign w:val="center"/>
          </w:tcPr>
          <w:p w14:paraId="6397E1BA">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30~3600秒(可设置)</w:t>
            </w:r>
          </w:p>
        </w:tc>
        <w:tc>
          <w:tcPr>
            <w:tcW w:w="1418" w:type="pct"/>
            <w:tcBorders>
              <w:top w:val="nil"/>
              <w:left w:val="nil"/>
              <w:bottom w:val="single" w:color="auto" w:sz="4" w:space="0"/>
              <w:right w:val="single" w:color="auto" w:sz="4" w:space="0"/>
            </w:tcBorders>
            <w:vAlign w:val="center"/>
          </w:tcPr>
          <w:p w14:paraId="7D67F5F2">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250196A3">
        <w:tblPrEx>
          <w:tblCellMar>
            <w:top w:w="0" w:type="dxa"/>
            <w:left w:w="108" w:type="dxa"/>
            <w:bottom w:w="0" w:type="dxa"/>
            <w:right w:w="108" w:type="dxa"/>
          </w:tblCellMar>
        </w:tblPrEx>
        <w:trPr>
          <w:trHeight w:val="270" w:hRule="atLeast"/>
        </w:trPr>
        <w:tc>
          <w:tcPr>
            <w:tcW w:w="997" w:type="pct"/>
            <w:vMerge w:val="restart"/>
            <w:tcBorders>
              <w:top w:val="nil"/>
              <w:left w:val="single" w:color="auto" w:sz="4" w:space="0"/>
              <w:bottom w:val="single" w:color="auto" w:sz="4" w:space="0"/>
              <w:right w:val="single" w:color="auto" w:sz="4" w:space="0"/>
            </w:tcBorders>
            <w:vAlign w:val="center"/>
          </w:tcPr>
          <w:p w14:paraId="3A24873C">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可配置波特率</w:t>
            </w:r>
          </w:p>
        </w:tc>
        <w:tc>
          <w:tcPr>
            <w:tcW w:w="2583" w:type="pct"/>
            <w:tcBorders>
              <w:top w:val="nil"/>
              <w:left w:val="nil"/>
              <w:bottom w:val="single" w:color="auto" w:sz="4" w:space="0"/>
              <w:right w:val="single" w:color="auto" w:sz="4" w:space="0"/>
            </w:tcBorders>
            <w:vAlign w:val="center"/>
          </w:tcPr>
          <w:p w14:paraId="64AED3C0">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2400/4800/9600/14400/19200/</w:t>
            </w:r>
          </w:p>
        </w:tc>
        <w:tc>
          <w:tcPr>
            <w:tcW w:w="1418" w:type="pct"/>
            <w:vMerge w:val="restart"/>
            <w:tcBorders>
              <w:top w:val="nil"/>
              <w:left w:val="single" w:color="auto" w:sz="4" w:space="0"/>
              <w:bottom w:val="single" w:color="auto" w:sz="4" w:space="0"/>
              <w:right w:val="single" w:color="auto" w:sz="4" w:space="0"/>
            </w:tcBorders>
            <w:vAlign w:val="center"/>
          </w:tcPr>
          <w:p w14:paraId="12C00B47">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339E6EE7">
        <w:tblPrEx>
          <w:tblCellMar>
            <w:top w:w="0" w:type="dxa"/>
            <w:left w:w="108" w:type="dxa"/>
            <w:bottom w:w="0" w:type="dxa"/>
            <w:right w:w="108" w:type="dxa"/>
          </w:tblCellMar>
        </w:tblPrEx>
        <w:trPr>
          <w:trHeight w:val="270" w:hRule="atLeast"/>
        </w:trPr>
        <w:tc>
          <w:tcPr>
            <w:tcW w:w="997" w:type="pct"/>
            <w:vMerge w:val="continue"/>
            <w:tcBorders>
              <w:top w:val="nil"/>
              <w:left w:val="single" w:color="auto" w:sz="4" w:space="0"/>
              <w:bottom w:val="single" w:color="auto" w:sz="4" w:space="0"/>
              <w:right w:val="single" w:color="auto" w:sz="4" w:space="0"/>
            </w:tcBorders>
            <w:vAlign w:val="center"/>
          </w:tcPr>
          <w:p w14:paraId="43FFC2D8">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c>
          <w:tcPr>
            <w:tcW w:w="2583" w:type="pct"/>
            <w:tcBorders>
              <w:top w:val="nil"/>
              <w:left w:val="nil"/>
              <w:bottom w:val="single" w:color="auto" w:sz="4" w:space="0"/>
              <w:right w:val="single" w:color="auto" w:sz="4" w:space="0"/>
            </w:tcBorders>
            <w:vAlign w:val="center"/>
          </w:tcPr>
          <w:p w14:paraId="5692C3EB">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38400/56000/57600/115200 </w:t>
            </w:r>
          </w:p>
        </w:tc>
        <w:tc>
          <w:tcPr>
            <w:tcW w:w="1418" w:type="pct"/>
            <w:vMerge w:val="continue"/>
            <w:tcBorders>
              <w:top w:val="nil"/>
              <w:left w:val="single" w:color="auto" w:sz="4" w:space="0"/>
              <w:bottom w:val="single" w:color="auto" w:sz="4" w:space="0"/>
              <w:right w:val="single" w:color="auto" w:sz="4" w:space="0"/>
            </w:tcBorders>
            <w:vAlign w:val="center"/>
          </w:tcPr>
          <w:p w14:paraId="45F25F32">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468C6055">
        <w:trPr>
          <w:trHeight w:val="270" w:hRule="atLeast"/>
        </w:trPr>
        <w:tc>
          <w:tcPr>
            <w:tcW w:w="997" w:type="pct"/>
            <w:tcBorders>
              <w:top w:val="nil"/>
              <w:left w:val="single" w:color="auto" w:sz="4" w:space="0"/>
              <w:bottom w:val="single" w:color="auto" w:sz="4" w:space="0"/>
              <w:right w:val="single" w:color="auto" w:sz="4" w:space="0"/>
            </w:tcBorders>
            <w:vAlign w:val="center"/>
          </w:tcPr>
          <w:p w14:paraId="540F92DB">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电源电压</w:t>
            </w:r>
          </w:p>
        </w:tc>
        <w:tc>
          <w:tcPr>
            <w:tcW w:w="2583" w:type="pct"/>
            <w:tcBorders>
              <w:top w:val="nil"/>
              <w:left w:val="nil"/>
              <w:bottom w:val="single" w:color="auto" w:sz="4" w:space="0"/>
              <w:right w:val="single" w:color="auto" w:sz="4" w:space="0"/>
            </w:tcBorders>
            <w:vAlign w:val="center"/>
          </w:tcPr>
          <w:p w14:paraId="633F6A2B">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DC10～18V</w:t>
            </w:r>
          </w:p>
        </w:tc>
        <w:tc>
          <w:tcPr>
            <w:tcW w:w="1418" w:type="pct"/>
            <w:tcBorders>
              <w:top w:val="nil"/>
              <w:left w:val="nil"/>
              <w:bottom w:val="single" w:color="auto" w:sz="4" w:space="0"/>
              <w:right w:val="single" w:color="auto" w:sz="4" w:space="0"/>
            </w:tcBorders>
            <w:vAlign w:val="center"/>
          </w:tcPr>
          <w:p w14:paraId="40BDF270">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锂电池供电</w:t>
            </w:r>
          </w:p>
        </w:tc>
      </w:tr>
      <w:tr w14:paraId="7F0D1AC3">
        <w:tblPrEx>
          <w:tblCellMar>
            <w:top w:w="0" w:type="dxa"/>
            <w:left w:w="108" w:type="dxa"/>
            <w:bottom w:w="0" w:type="dxa"/>
            <w:right w:w="108" w:type="dxa"/>
          </w:tblCellMar>
        </w:tblPrEx>
        <w:trPr>
          <w:trHeight w:val="270" w:hRule="atLeast"/>
        </w:trPr>
        <w:tc>
          <w:tcPr>
            <w:tcW w:w="997" w:type="pct"/>
            <w:tcBorders>
              <w:top w:val="nil"/>
              <w:left w:val="single" w:color="auto" w:sz="4" w:space="0"/>
              <w:bottom w:val="single" w:color="auto" w:sz="4" w:space="0"/>
              <w:right w:val="single" w:color="auto" w:sz="4" w:space="0"/>
            </w:tcBorders>
            <w:vAlign w:val="center"/>
          </w:tcPr>
          <w:p w14:paraId="006A3AC7">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平均电流</w:t>
            </w:r>
          </w:p>
        </w:tc>
        <w:tc>
          <w:tcPr>
            <w:tcW w:w="2583" w:type="pct"/>
            <w:tcBorders>
              <w:top w:val="nil"/>
              <w:left w:val="nil"/>
              <w:bottom w:val="single" w:color="auto" w:sz="4" w:space="0"/>
              <w:right w:val="single" w:color="auto" w:sz="4" w:space="0"/>
            </w:tcBorders>
            <w:vAlign w:val="center"/>
          </w:tcPr>
          <w:p w14:paraId="5A1B36C8">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小于50mA(锂电池14VDC/蓄电池12VDC)</w:t>
            </w:r>
          </w:p>
        </w:tc>
        <w:tc>
          <w:tcPr>
            <w:tcW w:w="1418" w:type="pct"/>
            <w:tcBorders>
              <w:top w:val="nil"/>
              <w:left w:val="nil"/>
              <w:bottom w:val="single" w:color="auto" w:sz="4" w:space="0"/>
              <w:right w:val="single" w:color="auto" w:sz="4" w:space="0"/>
            </w:tcBorders>
            <w:vAlign w:val="center"/>
          </w:tcPr>
          <w:p w14:paraId="508B94D8">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2AFD7D89">
        <w:tblPrEx>
          <w:tblCellMar>
            <w:top w:w="0" w:type="dxa"/>
            <w:left w:w="108" w:type="dxa"/>
            <w:bottom w:w="0" w:type="dxa"/>
            <w:right w:w="108" w:type="dxa"/>
          </w:tblCellMar>
        </w:tblPrEx>
        <w:trPr>
          <w:trHeight w:val="270" w:hRule="atLeast"/>
        </w:trPr>
        <w:tc>
          <w:tcPr>
            <w:tcW w:w="997" w:type="pct"/>
            <w:tcBorders>
              <w:top w:val="nil"/>
              <w:left w:val="single" w:color="auto" w:sz="4" w:space="0"/>
              <w:bottom w:val="single" w:color="auto" w:sz="4" w:space="0"/>
              <w:right w:val="single" w:color="auto" w:sz="4" w:space="0"/>
            </w:tcBorders>
            <w:vAlign w:val="center"/>
          </w:tcPr>
          <w:p w14:paraId="579FC809">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工作湿度</w:t>
            </w:r>
          </w:p>
        </w:tc>
        <w:tc>
          <w:tcPr>
            <w:tcW w:w="2583" w:type="pct"/>
            <w:tcBorders>
              <w:top w:val="nil"/>
              <w:left w:val="nil"/>
              <w:bottom w:val="single" w:color="auto" w:sz="4" w:space="0"/>
              <w:right w:val="single" w:color="auto" w:sz="4" w:space="0"/>
            </w:tcBorders>
            <w:vAlign w:val="center"/>
          </w:tcPr>
          <w:p w14:paraId="6F7FCA8A">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0～98%RH（无凝结）</w:t>
            </w:r>
          </w:p>
        </w:tc>
        <w:tc>
          <w:tcPr>
            <w:tcW w:w="1418" w:type="pct"/>
            <w:tcBorders>
              <w:top w:val="nil"/>
              <w:left w:val="nil"/>
              <w:bottom w:val="single" w:color="auto" w:sz="4" w:space="0"/>
              <w:right w:val="single" w:color="auto" w:sz="4" w:space="0"/>
            </w:tcBorders>
            <w:vAlign w:val="center"/>
          </w:tcPr>
          <w:p w14:paraId="3109869B">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22557554">
        <w:tblPrEx>
          <w:tblCellMar>
            <w:top w:w="0" w:type="dxa"/>
            <w:left w:w="108" w:type="dxa"/>
            <w:bottom w:w="0" w:type="dxa"/>
            <w:right w:w="108" w:type="dxa"/>
          </w:tblCellMar>
        </w:tblPrEx>
        <w:trPr>
          <w:trHeight w:val="270" w:hRule="atLeast"/>
        </w:trPr>
        <w:tc>
          <w:tcPr>
            <w:tcW w:w="997" w:type="pct"/>
            <w:tcBorders>
              <w:top w:val="nil"/>
              <w:left w:val="single" w:color="auto" w:sz="4" w:space="0"/>
              <w:bottom w:val="single" w:color="auto" w:sz="4" w:space="0"/>
              <w:right w:val="single" w:color="auto" w:sz="4" w:space="0"/>
            </w:tcBorders>
            <w:vAlign w:val="center"/>
          </w:tcPr>
          <w:p w14:paraId="59D2F1F4">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安装方式</w:t>
            </w:r>
          </w:p>
        </w:tc>
        <w:tc>
          <w:tcPr>
            <w:tcW w:w="2583" w:type="pct"/>
            <w:tcBorders>
              <w:top w:val="nil"/>
              <w:left w:val="nil"/>
              <w:bottom w:val="single" w:color="auto" w:sz="4" w:space="0"/>
              <w:right w:val="single" w:color="auto" w:sz="4" w:space="0"/>
            </w:tcBorders>
            <w:vAlign w:val="center"/>
          </w:tcPr>
          <w:p w14:paraId="144E9302">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立杆胀杆固定、一体化基座安装箱、立杆固定浇筑安装等</w:t>
            </w:r>
          </w:p>
        </w:tc>
        <w:tc>
          <w:tcPr>
            <w:tcW w:w="1418" w:type="pct"/>
            <w:tcBorders>
              <w:top w:val="nil"/>
              <w:left w:val="nil"/>
              <w:bottom w:val="single" w:color="auto" w:sz="4" w:space="0"/>
              <w:right w:val="single" w:color="auto" w:sz="4" w:space="0"/>
            </w:tcBorders>
            <w:vAlign w:val="center"/>
          </w:tcPr>
          <w:p w14:paraId="260F9E7E">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p>
        </w:tc>
      </w:tr>
      <w:tr w14:paraId="1E3D5AD0">
        <w:tblPrEx>
          <w:tblCellMar>
            <w:top w:w="0" w:type="dxa"/>
            <w:left w:w="108" w:type="dxa"/>
            <w:bottom w:w="0" w:type="dxa"/>
            <w:right w:w="108" w:type="dxa"/>
          </w:tblCellMar>
        </w:tblPrEx>
        <w:trPr>
          <w:trHeight w:val="270" w:hRule="atLeast"/>
        </w:trPr>
        <w:tc>
          <w:tcPr>
            <w:tcW w:w="997" w:type="pct"/>
            <w:tcBorders>
              <w:top w:val="nil"/>
              <w:left w:val="single" w:color="auto" w:sz="4" w:space="0"/>
              <w:bottom w:val="single" w:color="auto" w:sz="4" w:space="0"/>
              <w:right w:val="single" w:color="auto" w:sz="4" w:space="0"/>
            </w:tcBorders>
            <w:vAlign w:val="center"/>
          </w:tcPr>
          <w:p w14:paraId="5196A98B">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供电要求</w:t>
            </w:r>
          </w:p>
        </w:tc>
        <w:tc>
          <w:tcPr>
            <w:tcW w:w="2583" w:type="pct"/>
            <w:tcBorders>
              <w:top w:val="nil"/>
              <w:left w:val="nil"/>
              <w:bottom w:val="single" w:color="auto" w:sz="4" w:space="0"/>
              <w:right w:val="single" w:color="auto" w:sz="4" w:space="0"/>
            </w:tcBorders>
            <w:vAlign w:val="center"/>
          </w:tcPr>
          <w:p w14:paraId="385E730A">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满足连续30个阴雨日正常工作</w:t>
            </w:r>
          </w:p>
        </w:tc>
        <w:tc>
          <w:tcPr>
            <w:tcW w:w="1418" w:type="pct"/>
            <w:tcBorders>
              <w:top w:val="nil"/>
              <w:left w:val="nil"/>
              <w:bottom w:val="single" w:color="auto" w:sz="4" w:space="0"/>
              <w:right w:val="single" w:color="auto" w:sz="4" w:space="0"/>
            </w:tcBorders>
            <w:vAlign w:val="center"/>
          </w:tcPr>
          <w:p w14:paraId="41B844FB">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过压及欠压保护</w:t>
            </w:r>
          </w:p>
        </w:tc>
      </w:tr>
    </w:tbl>
    <w:p w14:paraId="3C3503A5">
      <w:pPr>
        <w:pStyle w:val="3"/>
        <w:rPr>
          <w:rFonts w:hint="eastAsia" w:asciiTheme="minorEastAsia" w:hAnsiTheme="minorEastAsia" w:eastAsiaTheme="minorEastAsia" w:cstheme="minorEastAsia"/>
          <w:b/>
          <w:bCs/>
          <w:color w:val="auto"/>
          <w:sz w:val="24"/>
          <w:highlight w:val="none"/>
          <w:lang w:eastAsia="zh-CN"/>
        </w:rPr>
      </w:pPr>
      <w:r>
        <w:rPr>
          <w:rFonts w:hint="eastAsia" w:asciiTheme="minorEastAsia" w:hAnsiTheme="minorEastAsia" w:eastAsiaTheme="minorEastAsia" w:cstheme="minorEastAsia"/>
          <w:b/>
          <w:bCs/>
          <w:color w:val="auto"/>
          <w:sz w:val="24"/>
          <w:highlight w:val="none"/>
          <w:lang w:val="en-US" w:eastAsia="zh-CN"/>
        </w:rPr>
        <w:t>含水率</w:t>
      </w:r>
      <w:r>
        <w:rPr>
          <w:rFonts w:hint="eastAsia" w:asciiTheme="minorEastAsia" w:hAnsiTheme="minorEastAsia" w:eastAsiaTheme="minorEastAsia" w:cstheme="minorEastAsia"/>
          <w:b/>
          <w:bCs/>
          <w:color w:val="auto"/>
          <w:sz w:val="24"/>
          <w:highlight w:val="none"/>
        </w:rPr>
        <w:t>监测站(</w:t>
      </w:r>
      <w:r>
        <w:rPr>
          <w:rFonts w:hint="eastAsia" w:asciiTheme="minorEastAsia" w:hAnsiTheme="minorEastAsia" w:eastAsiaTheme="minorEastAsia" w:cstheme="minorEastAsia"/>
          <w:b/>
          <w:bCs/>
          <w:color w:val="auto"/>
          <w:sz w:val="24"/>
          <w:highlight w:val="none"/>
          <w:lang w:val="en-US" w:eastAsia="zh-CN"/>
        </w:rPr>
        <w:t>管</w:t>
      </w:r>
      <w:r>
        <w:rPr>
          <w:rFonts w:hint="eastAsia" w:asciiTheme="minorEastAsia" w:hAnsiTheme="minorEastAsia" w:eastAsiaTheme="minorEastAsia" w:cstheme="minorEastAsia"/>
          <w:b/>
          <w:bCs/>
          <w:color w:val="auto"/>
          <w:sz w:val="24"/>
          <w:highlight w:val="none"/>
        </w:rPr>
        <w:t>式)</w:t>
      </w:r>
      <w:r>
        <w:rPr>
          <w:rFonts w:hint="eastAsia" w:asciiTheme="minorEastAsia" w:hAnsiTheme="minorEastAsia" w:eastAsiaTheme="minorEastAsia" w:cstheme="minorEastAsia"/>
          <w:b/>
          <w:bCs/>
          <w:color w:val="auto"/>
          <w:sz w:val="24"/>
          <w:highlight w:val="none"/>
          <w:lang w:eastAsia="zh-CN"/>
        </w:rPr>
        <w:t>：</w:t>
      </w:r>
    </w:p>
    <w:p w14:paraId="59817BDC">
      <w:pPr>
        <w:spacing w:before="0" w:beforeLines="-2147483648"/>
        <w:ind w:firstLine="420"/>
        <w:jc w:val="center"/>
        <w:rPr>
          <w:rFonts w:hint="eastAsia" w:asciiTheme="minorEastAsia" w:hAnsiTheme="minorEastAsia" w:eastAsiaTheme="minorEastAsia" w:cstheme="minorEastAsia"/>
          <w:b w:val="0"/>
          <w:color w:val="auto"/>
          <w:kern w:val="2"/>
          <w:sz w:val="21"/>
          <w:szCs w:val="21"/>
          <w:highlight w:val="none"/>
        </w:rPr>
      </w:pPr>
      <w:r>
        <w:rPr>
          <w:rFonts w:hint="eastAsia" w:asciiTheme="minorEastAsia" w:hAnsiTheme="minorEastAsia" w:eastAsiaTheme="minorEastAsia" w:cstheme="minorEastAsia"/>
          <w:b w:val="0"/>
          <w:color w:val="auto"/>
          <w:kern w:val="2"/>
          <w:sz w:val="21"/>
          <w:szCs w:val="21"/>
          <w:highlight w:val="none"/>
        </w:rPr>
        <w:t>管式含水率仪主要技术参数</w:t>
      </w:r>
    </w:p>
    <w:tbl>
      <w:tblPr>
        <w:tblStyle w:val="7"/>
        <w:tblW w:w="8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5"/>
        <w:gridCol w:w="4437"/>
        <w:gridCol w:w="2418"/>
      </w:tblGrid>
      <w:tr w14:paraId="05200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635" w:type="dxa"/>
            <w:vAlign w:val="center"/>
          </w:tcPr>
          <w:p w14:paraId="6B0BF8D1">
            <w:pPr>
              <w:autoSpaceDE w:val="0"/>
              <w:autoSpaceDN w:val="0"/>
              <w:adjustRightInd w:val="0"/>
              <w:spacing w:line="240" w:lineRule="auto"/>
              <w:ind w:firstLine="0" w:firstLineChars="0"/>
              <w:jc w:val="center"/>
              <w:rPr>
                <w:rFonts w:hint="eastAsia" w:asciiTheme="minorEastAsia" w:hAnsiTheme="minorEastAsia" w:eastAsiaTheme="minorEastAsia" w:cstheme="minorEastAsia"/>
                <w:b w:val="0"/>
                <w:color w:val="auto"/>
                <w:kern w:val="2"/>
                <w:sz w:val="21"/>
                <w:szCs w:val="21"/>
                <w:highlight w:val="none"/>
              </w:rPr>
            </w:pPr>
            <w:r>
              <w:rPr>
                <w:rFonts w:hint="eastAsia" w:asciiTheme="minorEastAsia" w:hAnsiTheme="minorEastAsia" w:eastAsiaTheme="minorEastAsia" w:cstheme="minorEastAsia"/>
                <w:b w:val="0"/>
                <w:color w:val="auto"/>
                <w:kern w:val="2"/>
                <w:sz w:val="21"/>
                <w:szCs w:val="21"/>
                <w:highlight w:val="none"/>
              </w:rPr>
              <w:t>参数类型</w:t>
            </w:r>
          </w:p>
        </w:tc>
        <w:tc>
          <w:tcPr>
            <w:tcW w:w="4437" w:type="dxa"/>
            <w:vAlign w:val="center"/>
          </w:tcPr>
          <w:p w14:paraId="1D5E8AE0">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b w:val="0"/>
                <w:color w:val="auto"/>
                <w:kern w:val="2"/>
                <w:sz w:val="21"/>
                <w:szCs w:val="21"/>
                <w:highlight w:val="none"/>
              </w:rPr>
            </w:pPr>
            <w:r>
              <w:rPr>
                <w:rFonts w:hint="eastAsia" w:asciiTheme="minorEastAsia" w:hAnsiTheme="minorEastAsia" w:eastAsiaTheme="minorEastAsia" w:cstheme="minorEastAsia"/>
                <w:b w:val="0"/>
                <w:color w:val="auto"/>
                <w:kern w:val="2"/>
                <w:sz w:val="21"/>
                <w:szCs w:val="21"/>
                <w:highlight w:val="none"/>
              </w:rPr>
              <w:t>技术指标</w:t>
            </w:r>
          </w:p>
        </w:tc>
        <w:tc>
          <w:tcPr>
            <w:tcW w:w="2418" w:type="dxa"/>
            <w:vAlign w:val="center"/>
          </w:tcPr>
          <w:p w14:paraId="5993A16A">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b w:val="0"/>
                <w:color w:val="auto"/>
                <w:kern w:val="2"/>
                <w:sz w:val="21"/>
                <w:szCs w:val="21"/>
                <w:highlight w:val="none"/>
              </w:rPr>
            </w:pPr>
            <w:r>
              <w:rPr>
                <w:rFonts w:hint="eastAsia" w:asciiTheme="minorEastAsia" w:hAnsiTheme="minorEastAsia" w:eastAsiaTheme="minorEastAsia" w:cstheme="minorEastAsia"/>
                <w:b w:val="0"/>
                <w:color w:val="auto"/>
                <w:kern w:val="2"/>
                <w:sz w:val="21"/>
                <w:szCs w:val="21"/>
                <w:highlight w:val="none"/>
              </w:rPr>
              <w:t>备注</w:t>
            </w:r>
          </w:p>
        </w:tc>
      </w:tr>
      <w:tr w14:paraId="7C9CF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635" w:type="dxa"/>
            <w:vAlign w:val="center"/>
          </w:tcPr>
          <w:p w14:paraId="4F05DDF3">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测量范围</w:t>
            </w:r>
          </w:p>
        </w:tc>
        <w:tc>
          <w:tcPr>
            <w:tcW w:w="4437" w:type="dxa"/>
            <w:vAlign w:val="center"/>
          </w:tcPr>
          <w:p w14:paraId="2D72FAC2">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干土～饱和土</w:t>
            </w:r>
          </w:p>
        </w:tc>
        <w:tc>
          <w:tcPr>
            <w:tcW w:w="2418" w:type="dxa"/>
            <w:vAlign w:val="center"/>
          </w:tcPr>
          <w:p w14:paraId="11E9D2C3">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p>
        </w:tc>
      </w:tr>
      <w:tr w14:paraId="5173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635" w:type="dxa"/>
            <w:vAlign w:val="center"/>
          </w:tcPr>
          <w:p w14:paraId="360C3657">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测量精度</w:t>
            </w:r>
          </w:p>
        </w:tc>
        <w:tc>
          <w:tcPr>
            <w:tcW w:w="4437" w:type="dxa"/>
            <w:vAlign w:val="center"/>
          </w:tcPr>
          <w:p w14:paraId="5C47A944">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w:t>
            </w:r>
          </w:p>
        </w:tc>
        <w:tc>
          <w:tcPr>
            <w:tcW w:w="2418" w:type="dxa"/>
            <w:vAlign w:val="center"/>
          </w:tcPr>
          <w:p w14:paraId="4E6036A5">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p>
        </w:tc>
      </w:tr>
      <w:tr w14:paraId="5BC9C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635" w:type="dxa"/>
            <w:vAlign w:val="center"/>
          </w:tcPr>
          <w:p w14:paraId="64785A7A">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采样间隔</w:t>
            </w:r>
          </w:p>
        </w:tc>
        <w:tc>
          <w:tcPr>
            <w:tcW w:w="4437" w:type="dxa"/>
            <w:vAlign w:val="center"/>
          </w:tcPr>
          <w:p w14:paraId="3C1D43A8">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0s～24h</w:t>
            </w:r>
          </w:p>
        </w:tc>
        <w:tc>
          <w:tcPr>
            <w:tcW w:w="2418" w:type="dxa"/>
            <w:vAlign w:val="center"/>
          </w:tcPr>
          <w:p w14:paraId="7EB95674">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按需求设定</w:t>
            </w:r>
          </w:p>
        </w:tc>
      </w:tr>
      <w:tr w14:paraId="43D7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635" w:type="dxa"/>
            <w:vAlign w:val="center"/>
          </w:tcPr>
          <w:p w14:paraId="57952344">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上传间隔</w:t>
            </w:r>
          </w:p>
        </w:tc>
        <w:tc>
          <w:tcPr>
            <w:tcW w:w="4437" w:type="dxa"/>
            <w:vAlign w:val="center"/>
          </w:tcPr>
          <w:p w14:paraId="2D8B56A2">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0s～72h</w:t>
            </w:r>
          </w:p>
        </w:tc>
        <w:tc>
          <w:tcPr>
            <w:tcW w:w="2418" w:type="dxa"/>
            <w:vAlign w:val="center"/>
          </w:tcPr>
          <w:p w14:paraId="4065565B">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按需求设定</w:t>
            </w:r>
          </w:p>
        </w:tc>
      </w:tr>
      <w:tr w14:paraId="0D402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635" w:type="dxa"/>
            <w:vAlign w:val="center"/>
          </w:tcPr>
          <w:p w14:paraId="34596219">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输出信号</w:t>
            </w:r>
          </w:p>
        </w:tc>
        <w:tc>
          <w:tcPr>
            <w:tcW w:w="4437" w:type="dxa"/>
            <w:vAlign w:val="center"/>
          </w:tcPr>
          <w:p w14:paraId="624EC6B0">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RS485/NB-IOT/LoRa/α/2/4/5G等</w:t>
            </w:r>
          </w:p>
        </w:tc>
        <w:tc>
          <w:tcPr>
            <w:tcW w:w="2418" w:type="dxa"/>
            <w:vAlign w:val="center"/>
          </w:tcPr>
          <w:p w14:paraId="4D62E955">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p>
        </w:tc>
      </w:tr>
      <w:tr w14:paraId="77E48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635" w:type="dxa"/>
            <w:vAlign w:val="center"/>
          </w:tcPr>
          <w:p w14:paraId="159D43F3">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通讯标准</w:t>
            </w:r>
          </w:p>
        </w:tc>
        <w:tc>
          <w:tcPr>
            <w:tcW w:w="4437" w:type="dxa"/>
            <w:vAlign w:val="center"/>
          </w:tcPr>
          <w:p w14:paraId="7275D30A">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符合《地质灾害监测数据通讯技术要求》</w:t>
            </w:r>
          </w:p>
        </w:tc>
        <w:tc>
          <w:tcPr>
            <w:tcW w:w="2418" w:type="dxa"/>
            <w:vAlign w:val="center"/>
          </w:tcPr>
          <w:p w14:paraId="025D3529">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p>
        </w:tc>
      </w:tr>
      <w:tr w14:paraId="7DDFC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635" w:type="dxa"/>
            <w:vAlign w:val="center"/>
          </w:tcPr>
          <w:p w14:paraId="1326E068">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输出参数</w:t>
            </w:r>
          </w:p>
        </w:tc>
        <w:tc>
          <w:tcPr>
            <w:tcW w:w="4437" w:type="dxa"/>
            <w:vAlign w:val="center"/>
          </w:tcPr>
          <w:p w14:paraId="417AF6A0">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分层含水率、温度、振动加速度、倾角等</w:t>
            </w:r>
          </w:p>
        </w:tc>
        <w:tc>
          <w:tcPr>
            <w:tcW w:w="2418" w:type="dxa"/>
            <w:vAlign w:val="center"/>
          </w:tcPr>
          <w:p w14:paraId="3664EF76">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p>
        </w:tc>
      </w:tr>
      <w:tr w14:paraId="70F3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635" w:type="dxa"/>
            <w:vAlign w:val="center"/>
          </w:tcPr>
          <w:p w14:paraId="0B860502">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工作温度</w:t>
            </w:r>
          </w:p>
        </w:tc>
        <w:tc>
          <w:tcPr>
            <w:tcW w:w="4437" w:type="dxa"/>
            <w:vAlign w:val="center"/>
          </w:tcPr>
          <w:p w14:paraId="2E102AEE">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-20℃～+65℃</w:t>
            </w:r>
          </w:p>
        </w:tc>
        <w:tc>
          <w:tcPr>
            <w:tcW w:w="2418" w:type="dxa"/>
            <w:vAlign w:val="center"/>
          </w:tcPr>
          <w:p w14:paraId="7D522710">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高寒地区定制</w:t>
            </w:r>
          </w:p>
        </w:tc>
      </w:tr>
      <w:tr w14:paraId="6951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635" w:type="dxa"/>
            <w:vAlign w:val="center"/>
          </w:tcPr>
          <w:p w14:paraId="3E0A5C0D">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防护等级</w:t>
            </w:r>
          </w:p>
        </w:tc>
        <w:tc>
          <w:tcPr>
            <w:tcW w:w="4437" w:type="dxa"/>
            <w:vAlign w:val="center"/>
          </w:tcPr>
          <w:p w14:paraId="50306C7D">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IP68</w:t>
            </w:r>
          </w:p>
        </w:tc>
        <w:tc>
          <w:tcPr>
            <w:tcW w:w="2418" w:type="dxa"/>
            <w:vAlign w:val="center"/>
          </w:tcPr>
          <w:p w14:paraId="7DBD6CBC">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p>
        </w:tc>
      </w:tr>
      <w:tr w14:paraId="51177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635" w:type="dxa"/>
            <w:vAlign w:val="center"/>
          </w:tcPr>
          <w:p w14:paraId="4FB98423">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安装方式</w:t>
            </w:r>
          </w:p>
        </w:tc>
        <w:tc>
          <w:tcPr>
            <w:tcW w:w="4437" w:type="dxa"/>
            <w:vAlign w:val="center"/>
          </w:tcPr>
          <w:p w14:paraId="592ED268">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原状土回灌泥浆等</w:t>
            </w:r>
          </w:p>
        </w:tc>
        <w:tc>
          <w:tcPr>
            <w:tcW w:w="2418" w:type="dxa"/>
            <w:vAlign w:val="center"/>
          </w:tcPr>
          <w:p w14:paraId="2697B212">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p>
        </w:tc>
      </w:tr>
      <w:tr w14:paraId="677DE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635" w:type="dxa"/>
            <w:vAlign w:val="center"/>
          </w:tcPr>
          <w:p w14:paraId="50DB32A6">
            <w:pPr>
              <w:autoSpaceDE w:val="0"/>
              <w:autoSpaceDN w:val="0"/>
              <w:adjustRightIn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供电方式</w:t>
            </w:r>
          </w:p>
        </w:tc>
        <w:tc>
          <w:tcPr>
            <w:tcW w:w="4437" w:type="dxa"/>
            <w:vAlign w:val="center"/>
          </w:tcPr>
          <w:p w14:paraId="6CC3F824">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按需供电方式，满足连续30个阴雨日正常工作</w:t>
            </w:r>
          </w:p>
        </w:tc>
        <w:tc>
          <w:tcPr>
            <w:tcW w:w="2418" w:type="dxa"/>
            <w:vAlign w:val="center"/>
          </w:tcPr>
          <w:p w14:paraId="5757E7B2">
            <w:pPr>
              <w:autoSpaceDE w:val="0"/>
              <w:autoSpaceDN w:val="0"/>
              <w:adjustRightInd w:val="0"/>
              <w:spacing w:line="240" w:lineRule="auto"/>
              <w:ind w:left="0" w:leftChars="0" w:firstLine="0" w:firstLineChars="0"/>
              <w:jc w:val="center"/>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过压及欠压保护</w:t>
            </w:r>
          </w:p>
        </w:tc>
      </w:tr>
    </w:tbl>
    <w:p w14:paraId="41E9812C">
      <w:pPr>
        <w:pStyle w:val="6"/>
        <w:spacing w:line="560" w:lineRule="exact"/>
        <w:ind w:firstLine="0" w:firstLineChars="0"/>
        <w:rPr>
          <w:color w:val="auto"/>
          <w:highlight w:val="none"/>
        </w:rPr>
      </w:pPr>
    </w:p>
    <w:p w14:paraId="38451313">
      <w:pPr>
        <w:pStyle w:val="12"/>
        <w:rPr>
          <w:rFonts w:hint="default"/>
          <w:color w:val="auto"/>
          <w:highlight w:val="none"/>
        </w:rPr>
      </w:pPr>
    </w:p>
    <w:p w14:paraId="7476E428">
      <w:pPr>
        <w:rPr>
          <w:color w:val="auto"/>
          <w:highlight w:val="none"/>
        </w:rPr>
      </w:pPr>
      <w:bookmarkStart w:id="4" w:name="_GoBack"/>
      <w:bookmarkEnd w:id="4"/>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方正小标宋简体">
    <w:altName w:val="黑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A9816">
    <w:pPr>
      <w:pStyle w:val="4"/>
      <w:ind w:firstLine="360"/>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A0D6292">
                          <w:pPr>
                            <w:pStyle w:val="4"/>
                            <w:ind w:firstLine="36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XW5UtAAAAAFAQAADwAAAAAAAAABACAAAAAiAAAAZHJzL2Rvd25yZXYueG1s&#10;UEsBAhQAFAAAAAgAh07iQG95zJ/HAQAAjwMAAA4AAAAAAAAAAQAgAAAAHwEAAGRycy9lMm9Eb2Mu&#10;eG1sUEsFBgAAAAAGAAYAWQEAAFgFAAAAAA==&#10;">
              <v:fill on="f" focussize="0,0"/>
              <v:stroke on="f"/>
              <v:imagedata o:title=""/>
              <o:lock v:ext="edit" aspectratio="f"/>
              <v:textbox inset="0mm,0mm,0mm,0mm" style="mso-fit-shape-to-text:t;">
                <w:txbxContent>
                  <w:p w14:paraId="2A0D6292">
                    <w:pPr>
                      <w:pStyle w:val="4"/>
                      <w:ind w:firstLine="36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43EC6">
    <w:pPr>
      <w:pStyle w:val="4"/>
      <w:ind w:firstLine="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39B4612">
                          <w:pPr>
                            <w:pStyle w:val="4"/>
                            <w:ind w:firstLine="36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eg5pLHAQAAj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VfceaEpQe//Pxx+fXn8vs7&#10;WyZ7+oAVnXoMDzBlSGHSOrRg05dUsCFber5aqobIJG0u16v1uiS3JdXmhHCKp+sBMN4rb1kKag70&#10;ZtlKcfqIcTw6H0ndjEur83famLGadopEcySWojjsh4nt3jdnkkgTT+Cdh2+c9fTeNXc03pyZD47s&#10;TKMxBzAH+zkQTtLFmo+8MNweI7XP3FKzscPEgd4pq5tmKg3C8zyfevqPt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XW5UtAAAAAFAQAADwAAAAAAAAABACAAAAAiAAAAZHJzL2Rvd25yZXYueG1s&#10;UEsBAhQAFAAAAAgAh07iQNeg5pLHAQAAjwMAAA4AAAAAAAAAAQAgAAAAHwEAAGRycy9lMm9Eb2Mu&#10;eG1sUEsFBgAAAAAGAAYAWQEAAFgFAAAAAA==&#10;">
              <v:fill on="f" focussize="0,0"/>
              <v:stroke on="f"/>
              <v:imagedata o:title=""/>
              <o:lock v:ext="edit" aspectratio="f"/>
              <v:textbox inset="0mm,0mm,0mm,0mm" style="mso-fit-shape-to-text:t;">
                <w:txbxContent>
                  <w:p w14:paraId="339B4612">
                    <w:pPr>
                      <w:pStyle w:val="4"/>
                      <w:ind w:firstLine="36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A43D3">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1C4162"/>
    <w:multiLevelType w:val="singleLevel"/>
    <w:tmpl w:val="A61C4162"/>
    <w:lvl w:ilvl="0" w:tentative="0">
      <w:start w:val="4"/>
      <w:numFmt w:val="decimal"/>
      <w:suff w:val="nothing"/>
      <w:lvlText w:val="（%1）"/>
      <w:lvlJc w:val="left"/>
    </w:lvl>
  </w:abstractNum>
  <w:abstractNum w:abstractNumId="1">
    <w:nsid w:val="FF8918B2"/>
    <w:multiLevelType w:val="singleLevel"/>
    <w:tmpl w:val="FF8918B2"/>
    <w:lvl w:ilvl="0" w:tentative="0">
      <w:start w:val="9"/>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8C772E"/>
    <w:rsid w:val="3E8C7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firstLineChars="200"/>
    </w:pPr>
    <w:rPr>
      <w:rFonts w:ascii="Calibri" w:hAnsi="Calibri"/>
      <w:kern w:val="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6">
    <w:name w:val="Body Text 2"/>
    <w:basedOn w:val="1"/>
    <w:qFormat/>
    <w:uiPriority w:val="0"/>
    <w:rPr>
      <w:rFonts w:ascii="楷体_GB2312" w:hAnsi="Copperplate Gothic Bold" w:eastAsia="楷体_GB2312"/>
      <w:sz w:val="2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空2格  1."/>
    <w:basedOn w:val="1"/>
    <w:qFormat/>
    <w:uiPriority w:val="0"/>
    <w:pPr>
      <w:adjustRightInd w:val="0"/>
      <w:ind w:firstLine="480"/>
    </w:pPr>
    <w:rPr>
      <w:rFonts w:hint="eastAsia" w:ascii="宋体" w:eastAsia="仿宋" w:cs="宋体"/>
      <w:kern w:val="0"/>
      <w:sz w:val="28"/>
    </w:rPr>
  </w:style>
  <w:style w:type="paragraph" w:customStyle="1" w:styleId="11">
    <w:name w:val="表格内容"/>
    <w:basedOn w:val="1"/>
    <w:qFormat/>
    <w:uiPriority w:val="0"/>
    <w:pPr>
      <w:jc w:val="center"/>
    </w:pPr>
    <w:rPr>
      <w:rFonts w:hint="eastAsia" w:ascii="仿宋" w:hAnsi="仿宋" w:cs="仿宋"/>
      <w:szCs w:val="21"/>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2026-06-11T09:51:00Z</dcterms:created>
  <dc:creator>刘菲</dc:creator>
  <cp:lastModifiedBy>刘菲</cp:lastModifiedBy>
  <dcterms:modified xsi:type="dcterms:W3CDTF">2026-06-11T10:04:43Z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61EECDF734AC46B4974DCCD54B2B2A05_11</vt:lpwstr>
  </property>
  <property fmtid="{D5CDD505-2E9C-101B-9397-08002B2CF9AE}" pid="4" name="KSOTemplateDocerSaveRecord">
    <vt:lpwstr>eyJoZGlkIjoiNjBjMTUwMjhmNmI2ZmVlMTBkYzRmYzI5MTBmNTk5ODUiLCJ1c2VySWQiOiIzNzMwMTc5MDgifQ==</vt:lpwstr>
  </property>
</Properties>
</file>