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版本号：ZCZB-2026-0117.1B120260706001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2025年改善普通高中学校办学条件第二批建设项目(二次)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ZCZB-2026-0117.1B1</w:t>
      </w:r>
      <w:r>
        <w:br/>
      </w:r>
      <w:r>
        <w:br/>
      </w:r>
      <w:r>
        <w:br/>
      </w:r>
    </w:p>
    <w:p>
      <w:pPr>
        <w:pStyle w:val="null3"/>
        <w:jc w:val="center"/>
        <w:outlineLvl w:val="2"/>
      </w:pPr>
      <w:r>
        <w:rPr>
          <w:rFonts w:ascii="仿宋_GB2312" w:hAnsi="仿宋_GB2312" w:cs="仿宋_GB2312" w:eastAsia="仿宋_GB2312"/>
          <w:sz w:val="28"/>
          <w:b/>
        </w:rPr>
        <w:t>西安市临潼区教育局</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西安市临潼区教育局</w:t>
      </w:r>
      <w:r>
        <w:rPr>
          <w:rFonts w:ascii="仿宋_GB2312" w:hAnsi="仿宋_GB2312" w:cs="仿宋_GB2312" w:eastAsia="仿宋_GB2312"/>
        </w:rPr>
        <w:t>委托，拟对</w:t>
      </w:r>
      <w:r>
        <w:rPr>
          <w:rFonts w:ascii="仿宋_GB2312" w:hAnsi="仿宋_GB2312" w:cs="仿宋_GB2312" w:eastAsia="仿宋_GB2312"/>
        </w:rPr>
        <w:t>2025年改善普通高中学校办学条件第二批建设项目(二次)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ZCZB-2026-0117.1B1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2025年改善普通高中学校办学条件第二批建设项目(二次)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2025年改善普通高中学校办学条件第二批建设项目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采购包1（2025年改善普通高中学校办学条件第二批建设项目）：属于专门面向中小企业采购。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2、法人授权委托书：投标人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3、其它：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029-83817125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18049223846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采购包1：1,469,963.35元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计委关于印发《招标代理服务收费管理暂行办法》的通知（计价格[2002]1980号）、国家发展计划委员会文件（发改办价格[2003]857号）国家发展改革委办公厅关于招标代理服务收费有关问题的通知”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西安市临潼区教育局</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符合行业规定及采购人要求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联系电话：18049223846</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2025年改善普通高中学校办学条件第二批建设项目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1,469,963.35</w:t>
      </w:r>
    </w:p>
    <w:p>
      <w:pPr>
        <w:pStyle w:val="null3"/>
      </w:pPr>
      <w:r>
        <w:rPr>
          <w:rFonts w:ascii="仿宋_GB2312" w:hAnsi="仿宋_GB2312" w:cs="仿宋_GB2312" w:eastAsia="仿宋_GB2312"/>
        </w:rPr>
        <w:t>采购包最高限价（元）: 1,469,028.78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华中设备采购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1,469,963.35</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标的名称：华中设备采购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本项目核心产品：</w:t>
            </w:r>
            <w:r>
              <w:rPr>
                <w:rFonts w:ascii="仿宋_GB2312" w:hAnsi="仿宋_GB2312" w:cs="仿宋_GB2312" w:eastAsia="仿宋_GB2312"/>
                <w:sz w:val="19"/>
                <w:color w:val="000000"/>
              </w:rPr>
              <w:t xml:space="preserve">钢制连体公寓床床架（ </w:t>
            </w:r>
            <w:r>
              <w:rPr>
                <w:rFonts w:ascii="仿宋_GB2312" w:hAnsi="仿宋_GB2312" w:cs="仿宋_GB2312" w:eastAsia="仿宋_GB2312"/>
                <w:sz w:val="19"/>
                <w:color w:val="000000"/>
              </w:rPr>
              <w:t>二连三床体及床板）</w:t>
            </w:r>
          </w:p>
          <w:p>
            <w:pPr>
              <w:pStyle w:val="null3"/>
            </w:pPr>
            <w:r>
              <w:rPr>
                <w:rFonts w:ascii="仿宋_GB2312" w:hAnsi="仿宋_GB2312" w:cs="仿宋_GB2312" w:eastAsia="仿宋_GB2312"/>
              </w:rPr>
              <w:t>技术参数及性能指标：详见工程量清单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进度款，审计完成后，达到付款条件起15个工作日内，支付合同总金额的20.0%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符合行业规定及采购人要求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1、（实质性要求）本项目暂列金48000元，投标单位须根据工程量清单给定金额进行报价，不得更改，否则其投标文件将按无效处理。 2、本项目工程部分包括：华清中学-宿舍楼改造、华清中学-电气设备安装工程。 3、本项目货物部分包括：钢制连体公寓床床架（二连三床体及床板）、学习桌及书柜、床下柜及走梯柜、学习椅。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基本资格条件如不提供《基本资格条件承诺函》的供应商需提交以下资格证明文件： （1）财务状况报告：投标人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提供《基本资格条件承诺函》） （2）税收缴纳证明：提供2025年6月1日以来任意一个月税收缴纳证明（至少包含增值税或企业所得税其中一种），依法免税或无需缴纳税收的单位应提供相关证明材料；（提供《基本资格条件承诺函》） （3）社会保障资金缴纳证明：提供2025年6月1日以来任意一个月的社会保障资金缴存单据或社保机构开具的社会保险参保缴费情况证明，依法不需要缴纳社会保障资金的单位应提供相关证明材料；（提供《基本资格条件承诺函》） （4）具备履行合同所必需的设备和专业技术能力的证明材料；（提供《基本资格条件承诺函》） （5）参加政府采购活动前3年内在经营活动中没有重大违法记录的书面声明；（提供《基本资格条件承诺函》）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基本资格条件承诺函》，以采购代理机构于响应文件截止日当天查询结果为准）</w:t>
            </w:r>
          </w:p>
        </w:tc>
        <w:tc>
          <w:tcPr>
            <w:tcW w:type="dxa" w:w="1661"/>
          </w:tcPr>
          <w:p>
            <w:pPr>
              <w:pStyle w:val="null3"/>
            </w:pPr>
            <w:r>
              <w:rPr>
                <w:rFonts w:ascii="仿宋_GB2312" w:hAnsi="仿宋_GB2312" w:cs="仿宋_GB2312" w:eastAsia="仿宋_GB2312"/>
              </w:rPr>
              <w:t>（格式）资格证明文件.docx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（格式）资格证明文件.docx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（格式）资格证明文件.docx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（格式）资格证明文件.docx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（格式）中小企业声明函（货物）.docx 残疾人福利性单位声明函 监狱企业的证明文件 （格式）中小企业声明函（工程部分）.docx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技术参数响应（货物）</w:t>
            </w:r>
          </w:p>
        </w:tc>
        <w:tc>
          <w:tcPr>
            <w:tcW w:type="dxa" w:w="2492"/>
          </w:tcPr>
          <w:p>
            <w:pPr>
              <w:pStyle w:val="null3"/>
            </w:pPr>
            <w:r>
              <w:rPr>
                <w:rFonts w:ascii="仿宋_GB2312" w:hAnsi="仿宋_GB2312" w:cs="仿宋_GB2312" w:eastAsia="仿宋_GB2312"/>
              </w:rPr>
              <w:t>供应商所投产品技术参数清楚、明确并能逐条响应并满足招标文件的采购内容及技术要求的参数表中所有参数要求，（1）满足招标文件参数技术指标得15分，每有一条负偏离扣0.5分，扣完为止。（2）对招标文件参数有进一步说明的得5分，照搬“招标文件参数技术指标”中内容未做进一步说明的每项扣0.5分，扣完为止。 （3）优于招标文件参数要求的每有一项得1分，最高得5分。 （4）供应商所投产品技术参数清楚、无任何参数遗漏的得 5 分，每遗漏一项扣0.5分，扣完为止； 备注：参数需提供相应证明材料（证明材料包含但不限于技术白皮书、官网功能截图、产品彩页、产品技术说明、相关检测报告等资料任意一种。）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（格式）技术参数响应证明资料.docx</w:t>
            </w:r>
          </w:p>
          <w:p>
            <w:pPr>
              <w:pStyle w:val="null3"/>
            </w:pPr>
            <w:r>
              <w:rPr>
                <w:rFonts w:ascii="仿宋_GB2312" w:hAnsi="仿宋_GB2312" w:cs="仿宋_GB2312" w:eastAsia="仿宋_GB2312"/>
              </w:rPr>
              <w:t>（格式）产品技术参数表.docx</w:t>
            </w:r>
          </w:p>
          <w:p>
            <w:pPr>
              <w:pStyle w:val="null3"/>
            </w:pPr>
            <w:r>
              <w:rPr>
                <w:rFonts w:ascii="仿宋_GB2312" w:hAnsi="仿宋_GB2312" w:cs="仿宋_GB2312" w:eastAsia="仿宋_GB2312"/>
              </w:rPr>
              <w:t>（格式）投标产品技术规格明细表.docx</w:t>
            </w:r>
          </w:p>
        </w:tc>
      </w:tr>
      <w:tr>
        <w:tc>
          <w:tcPr>
            <w:tcW w:type="dxa" w:w="831"/>
            <w:vMerge/>
          </w:tcPr>
          <w:p/>
        </w:tc>
        <w:tc>
          <w:tcPr>
            <w:tcW w:type="dxa" w:w="1661"/>
          </w:tcPr>
          <w:p>
            <w:pPr>
              <w:pStyle w:val="null3"/>
            </w:pPr>
            <w:r>
              <w:rPr>
                <w:rFonts w:ascii="仿宋_GB2312" w:hAnsi="仿宋_GB2312" w:cs="仿宋_GB2312" w:eastAsia="仿宋_GB2312"/>
              </w:rPr>
              <w:t>货源组织</w:t>
            </w:r>
          </w:p>
        </w:tc>
        <w:tc>
          <w:tcPr>
            <w:tcW w:type="dxa" w:w="2492"/>
          </w:tcPr>
          <w:p>
            <w:pPr>
              <w:pStyle w:val="null3"/>
            </w:pPr>
            <w:r>
              <w:rPr>
                <w:rFonts w:ascii="仿宋_GB2312" w:hAnsi="仿宋_GB2312" w:cs="仿宋_GB2312" w:eastAsia="仿宋_GB2312"/>
              </w:rPr>
              <w:t>钢制连体公寓床床架（二连三床体及床板）、学习桌及书柜、床下柜及走梯柜、学习椅需提供产品的合法来源渠道证明材料或情况说明，每提供一项产品的合法证明材料得3分，满分12分。 备注：①投标人为所投产品的制造商，需提供情况说明，说明某一项产品为制造商自己生产。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（格式）技术参数响应证明资料.docx</w:t>
            </w:r>
          </w:p>
          <w:p>
            <w:pPr>
              <w:pStyle w:val="null3"/>
            </w:pPr>
            <w:r>
              <w:rPr>
                <w:rFonts w:ascii="仿宋_GB2312" w:hAnsi="仿宋_GB2312" w:cs="仿宋_GB2312" w:eastAsia="仿宋_GB2312"/>
              </w:rPr>
              <w:t>（格式）投标产品技术规格明细表.docx</w:t>
            </w:r>
          </w:p>
        </w:tc>
      </w:tr>
      <w:tr>
        <w:tc>
          <w:tcPr>
            <w:tcW w:type="dxa" w:w="831"/>
            <w:vMerge/>
          </w:tcPr>
          <w:p/>
        </w:tc>
        <w:tc>
          <w:tcPr>
            <w:tcW w:type="dxa" w:w="1661"/>
          </w:tcPr>
          <w:p>
            <w:pPr>
              <w:pStyle w:val="null3"/>
            </w:pPr>
            <w:r>
              <w:rPr>
                <w:rFonts w:ascii="仿宋_GB2312" w:hAnsi="仿宋_GB2312" w:cs="仿宋_GB2312" w:eastAsia="仿宋_GB2312"/>
              </w:rPr>
              <w:t>配套施工方案</w:t>
            </w:r>
          </w:p>
        </w:tc>
        <w:tc>
          <w:tcPr>
            <w:tcW w:type="dxa" w:w="2492"/>
          </w:tcPr>
          <w:p>
            <w:pPr>
              <w:pStyle w:val="null3"/>
            </w:pPr>
            <w:r>
              <w:rPr>
                <w:rFonts w:ascii="仿宋_GB2312" w:hAnsi="仿宋_GB2312" w:cs="仿宋_GB2312" w:eastAsia="仿宋_GB2312"/>
              </w:rPr>
              <w:t>一、评审内容 ①施工方案；②确保安全施工的技术组织措施； ③确保工程质量的技术措施； 二、评审标准： 1.完整性：内容全面，对评审内容中的各项要求有详细阐述； 2.可实施性：切合本项目实际情况，提出步骤清晰、合理的方案；3.针对性：能够紧扣项目实际情况，内容科学合理。 三、赋分标准（满分 9分） ①施工方案：每满足 1 项评审标准得 1 分，满分3 分；每缺少一项内容扣 1 分，扣完为止。每有一处描述有缺陷的扣0.5 分，该项扣完为止； ② 确保安全施工的技术组织措施：每满足 1 项评审标准得 1 分，满分 3 分；每缺少一项内容扣 1 分，扣完为止。每有一处描述有缺陷的扣0.5 分，该项扣完为止；； ③确保工程质量的技术措施：每满足 1 项评审标准得 1 分，满分3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配套施工方案.docx</w:t>
            </w:r>
          </w:p>
        </w:tc>
      </w:tr>
      <w:tr>
        <w:tc>
          <w:tcPr>
            <w:tcW w:type="dxa" w:w="831"/>
            <w:vMerge/>
          </w:tcPr>
          <w:p/>
        </w:tc>
        <w:tc>
          <w:tcPr>
            <w:tcW w:type="dxa" w:w="1661"/>
          </w:tcPr>
          <w:p>
            <w:pPr>
              <w:pStyle w:val="null3"/>
            </w:pPr>
            <w:r>
              <w:rPr>
                <w:rFonts w:ascii="仿宋_GB2312" w:hAnsi="仿宋_GB2312" w:cs="仿宋_GB2312" w:eastAsia="仿宋_GB2312"/>
              </w:rPr>
              <w:t>供货方案（货物）</w:t>
            </w:r>
          </w:p>
        </w:tc>
        <w:tc>
          <w:tcPr>
            <w:tcW w:type="dxa" w:w="2492"/>
          </w:tcPr>
          <w:p>
            <w:pPr>
              <w:pStyle w:val="null3"/>
            </w:pPr>
            <w:r>
              <w:rPr>
                <w:rFonts w:ascii="仿宋_GB2312" w:hAnsi="仿宋_GB2312" w:cs="仿宋_GB2312" w:eastAsia="仿宋_GB2312"/>
              </w:rPr>
              <w:t>一、评审内容 ①供货方案；②售后服务方案； ③安装调试方案； 二、评审标准： 1.完整性：内容全面，对评审内容中的各项要求有详细阐述； 2.可实施性：切合本项目实际情况，提出步骤清晰、合理的方案；3.针对性：能够紧扣项目实际情况，内容科学合理。 三、赋分标准 （满分 9分） ①供货方案：每满足 1 项评审标准得 1 分，满分3 分；每缺少一项内容扣 1 分，扣完为止。每有一处描述有缺陷的扣0.5 分，该项扣完为止； ② 售后服务方案：每满足 1 项评审标准得 1 分，满分 3 分；每缺少一项内容扣 1 分，扣完为止。每有一处描述有缺陷的扣0.5 分，该项扣完为止； ③安装调试方案：每满足 1 项评审标准得 1 分，满分3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（格式）供货方案.docx</w:t>
            </w:r>
          </w:p>
        </w:tc>
      </w:tr>
      <w:tr>
        <w:tc>
          <w:tcPr>
            <w:tcW w:type="dxa" w:w="831"/>
            <w:vMerge/>
          </w:tcPr>
          <w:p/>
        </w:tc>
        <w:tc>
          <w:tcPr>
            <w:tcW w:type="dxa" w:w="1661"/>
          </w:tcPr>
          <w:p>
            <w:pPr>
              <w:pStyle w:val="null3"/>
            </w:pPr>
            <w:r>
              <w:rPr>
                <w:rFonts w:ascii="仿宋_GB2312" w:hAnsi="仿宋_GB2312" w:cs="仿宋_GB2312" w:eastAsia="仿宋_GB2312"/>
              </w:rPr>
              <w:t>质量保障措施、验收方案及措施（货物）</w:t>
            </w:r>
          </w:p>
        </w:tc>
        <w:tc>
          <w:tcPr>
            <w:tcW w:type="dxa" w:w="2492"/>
          </w:tcPr>
          <w:p>
            <w:pPr>
              <w:pStyle w:val="null3"/>
            </w:pPr>
            <w:r>
              <w:rPr>
                <w:rFonts w:ascii="仿宋_GB2312" w:hAnsi="仿宋_GB2312" w:cs="仿宋_GB2312" w:eastAsia="仿宋_GB2312"/>
              </w:rPr>
              <w:t>①质量保障措施②验收方案及措施 涵盖以上内容且不存在缺陷得2分，在此基础上，每缺少一项内容扣1分，每有一处内容存在缺陷扣0.5分，扣完为止。 注：“内容存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（格式）质量保障措施、验收方案及措施.docx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1分，每有一项环境标志产品（已列入环境标志产品政府采购品目清单）为经国家认证的得 1 分。 （以经国家确定的认证机构出具的、处于有效期内的节能产品、环境标志产品认证证书为准。）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交货期在满足招标文件要求基础上，每提前5个日历天得2分，每提前10个日历天得4分。 质保期在满足招标文件要求基础上，每增加一年得1分，满分2分。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详见附件：（格式）技术参数响应证明资料.docx</w:t>
      </w:r>
    </w:p>
    <w:p>
      <w:pPr>
        <w:pStyle w:val="null3"/>
        <w:ind w:firstLine="960"/>
      </w:pPr>
      <w:r>
        <w:rPr>
          <w:rFonts w:ascii="仿宋_GB2312" w:hAnsi="仿宋_GB2312" w:cs="仿宋_GB2312" w:eastAsia="仿宋_GB2312"/>
        </w:rPr>
        <w:t>详见附件：（格式）资格证明文件.docx</w:t>
      </w:r>
    </w:p>
    <w:p>
      <w:pPr>
        <w:pStyle w:val="null3"/>
        <w:ind w:firstLine="960"/>
      </w:pPr>
      <w:r>
        <w:rPr>
          <w:rFonts w:ascii="仿宋_GB2312" w:hAnsi="仿宋_GB2312" w:cs="仿宋_GB2312" w:eastAsia="仿宋_GB2312"/>
        </w:rPr>
        <w:t>详见附件：配套施工方案.docx</w:t>
      </w:r>
    </w:p>
    <w:p>
      <w:pPr>
        <w:pStyle w:val="null3"/>
        <w:ind w:firstLine="960"/>
      </w:pPr>
      <w:r>
        <w:rPr>
          <w:rFonts w:ascii="仿宋_GB2312" w:hAnsi="仿宋_GB2312" w:cs="仿宋_GB2312" w:eastAsia="仿宋_GB2312"/>
        </w:rPr>
        <w:t>详见附件：（格式）产品技术参数表.docx</w:t>
      </w:r>
    </w:p>
    <w:p>
      <w:pPr>
        <w:pStyle w:val="null3"/>
        <w:ind w:firstLine="960"/>
      </w:pPr>
      <w:r>
        <w:rPr>
          <w:rFonts w:ascii="仿宋_GB2312" w:hAnsi="仿宋_GB2312" w:cs="仿宋_GB2312" w:eastAsia="仿宋_GB2312"/>
        </w:rPr>
        <w:t>详见附件：（格式）中小企业声明函（工程部分）.docx</w:t>
      </w:r>
    </w:p>
    <w:p>
      <w:pPr>
        <w:pStyle w:val="null3"/>
        <w:ind w:firstLine="960"/>
      </w:pPr>
      <w:r>
        <w:rPr>
          <w:rFonts w:ascii="仿宋_GB2312" w:hAnsi="仿宋_GB2312" w:cs="仿宋_GB2312" w:eastAsia="仿宋_GB2312"/>
        </w:rPr>
        <w:t>详见附件：（格式）中小企业声明函（货物）.docx</w:t>
      </w:r>
    </w:p>
    <w:p>
      <w:pPr>
        <w:pStyle w:val="null3"/>
        <w:ind w:firstLine="960"/>
      </w:pPr>
      <w:r>
        <w:rPr>
          <w:rFonts w:ascii="仿宋_GB2312" w:hAnsi="仿宋_GB2312" w:cs="仿宋_GB2312" w:eastAsia="仿宋_GB2312"/>
        </w:rPr>
        <w:t>详见附件：（格式）投标产品技术规格明细表.docx</w:t>
      </w:r>
    </w:p>
    <w:p>
      <w:pPr>
        <w:pStyle w:val="null3"/>
        <w:ind w:firstLine="960"/>
      </w:pPr>
      <w:r>
        <w:rPr>
          <w:rFonts w:ascii="仿宋_GB2312" w:hAnsi="仿宋_GB2312" w:cs="仿宋_GB2312" w:eastAsia="仿宋_GB2312"/>
        </w:rPr>
        <w:t>详见附件：（格式）供货方案.docx</w:t>
      </w:r>
    </w:p>
    <w:p>
      <w:pPr>
        <w:pStyle w:val="null3"/>
        <w:ind w:firstLine="960"/>
      </w:pPr>
      <w:r>
        <w:rPr>
          <w:rFonts w:ascii="仿宋_GB2312" w:hAnsi="仿宋_GB2312" w:cs="仿宋_GB2312" w:eastAsia="仿宋_GB2312"/>
        </w:rPr>
        <w:t>详见附件：（格式）非强制节能、环境标志产品清单.docx</w:t>
      </w:r>
    </w:p>
    <w:p>
      <w:pPr>
        <w:pStyle w:val="null3"/>
        <w:ind w:firstLine="960"/>
      </w:pPr>
      <w:r>
        <w:rPr>
          <w:rFonts w:ascii="仿宋_GB2312" w:hAnsi="仿宋_GB2312" w:cs="仿宋_GB2312" w:eastAsia="仿宋_GB2312"/>
        </w:rPr>
        <w:t>详见附件：（格式）质量保障措施、验收方案及措施.docx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详见附件：（格式）合同主要条款--设备.docx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