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版本号：ZX2026-05-4620260521001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2026年第三方实验室检测服务项目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ZX2026-05-46</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2026年第三方实验室检测服务项目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2026年第三方实验室检测服务项目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2026年第三方实验室检测服务项目，1项，具体内容详见磋商文件第三章。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3、医疗机构执业许可证：提供供应商有效期内的医疗机构执业许可证。</w:t>
      </w:r>
    </w:p>
    <w:p>
      <w:pPr>
        <w:pStyle w:val="null3"/>
      </w:pPr>
      <w:r>
        <w:rPr>
          <w:rFonts w:ascii="仿宋_GB2312" w:hAnsi="仿宋_GB2312" w:cs="仿宋_GB2312" w:eastAsia="仿宋_GB2312"/>
        </w:rPr>
        <w:t>4、病原微生物实验室生物安全备案证：提供供应商的病原微生物实验室生物安全备案证。</w:t>
      </w:r>
    </w:p>
    <w:p>
      <w:pPr>
        <w:pStyle w:val="null3"/>
      </w:pPr>
      <w:r>
        <w:rPr>
          <w:rFonts w:ascii="仿宋_GB2312" w:hAnsi="仿宋_GB2312" w:cs="仿宋_GB2312" w:eastAsia="仿宋_GB2312"/>
        </w:rPr>
        <w:t>5、临床基因扩增实验室备案证：提供供应商的临床基因扩增实验室备案证。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崔文 王宇轩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采购包1保证金金额：13,546.00元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代理服务费收费标准：参照国家计委计价格[2002]1980号及发改办价格[2003]857号通知按预算下浮15%计取，由成交供应商支付代理服务费。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陕西省康复医院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本项目为2026年第三方实验室检测服务项目。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765,000.00</w:t>
      </w:r>
    </w:p>
    <w:p>
      <w:pPr>
        <w:pStyle w:val="null3"/>
      </w:pPr>
      <w:r>
        <w:rPr>
          <w:rFonts w:ascii="仿宋_GB2312" w:hAnsi="仿宋_GB2312" w:cs="仿宋_GB2312" w:eastAsia="仿宋_GB2312"/>
        </w:rPr>
        <w:t>采购包最高限价（元）: 765,000.00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2026年第三方实验室检测服务项目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标的名称：2026年第三方实验室检测服务项目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本项目报结算比例，结算比例</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≤40%)。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一、医学检验科外送项目：</w:t>
            </w:r>
          </w:p>
          <w:tbl>
            <w:tblPr>
              <w:tblInd w:type="dxa" w:w="210"/>
              <w:tblBorders>
                <w:top w:val="none" w:color="000000" w:sz="4"/>
                <w:left w:val="none" w:color="000000" w:sz="4"/>
                <w:bottom w:val="none" w:color="000000" w:sz="4"/>
                <w:right w:val="none" w:color="000000" w:sz="4"/>
                <w:insideH w:val="none"/>
                <w:insideV w:val="none"/>
              </w:tblBorders>
            </w:tblPr>
            <w:tblGrid>
              <w:gridCol w:w="297"/>
              <w:gridCol w:w="1184"/>
              <w:gridCol w:w="525"/>
              <w:gridCol w:w="538"/>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物价名称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收费（元）</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收费依据</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血清骨钙素测定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250308008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甲状旁腺激素测定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250310009</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降钙素测定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250310008a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尿香草苦杏仁酸</w:t>
                  </w:r>
                  <w:r>
                    <w:rPr>
                      <w:rFonts w:ascii="仿宋_GB2312" w:hAnsi="仿宋_GB2312" w:cs="仿宋_GB2312" w:eastAsia="仿宋_GB2312"/>
                      <w:sz w:val="22"/>
                    </w:rPr>
                    <w:t>(VMA）测定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250310025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半乳甘露聚糖检测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250501038a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真菌</w:t>
                  </w:r>
                  <w:r>
                    <w:rPr>
                      <w:rFonts w:ascii="仿宋_GB2312" w:hAnsi="仿宋_GB2312" w:cs="仿宋_GB2312" w:eastAsia="仿宋_GB2312"/>
                      <w:sz w:val="22"/>
                    </w:rPr>
                    <w:t>D-葡聚糖检测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250501038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人类白细胞抗原</w:t>
                  </w:r>
                  <w:r>
                    <w:rPr>
                      <w:rFonts w:ascii="仿宋_GB2312" w:hAnsi="仿宋_GB2312" w:cs="仿宋_GB2312" w:eastAsia="仿宋_GB2312"/>
                      <w:sz w:val="22"/>
                    </w:rPr>
                    <w:t>B27测定(HLA-B27)</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250203068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血清生长激素测定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250310003a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胰岛素样生长因子结合蛋白</w:t>
                  </w:r>
                  <w:r>
                    <w:rPr>
                      <w:rFonts w:ascii="仿宋_GB2312" w:hAnsi="仿宋_GB2312" w:cs="仿宋_GB2312" w:eastAsia="仿宋_GB2312"/>
                      <w:sz w:val="22"/>
                    </w:rPr>
                    <w:t>-3测定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250310064</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胰岛素样生长因子</w:t>
                  </w:r>
                  <w:r>
                    <w:rPr>
                      <w:rFonts w:ascii="仿宋_GB2312" w:hAnsi="仿宋_GB2312" w:cs="仿宋_GB2312" w:eastAsia="仿宋_GB2312"/>
                      <w:sz w:val="22"/>
                    </w:rPr>
                    <w:t>-1测定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250310063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总</w:t>
                  </w:r>
                  <w:r>
                    <w:rPr>
                      <w:rFonts w:ascii="仿宋_GB2312" w:hAnsi="仿宋_GB2312" w:cs="仿宋_GB2312" w:eastAsia="仿宋_GB2312"/>
                      <w:sz w:val="22"/>
                    </w:rPr>
                    <w:t>Ⅰ型胶原氨基端延长肽(Total-P1NP)测定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250305033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总</w:t>
                  </w:r>
                  <w:r>
                    <w:rPr>
                      <w:rFonts w:ascii="仿宋_GB2312" w:hAnsi="仿宋_GB2312" w:cs="仿宋_GB2312" w:eastAsia="仿宋_GB2312"/>
                      <w:sz w:val="22"/>
                    </w:rPr>
                    <w:t>IgE测定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250405001a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EB病毒抗体测定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250403025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丙型肝炎病毒基因</w:t>
                  </w:r>
                  <w:r>
                    <w:rPr>
                      <w:rFonts w:ascii="仿宋_GB2312" w:hAnsi="仿宋_GB2312" w:cs="仿宋_GB2312" w:eastAsia="仿宋_GB2312"/>
                      <w:sz w:val="22"/>
                    </w:rPr>
                    <w:t>HCV分型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250403066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抗缪勒氏管激素（</w:t>
                  </w:r>
                  <w:r>
                    <w:rPr>
                      <w:rFonts w:ascii="仿宋_GB2312" w:hAnsi="仿宋_GB2312" w:cs="仿宋_GB2312" w:eastAsia="仿宋_GB2312"/>
                      <w:sz w:val="22"/>
                    </w:rPr>
                    <w:t>AMH）检测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250310066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脱氧核糖核酸（</w:t>
                  </w:r>
                  <w:r>
                    <w:rPr>
                      <w:rFonts w:ascii="仿宋_GB2312" w:hAnsi="仿宋_GB2312" w:cs="仿宋_GB2312" w:eastAsia="仿宋_GB2312"/>
                      <w:sz w:val="22"/>
                    </w:rPr>
                    <w:t>DNA）测序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270700003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铜蓝蛋白测定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250401028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全血粘度测定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250203071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血浆粘度测定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250203072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红细胞流变特性检测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250203070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血清透明质酸酶测定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250305022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w:t>
                  </w:r>
                  <w:r>
                    <w:rPr>
                      <w:rFonts w:ascii="仿宋_GB2312" w:hAnsi="仿宋_GB2312" w:cs="仿宋_GB2312" w:eastAsia="仿宋_GB2312"/>
                      <w:sz w:val="22"/>
                    </w:rPr>
                    <w:t>Ⅳ型胶原测定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250305018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血清层粘连蛋白测定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250305020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w:t>
                  </w:r>
                  <w:r>
                    <w:rPr>
                      <w:rFonts w:ascii="仿宋_GB2312" w:hAnsi="仿宋_GB2312" w:cs="仿宋_GB2312" w:eastAsia="仿宋_GB2312"/>
                      <w:sz w:val="22"/>
                    </w:rPr>
                    <w:t>Ⅲ型胶原测定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250305019</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血清促肾上腺皮质激素测定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250310006a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血浆肾素活性测定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250310026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血浆皮质醇测定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250310018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醛固酮测定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250310023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血管紧张素</w:t>
                  </w:r>
                  <w:r>
                    <w:rPr>
                      <w:rFonts w:ascii="仿宋_GB2312" w:hAnsi="仿宋_GB2312" w:cs="仿宋_GB2312" w:eastAsia="仿宋_GB2312"/>
                      <w:sz w:val="22"/>
                    </w:rPr>
                    <w:t>Ⅱ测定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250310028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抗组织细胞抗体测定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250402014</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抗胰岛素抗体测定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250402026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血清抗谷氨酸脱羧酶抗体测定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250310043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微量元素测定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250304013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全血铅测定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250304009</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微量元素测定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250304013a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抗线粒体抗体分型（</w:t>
                  </w:r>
                  <w:r>
                    <w:rPr>
                      <w:rFonts w:ascii="仿宋_GB2312" w:hAnsi="仿宋_GB2312" w:cs="仿宋_GB2312" w:eastAsia="仿宋_GB2312"/>
                      <w:sz w:val="22"/>
                    </w:rPr>
                    <w:t>M2，M4，M9）</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250402007a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抗肝肾微粒体抗体</w:t>
                  </w:r>
                  <w:r>
                    <w:rPr>
                      <w:rFonts w:ascii="仿宋_GB2312" w:hAnsi="仿宋_GB2312" w:cs="仿宋_GB2312" w:eastAsia="仿宋_GB2312"/>
                      <w:sz w:val="22"/>
                    </w:rPr>
                    <w:t>(LKM)测定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250402040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抗肝细胞溶质抗原</w:t>
                  </w:r>
                  <w:r>
                    <w:rPr>
                      <w:rFonts w:ascii="仿宋_GB2312" w:hAnsi="仿宋_GB2312" w:cs="仿宋_GB2312" w:eastAsia="仿宋_GB2312"/>
                      <w:sz w:val="22"/>
                    </w:rPr>
                    <w:t>I型抗体测定(LC-1)</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250402046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抗可溶性肝抗原</w:t>
                  </w:r>
                  <w:r>
                    <w:rPr>
                      <w:rFonts w:ascii="仿宋_GB2312" w:hAnsi="仿宋_GB2312" w:cs="仿宋_GB2312" w:eastAsia="仿宋_GB2312"/>
                      <w:sz w:val="22"/>
                    </w:rPr>
                    <w:t>/肝-胰抗原抗体(SLA/LP)测定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250402039</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特殊变应原（多价变应原）筛查</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250405004</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原位杂交技术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270700001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荧光免疫原位杂交技术（</w:t>
                  </w:r>
                  <w:r>
                    <w:rPr>
                      <w:rFonts w:ascii="仿宋_GB2312" w:hAnsi="仿宋_GB2312" w:cs="仿宋_GB2312" w:eastAsia="仿宋_GB2312"/>
                      <w:sz w:val="22"/>
                    </w:rPr>
                    <w:t>FISH)</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270700001a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血清药物浓度测定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250309005b</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甲状腺球蛋白（</w:t>
                  </w:r>
                  <w:r>
                    <w:rPr>
                      <w:rFonts w:ascii="仿宋_GB2312" w:hAnsi="仿宋_GB2312" w:cs="仿宋_GB2312" w:eastAsia="仿宋_GB2312"/>
                      <w:sz w:val="22"/>
                    </w:rPr>
                    <w:t>TG）测定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250310062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渗透压检查</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250102004</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血清维生素定量测定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250309004a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25羟维生素D测定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250309001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w:t>
                  </w:r>
                  <w:r>
                    <w:rPr>
                      <w:rFonts w:ascii="仿宋_GB2312" w:hAnsi="仿宋_GB2312" w:cs="仿宋_GB2312" w:eastAsia="仿宋_GB2312"/>
                      <w:sz w:val="22"/>
                    </w:rPr>
                    <w:t>β-胶原降解产物测定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250311006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w:t>
                  </w:r>
                  <w:r>
                    <w:rPr>
                      <w:rFonts w:ascii="仿宋_GB2312" w:hAnsi="仿宋_GB2312" w:cs="仿宋_GB2312" w:eastAsia="仿宋_GB2312"/>
                      <w:sz w:val="22"/>
                    </w:rPr>
                    <w:t>N-端骨钙素测定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250311005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人</w:t>
                  </w:r>
                  <w:r>
                    <w:rPr>
                      <w:rFonts w:ascii="仿宋_GB2312" w:hAnsi="仿宋_GB2312" w:cs="仿宋_GB2312" w:eastAsia="仿宋_GB2312"/>
                      <w:sz w:val="22"/>
                    </w:rPr>
                    <w:t>Ⅲ型前胶原肽(PⅢP)测定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250305031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化学药物用药指导基因检测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250309010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w:t>
                  </w:r>
                  <w:r>
                    <w:rPr>
                      <w:rFonts w:ascii="仿宋_GB2312" w:hAnsi="仿宋_GB2312" w:cs="仿宋_GB2312" w:eastAsia="仿宋_GB2312"/>
                      <w:sz w:val="22"/>
                    </w:rPr>
                    <w:t>Ⅳ型胶原测定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250305018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支原体培养</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250501033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衣原体检查</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250501031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各种寄生虫免疫学检查</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250602001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结核</w:t>
                  </w:r>
                  <w:r>
                    <w:rPr>
                      <w:rFonts w:ascii="仿宋_GB2312" w:hAnsi="仿宋_GB2312" w:cs="仿宋_GB2312" w:eastAsia="仿宋_GB2312"/>
                      <w:sz w:val="22"/>
                    </w:rPr>
                    <w:t>/非结核分枝杆菌核酸检测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250403089</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立克次体血清学试验</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250403052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DNA探针技术查meeA基因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250503011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抗中性粒细胞胞浆抗体测定（</w:t>
                  </w:r>
                  <w:r>
                    <w:rPr>
                      <w:rFonts w:ascii="仿宋_GB2312" w:hAnsi="仿宋_GB2312" w:cs="仿宋_GB2312" w:eastAsia="仿宋_GB2312"/>
                      <w:sz w:val="22"/>
                    </w:rPr>
                    <w:t>ANCA）</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250402005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抗心磷脂抗体测定</w:t>
                  </w:r>
                  <w:r>
                    <w:rPr>
                      <w:rFonts w:ascii="仿宋_GB2312" w:hAnsi="仿宋_GB2312" w:cs="仿宋_GB2312" w:eastAsia="仿宋_GB2312"/>
                      <w:sz w:val="22"/>
                    </w:rPr>
                    <w:t>(ACA)</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250402016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组织</w:t>
                  </w:r>
                  <w:r>
                    <w:rPr>
                      <w:rFonts w:ascii="仿宋_GB2312" w:hAnsi="仿宋_GB2312" w:cs="仿宋_GB2312" w:eastAsia="仿宋_GB2312"/>
                      <w:sz w:val="22"/>
                    </w:rPr>
                    <w:t>/细胞荧光定量核糖核酸(RNA)多聚酶链式反应检查诊断</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270700005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血浆氨测定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250305006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结核分枝杆菌多种耐药基因检测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250502004b</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抗环瓜氨酸肽抗体（抗</w:t>
                  </w:r>
                  <w:r>
                    <w:rPr>
                      <w:rFonts w:ascii="仿宋_GB2312" w:hAnsi="仿宋_GB2312" w:cs="仿宋_GB2312" w:eastAsia="仿宋_GB2312"/>
                      <w:sz w:val="22"/>
                    </w:rPr>
                    <w:t>CCP抗体）检测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250402044</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抗核糖核蛋白抗体测定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250402010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抗核提取物抗体测定</w:t>
                  </w:r>
                  <w:r>
                    <w:rPr>
                      <w:rFonts w:ascii="仿宋_GB2312" w:hAnsi="仿宋_GB2312" w:cs="仿宋_GB2312" w:eastAsia="仿宋_GB2312"/>
                      <w:sz w:val="22"/>
                    </w:rPr>
                    <w:t>(抗ENA抗体)</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250402003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免疫球蛋白亚类定量测定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250401023b</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全自动快速病原体核糖核酸扩增定性检测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250403086a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血清骨型碱性磷酸酶质量测定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250305013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各类病原体</w:t>
                  </w:r>
                  <w:r>
                    <w:rPr>
                      <w:rFonts w:ascii="仿宋_GB2312" w:hAnsi="仿宋_GB2312" w:cs="仿宋_GB2312" w:eastAsia="仿宋_GB2312"/>
                      <w:sz w:val="22"/>
                    </w:rPr>
                    <w:t>DNA定量检测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250403065a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71</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各类病原体</w:t>
                  </w:r>
                  <w:r>
                    <w:rPr>
                      <w:rFonts w:ascii="仿宋_GB2312" w:hAnsi="仿宋_GB2312" w:cs="仿宋_GB2312" w:eastAsia="仿宋_GB2312"/>
                      <w:sz w:val="22"/>
                    </w:rPr>
                    <w:t>RNA测定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250403065b</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w:t>
                  </w:r>
                  <w:r>
                    <w:rPr>
                      <w:rFonts w:ascii="仿宋_GB2312" w:hAnsi="仿宋_GB2312" w:cs="仿宋_GB2312" w:eastAsia="仿宋_GB2312"/>
                      <w:sz w:val="22"/>
                    </w:rPr>
                    <w:t>β2-糖蛋白1抗体测定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250402056</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抗核小体抗体测定（</w:t>
                  </w:r>
                  <w:r>
                    <w:rPr>
                      <w:rFonts w:ascii="仿宋_GB2312" w:hAnsi="仿宋_GB2312" w:cs="仿宋_GB2312" w:eastAsia="仿宋_GB2312"/>
                      <w:sz w:val="22"/>
                    </w:rPr>
                    <w:t>AnuA）</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250402057</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抗核抗体测定</w:t>
                  </w:r>
                  <w:r>
                    <w:rPr>
                      <w:rFonts w:ascii="仿宋_GB2312" w:hAnsi="仿宋_GB2312" w:cs="仿宋_GB2312" w:eastAsia="仿宋_GB2312"/>
                      <w:sz w:val="22"/>
                    </w:rPr>
                    <w:t>(ANA)</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250402002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免疫球蛋白定量测定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250401023</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α1抗胰蛋白酶测定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250301015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免疫固定电泳</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250301005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疑难病理会诊</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270800007</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免疫组织化学染色诊断</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270500002</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特殊染色及酶组织化学染色诊断</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270500001</w:t>
                  </w:r>
                </w:p>
              </w:tc>
            </w:tr>
          </w:tbl>
          <w:p>
            <w:pPr>
              <w:pStyle w:val="null3"/>
              <w:jc w:val="left"/>
            </w:pPr>
            <w:r>
              <w:rPr>
                <w:rFonts w:ascii="仿宋_GB2312" w:hAnsi="仿宋_GB2312" w:cs="仿宋_GB2312" w:eastAsia="仿宋_GB2312"/>
                <w:sz w:val="24"/>
                <w:b/>
              </w:rPr>
              <w:t>二、服务需求</w:t>
            </w:r>
          </w:p>
          <w:tbl>
            <w:tblPr>
              <w:tblBorders>
                <w:top w:val="none" w:color="000000" w:sz="4"/>
                <w:left w:val="none" w:color="000000" w:sz="4"/>
                <w:bottom w:val="none" w:color="000000" w:sz="4"/>
                <w:right w:val="none" w:color="000000" w:sz="4"/>
                <w:insideH w:val="none"/>
                <w:insideV w:val="none"/>
              </w:tblBorders>
            </w:tblPr>
            <w:tblGrid>
              <w:gridCol w:w="359"/>
              <w:gridCol w:w="2193"/>
            </w:tblGrid>
            <w:tr>
              <w:tc>
                <w:tcPr>
                  <w:tcW w:type="dxa" w:w="35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rPr>
                    <w:t>1</w:t>
                  </w:r>
                  <w:r>
                    <w:rPr>
                      <w:rFonts w:ascii="仿宋_GB2312" w:hAnsi="仿宋_GB2312" w:cs="仿宋_GB2312" w:eastAsia="仿宋_GB2312"/>
                      <w:sz w:val="24"/>
                    </w:rPr>
                    <w:t>、检测项目的完整性</w:t>
                  </w:r>
                </w:p>
              </w:tc>
              <w:tc>
                <w:tcPr>
                  <w:tcW w:type="dxa" w:w="21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.儿科疾病相关的实验室项目：遗传代谢病、维生素、基因检测等。</w:t>
                  </w:r>
                </w:p>
              </w:tc>
            </w:tr>
            <w:tr>
              <w:tc>
                <w:tcPr>
                  <w:tcW w:type="dxa" w:w="359"/>
                  <w:vMerge/>
                  <w:tcBorders>
                    <w:top w:val="singl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.内科疾病相关的项目：包括肾上腺疾病检测、骨代谢疾病、糖尿病、肿瘤、心血管疾病、自身免疫性疾病、结核病、微生物及感染性疾病等相关的检测。</w:t>
                  </w:r>
                </w:p>
              </w:tc>
            </w:tr>
            <w:tr>
              <w:tc>
                <w:tcPr>
                  <w:tcW w:type="dxa" w:w="359"/>
                  <w:vMerge/>
                  <w:tcBorders>
                    <w:top w:val="singl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 内分泌相关的项目：尿微量白蛋白肌酐比、尿蛋白电泳、HLA- B5801基因检测、rT3等。</w:t>
                  </w:r>
                </w:p>
              </w:tc>
            </w:tr>
            <w:tr>
              <w:tc>
                <w:tcPr>
                  <w:tcW w:type="dxa" w:w="359"/>
                  <w:vMerge/>
                  <w:tcBorders>
                    <w:top w:val="singl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本地</w:t>
                  </w:r>
                  <w:r>
                    <w:rPr>
                      <w:rFonts w:ascii="仿宋_GB2312" w:hAnsi="仿宋_GB2312" w:cs="仿宋_GB2312" w:eastAsia="仿宋_GB2312"/>
                      <w:sz w:val="24"/>
                    </w:rPr>
                    <w:t>血液疾病相关的项目：包括流式检测、细胞遗传学检测等。</w:t>
                  </w:r>
                </w:p>
              </w:tc>
            </w:tr>
            <w:tr>
              <w:tc>
                <w:tcPr>
                  <w:tcW w:type="dxa" w:w="359"/>
                  <w:vMerge/>
                  <w:tcBorders>
                    <w:top w:val="singl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.其他检测项目及</w:t>
                  </w:r>
                  <w:r>
                    <w:rPr>
                      <w:rFonts w:ascii="仿宋_GB2312" w:hAnsi="仿宋_GB2312" w:cs="仿宋_GB2312" w:eastAsia="仿宋_GB2312"/>
                      <w:sz w:val="24"/>
                    </w:rPr>
                    <w:t>技术支撑：能进行如</w:t>
                  </w:r>
                  <w:r>
                    <w:rPr>
                      <w:rFonts w:ascii="仿宋_GB2312" w:hAnsi="仿宋_GB2312" w:cs="仿宋_GB2312" w:eastAsia="仿宋_GB2312"/>
                      <w:sz w:val="24"/>
                    </w:rPr>
                    <w:t>病理检测、</w:t>
                  </w:r>
                  <w:r>
                    <w:rPr>
                      <w:rFonts w:ascii="仿宋_GB2312" w:hAnsi="仿宋_GB2312" w:cs="仿宋_GB2312" w:eastAsia="仿宋_GB2312"/>
                      <w:sz w:val="24"/>
                    </w:rPr>
                    <w:t>特种蛋白检测、毒品检测、药物浓度监测、肿瘤个体化以及遗传病基因检测等</w:t>
                  </w:r>
                  <w:r>
                    <w:rPr>
                      <w:rFonts w:ascii="仿宋_GB2312" w:hAnsi="仿宋_GB2312" w:cs="仿宋_GB2312" w:eastAsia="仿宋_GB2312"/>
                      <w:sz w:val="24"/>
                    </w:rPr>
                    <w:t>；具有高通量测序技术、质谱色谱检测技术的支撑平台。</w:t>
                  </w:r>
                </w:p>
              </w:tc>
            </w:tr>
            <w:tr>
              <w:tc>
                <w:tcPr>
                  <w:tcW w:type="dxa" w:w="35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实验室的信息化管理</w:t>
                  </w: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1.第三方检验机构对于</w:t>
                  </w:r>
                  <w:r>
                    <w:rPr>
                      <w:rFonts w:ascii="仿宋_GB2312" w:hAnsi="仿宋_GB2312" w:cs="仿宋_GB2312" w:eastAsia="仿宋_GB2312"/>
                      <w:sz w:val="24"/>
                    </w:rPr>
                    <w:t>采购人</w:t>
                  </w:r>
                  <w:r>
                    <w:rPr>
                      <w:rFonts w:ascii="仿宋_GB2312" w:hAnsi="仿宋_GB2312" w:cs="仿宋_GB2312" w:eastAsia="仿宋_GB2312"/>
                      <w:sz w:val="24"/>
                    </w:rPr>
                    <w:t>的外送检验标本可实现信息化、自动化以及流程标准化的管理，符合</w:t>
                  </w:r>
                  <w:r>
                    <w:rPr>
                      <w:rFonts w:ascii="仿宋_GB2312" w:hAnsi="仿宋_GB2312" w:cs="仿宋_GB2312" w:eastAsia="仿宋_GB2312"/>
                      <w:sz w:val="24"/>
                    </w:rPr>
                    <w:t>ISO15189 的标准</w:t>
                  </w:r>
                  <w:r>
                    <w:rPr>
                      <w:rFonts w:ascii="仿宋_GB2312" w:hAnsi="仿宋_GB2312" w:cs="仿宋_GB2312" w:eastAsia="仿宋_GB2312"/>
                      <w:sz w:val="24"/>
                    </w:rPr>
                    <w:t>。</w:t>
                  </w:r>
                </w:p>
              </w:tc>
            </w:tr>
            <w:tr>
              <w:tc>
                <w:tcPr>
                  <w:tcW w:type="dxa" w:w="359"/>
                  <w:vMerge/>
                  <w:tcBorders>
                    <w:top w:val="non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2.实验室信息系统按照国际标准设计，检验电子报告采用国家认可的数字签名方式，为有效防止恶意篡改、避免医疗纠纷提供保障。</w:t>
                  </w:r>
                </w:p>
              </w:tc>
            </w:tr>
            <w:tr>
              <w:tc>
                <w:tcPr>
                  <w:tcW w:type="dxa" w:w="35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外送检验报告的时效性</w:t>
                  </w: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1.外送检验结果回报及时，常规报告 24 小时内发放报告单</w:t>
                  </w:r>
                </w:p>
              </w:tc>
            </w:tr>
            <w:tr>
              <w:tc>
                <w:tcPr>
                  <w:tcW w:type="dxa" w:w="359"/>
                  <w:vMerge/>
                  <w:tcBorders>
                    <w:top w:val="non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2.外送检验结果回报及时，特检项目（流式细胞术、质谱、宏基因组测序等）48 小时内发放报告单</w:t>
                  </w:r>
                </w:p>
              </w:tc>
            </w:tr>
            <w:tr>
              <w:tc>
                <w:tcPr>
                  <w:tcW w:type="dxa" w:w="35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报告单传输与查询</w:t>
                  </w: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1.通过先进的信息管理系统，专业便捷的点对点服务，保证检验报告在第一时间内传输到院方。</w:t>
                  </w:r>
                </w:p>
              </w:tc>
            </w:tr>
            <w:tr>
              <w:tc>
                <w:tcPr>
                  <w:tcW w:type="dxa" w:w="359"/>
                  <w:vMerge/>
                  <w:tcBorders>
                    <w:top w:val="non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2.可实现检验结果的网络查询以及电话咨询服务。</w:t>
                  </w:r>
                </w:p>
              </w:tc>
            </w:tr>
            <w:tr>
              <w:tc>
                <w:tcPr>
                  <w:tcW w:type="dxa" w:w="35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标本运输的冷链要求</w:t>
                  </w: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1.能实现物流信息化管理，具备 GPS 和温控系统。</w:t>
                  </w:r>
                </w:p>
              </w:tc>
            </w:tr>
            <w:tr>
              <w:tc>
                <w:tcPr>
                  <w:tcW w:type="dxa" w:w="359"/>
                  <w:vMerge/>
                  <w:tcBorders>
                    <w:top w:val="non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2.在标本的运输中可以实现实时路径监控、实时温度监控，保证标本运输过程中保持在所需的温度区间内。</w:t>
                  </w:r>
                </w:p>
              </w:tc>
            </w:tr>
            <w:tr>
              <w:tc>
                <w:tcPr>
                  <w:tcW w:type="dxa" w:w="359"/>
                  <w:vMerge/>
                  <w:tcBorders>
                    <w:top w:val="none" w:color="000000" w:sz="4"/>
                    <w:left w:val="single" w:color="000000" w:sz="4"/>
                    <w:bottom w:val="single" w:color="000000" w:sz="4"/>
                    <w:right w:val="single" w:color="000000" w:sz="4"/>
                  </w:tcBorders>
                </w:tcPr>
                <w:p/>
              </w:tc>
              <w:tc>
                <w:tcPr>
                  <w:tcW w:type="dxa" w:w="2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3.样本溯源出现标本丢失、损坏、污染、错检、结果异常等情况，可通过溯源链条快速定位环节与责任人，形成调查与整改记录，确保闭环。</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实验室的质量控制：实验室具有完善的质量管理体系，参加权威的质量评价机构能力验证计划或室间质量评价活动，确保检验结果的准确性以及检测结果的可比性。</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对于采购人委托</w:t>
                  </w:r>
                  <w:r>
                    <w:rPr>
                      <w:rFonts w:ascii="仿宋_GB2312" w:hAnsi="仿宋_GB2312" w:cs="仿宋_GB2312" w:eastAsia="仿宋_GB2312"/>
                      <w:sz w:val="24"/>
                    </w:rPr>
                    <w:t>供应商</w:t>
                  </w:r>
                  <w:r>
                    <w:rPr>
                      <w:rFonts w:ascii="仿宋_GB2312" w:hAnsi="仿宋_GB2312" w:cs="仿宋_GB2312" w:eastAsia="仿宋_GB2312"/>
                      <w:sz w:val="24"/>
                    </w:rPr>
                    <w:t>实施的检验项目，由采购人根据医院公示价格（依据《陕西省医疗服务项目价格（</w:t>
                  </w:r>
                  <w:r>
                    <w:rPr>
                      <w:rFonts w:ascii="仿宋_GB2312" w:hAnsi="仿宋_GB2312" w:cs="仿宋_GB2312" w:eastAsia="仿宋_GB2312"/>
                      <w:sz w:val="24"/>
                    </w:rPr>
                    <w:t>202</w:t>
                  </w:r>
                  <w:r>
                    <w:rPr>
                      <w:rFonts w:ascii="仿宋_GB2312" w:hAnsi="仿宋_GB2312" w:cs="仿宋_GB2312" w:eastAsia="仿宋_GB2312"/>
                      <w:sz w:val="24"/>
                    </w:rPr>
                    <w:t>4</w:t>
                  </w:r>
                  <w:r>
                    <w:rPr>
                      <w:rFonts w:ascii="仿宋_GB2312" w:hAnsi="仿宋_GB2312" w:cs="仿宋_GB2312" w:eastAsia="仿宋_GB2312"/>
                      <w:sz w:val="24"/>
                    </w:rPr>
                    <w:t>版）》制定）向患者或受检者收取检验费，同时采购人根据</w:t>
                  </w:r>
                  <w:r>
                    <w:rPr>
                      <w:rFonts w:ascii="仿宋_GB2312" w:hAnsi="仿宋_GB2312" w:cs="仿宋_GB2312" w:eastAsia="仿宋_GB2312"/>
                      <w:sz w:val="24"/>
                    </w:rPr>
                    <w:t>供应商最终分项报价表</w:t>
                  </w:r>
                  <w:r>
                    <w:rPr>
                      <w:rFonts w:ascii="仿宋_GB2312" w:hAnsi="仿宋_GB2312" w:cs="仿宋_GB2312" w:eastAsia="仿宋_GB2312"/>
                      <w:sz w:val="24"/>
                    </w:rPr>
                    <w:t>中的结算比例向</w:t>
                  </w:r>
                  <w:r>
                    <w:rPr>
                      <w:rFonts w:ascii="仿宋_GB2312" w:hAnsi="仿宋_GB2312" w:cs="仿宋_GB2312" w:eastAsia="仿宋_GB2312"/>
                      <w:sz w:val="24"/>
                    </w:rPr>
                    <w:t>供应商</w:t>
                  </w:r>
                  <w:r>
                    <w:rPr>
                      <w:rFonts w:ascii="仿宋_GB2312" w:hAnsi="仿宋_GB2312" w:cs="仿宋_GB2312" w:eastAsia="仿宋_GB2312"/>
                      <w:sz w:val="24"/>
                    </w:rPr>
                    <w:t>支付委托检验服务费；如果采购人委托供应商实施的检验项目不在《陕西省医疗服务项目价格（</w:t>
                  </w:r>
                  <w:r>
                    <w:rPr>
                      <w:rFonts w:ascii="仿宋_GB2312" w:hAnsi="仿宋_GB2312" w:cs="仿宋_GB2312" w:eastAsia="仿宋_GB2312"/>
                      <w:sz w:val="24"/>
                    </w:rPr>
                    <w:t>202</w:t>
                  </w:r>
                  <w:r>
                    <w:rPr>
                      <w:rFonts w:ascii="仿宋_GB2312" w:hAnsi="仿宋_GB2312" w:cs="仿宋_GB2312" w:eastAsia="仿宋_GB2312"/>
                      <w:sz w:val="24"/>
                    </w:rPr>
                    <w:t>4</w:t>
                  </w:r>
                  <w:r>
                    <w:rPr>
                      <w:rFonts w:ascii="仿宋_GB2312" w:hAnsi="仿宋_GB2312" w:cs="仿宋_GB2312" w:eastAsia="仿宋_GB2312"/>
                      <w:sz w:val="24"/>
                    </w:rPr>
                    <w:t>版）》目录内，采购人应当以供应商提供的《检验项目手册》（最新版本）的价格为基础，并根据附表的结算比例向供应商支付委托检验服务费；如果陕西省价格主管部门对项目价格政策或价格标准进行调整，则按最新执行价格政策作相应调整。</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）其他清单约定</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1</w:t>
                  </w:r>
                  <w:r>
                    <w:rPr>
                      <w:rFonts w:ascii="仿宋_GB2312" w:hAnsi="仿宋_GB2312" w:cs="仿宋_GB2312" w:eastAsia="仿宋_GB2312"/>
                      <w:sz w:val="21"/>
                      <w:b/>
                    </w:rPr>
                    <w:t xml:space="preserve"> </w:t>
                  </w:r>
                  <w:r>
                    <w:rPr>
                      <w:rFonts w:ascii="仿宋_GB2312" w:hAnsi="仿宋_GB2312" w:cs="仿宋_GB2312" w:eastAsia="仿宋_GB2312"/>
                      <w:sz w:val="24"/>
                      <w:b/>
                    </w:rPr>
                    <w:t>收费标准</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1、供应商依据《陕西省医疗服务项目价格（202</w:t>
                  </w:r>
                  <w:r>
                    <w:rPr>
                      <w:rFonts w:ascii="仿宋_GB2312" w:hAnsi="仿宋_GB2312" w:cs="仿宋_GB2312" w:eastAsia="仿宋_GB2312"/>
                      <w:sz w:val="24"/>
                    </w:rPr>
                    <w:t>4</w:t>
                  </w:r>
                  <w:r>
                    <w:rPr>
                      <w:rFonts w:ascii="仿宋_GB2312" w:hAnsi="仿宋_GB2312" w:cs="仿宋_GB2312" w:eastAsia="仿宋_GB2312"/>
                      <w:sz w:val="24"/>
                    </w:rPr>
                    <w:t>版）》收费标准执行，（若陕西省物价局出台最新核准的收费标准，按最新标准执行。）</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2、上述项目列表未包含的项目后续采购人根据临床需求实时拓展，</w:t>
                  </w:r>
                  <w:r>
                    <w:rPr>
                      <w:rFonts w:ascii="仿宋_GB2312" w:hAnsi="仿宋_GB2312" w:cs="仿宋_GB2312" w:eastAsia="仿宋_GB2312"/>
                      <w:sz w:val="24"/>
                    </w:rPr>
                    <w:t>且</w:t>
                  </w:r>
                  <w:r>
                    <w:rPr>
                      <w:rFonts w:ascii="仿宋_GB2312" w:hAnsi="仿宋_GB2312" w:cs="仿宋_GB2312" w:eastAsia="仿宋_GB2312"/>
                      <w:sz w:val="24"/>
                    </w:rPr>
                    <w:t>均按本次招标的成交结算比例执行。</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3、若采购人送检的项目无收费标准，则按照</w:t>
                  </w:r>
                  <w:r>
                    <w:rPr>
                      <w:rFonts w:ascii="仿宋_GB2312" w:hAnsi="仿宋_GB2312" w:cs="仿宋_GB2312" w:eastAsia="仿宋_GB2312"/>
                      <w:sz w:val="24"/>
                    </w:rPr>
                    <w:t>供应商</w:t>
                  </w:r>
                  <w:r>
                    <w:rPr>
                      <w:rFonts w:ascii="仿宋_GB2312" w:hAnsi="仿宋_GB2312" w:cs="仿宋_GB2312" w:eastAsia="仿宋_GB2312"/>
                      <w:sz w:val="24"/>
                    </w:rPr>
                    <w:t>提供的《诊断项目总汇与采样手册》最新版本的收费标准结合投标结算比例得出的结算价进行结算。</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在</w:t>
                  </w:r>
                  <w:r>
                    <w:rPr>
                      <w:rFonts w:ascii="仿宋_GB2312" w:hAnsi="仿宋_GB2312" w:cs="仿宋_GB2312" w:eastAsia="仿宋_GB2312"/>
                      <w:sz w:val="24"/>
                    </w:rPr>
                    <w:t>磋商</w:t>
                  </w:r>
                  <w:r>
                    <w:rPr>
                      <w:rFonts w:ascii="仿宋_GB2312" w:hAnsi="仿宋_GB2312" w:cs="仿宋_GB2312" w:eastAsia="仿宋_GB2312"/>
                      <w:sz w:val="24"/>
                    </w:rPr>
                    <w:t>时提供本单位的《诊断项目总汇与采样手册》最新版本</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rPr>
                    <w:t>2.2 服务内容：运行维护、升级更新</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1.能够提供全面、优质的检验服务，保证服务质量、满足医院诊疗需求，及时提供新增特殊检测业务。</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2.可以配合医院的发展提供专家上门学术交流、网络终端查询打印、实验室拓展共建等一系列增值服务，提供实验室相互交流学习机会，达到共同发展。</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3.能够在本地提供基因组学、蛋白组学、代谢组学等检测平台，供我院科研人员开展临床科研检测，满足在本地完成科研工作的需求。</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协助医院完善</w:t>
                  </w:r>
                  <w:r>
                    <w:rPr>
                      <w:rFonts w:ascii="仿宋_GB2312" w:hAnsi="仿宋_GB2312" w:cs="仿宋_GB2312" w:eastAsia="仿宋_GB2312"/>
                      <w:sz w:val="24"/>
                    </w:rPr>
                    <w:t>lis系统，实现与医院系统数据对接。</w:t>
                  </w:r>
                  <w:r>
                    <w:rPr>
                      <w:rFonts w:ascii="仿宋_GB2312" w:hAnsi="仿宋_GB2312" w:cs="仿宋_GB2312" w:eastAsia="仿宋_GB2312"/>
                      <w:sz w:val="24"/>
                    </w:rPr>
                    <w:t>实现区域内检验结果的实时传送、异地打印，为医院建立区域性检验中心、实施检验报告互认提供信息化基础。此</w:t>
                  </w:r>
                  <w:r>
                    <w:rPr>
                      <w:rFonts w:ascii="仿宋_GB2312" w:hAnsi="仿宋_GB2312" w:cs="仿宋_GB2312" w:eastAsia="仿宋_GB2312"/>
                      <w:sz w:val="24"/>
                    </w:rPr>
                    <w:t>Lis系统需符合医院信息安全要求。第三方协助检验科及信息科维护所有需开展的检测项目。</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5、检验时效性高，可快速服务于临床和患者。临床质谱项目、自身免疫抗体等报告时限小于一个工作日；具备病原体快速检测能力；临床微生物开展项目、检测能力、报告时限达到国内领先水平。</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6、具备专业的医疗冷链物流团队，具有专用信息平台对冷链进行实时监控，保证标本分析前质量。</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7、在项目所在地具有成建制的质量管理部门，具有国内领先的质量指标的实时监控管理平台，保证临床检验质量。</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8、每年提供不少于 15 天的针对实验室人员及下级医院或体检中心人员的专业技能和理论培训。</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9、建设有区域性的统一的临床监测体系、质量管理体系、信息化体系和培训体系，具备实现区域内检验报告互认的基础。</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10、协助医院实验室进行 ISO 15189 认可。</w:t>
                  </w:r>
                </w:p>
              </w:tc>
            </w:tr>
            <w:tr>
              <w:tc>
                <w:tcPr>
                  <w:tcW w:type="dxa" w:w="255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rPr>
                    <w:t>2.3 适应标准：符合国家标准、行业标准。</w:t>
                  </w:r>
                </w:p>
              </w:tc>
            </w:tr>
          </w:tbl>
          <w:p>
            <w:pPr>
              <w:pStyle w:val="null3"/>
              <w:jc w:val="left"/>
            </w:pPr>
            <w:r>
              <w:rPr>
                <w:rFonts w:ascii="仿宋_GB2312" w:hAnsi="仿宋_GB2312" w:cs="仿宋_GB2312" w:eastAsia="仿宋_GB2312"/>
                <w:sz w:val="24"/>
              </w:rPr>
              <w:t>三、供应商在陕西省内具有专业临床服务团队，以保证检验售后临床服务，临床服务团队包括医学博士人员，实验室技术人员配置水平较高，具备高级职称实验室管理人员，各专业组负责人具备中级以上职称。以上人员配置提供相应的职称证明和社保证明。</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四、其他要求：</w:t>
            </w:r>
          </w:p>
          <w:p>
            <w:pPr>
              <w:pStyle w:val="null3"/>
              <w:jc w:val="left"/>
            </w:pPr>
            <w:r>
              <w:rPr>
                <w:rFonts w:ascii="仿宋_GB2312" w:hAnsi="仿宋_GB2312" w:cs="仿宋_GB2312" w:eastAsia="仿宋_GB2312"/>
                <w:sz w:val="24"/>
              </w:rPr>
              <w:t>协助医院在现有</w:t>
            </w:r>
            <w:r>
              <w:rPr>
                <w:rFonts w:ascii="仿宋_GB2312" w:hAnsi="仿宋_GB2312" w:cs="仿宋_GB2312" w:eastAsia="仿宋_GB2312"/>
                <w:sz w:val="24"/>
              </w:rPr>
              <w:t>lis基础上实现如下需求和功能：本项目所涉及的全部接口开发、调试及后续维护工作，均不另行收取接口费用，接口费用已包含在合同总价中，不再产生额外费用结算。</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按项目需求配置，供应商应充分考虑。</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按项目需求配置，供应商应充分考虑。</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本次采购活动完整服务期限为三年，自首份合同生效之日起连续计算，三年服务期通过分期订立合同的方式履行，每期合同期限为一年。 本合同为基于本次采购结果签订的首期☑续签第二年度□续签第三年度□服务合同，服务期为自合同签订之日起一年。 根据《财政部关于推进和完善服务项目政府采购有关问题的通知》(财库[2014]37号)有关规定，采购人将依据合同约定的考核办法，在每期合同期满前对供应商履约情况进行年度考核。（考核见附件）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甲方在合同规定时间内，按每月实际检测项目费用，根据乙方提供的发票金额，按3个月的账期滚动支付，达到付款条件起10个工作日内，支付合同总金额的100.0%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 二、 因电子化格式有限，本项目付款方式为：（合同签订后），甲方在合同规定时间内，按每月实际检测项目费用，根据乙方提供的（增值税普通）发票金额，按3个月的账期滚动支付。 三、特别注意：本项目报价结算比例应≤40%，否则按无效文件处理。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提供供应商有效期内的医疗机构执业许可证。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病原微生物实验室生物安全备案证</w:t>
            </w:r>
          </w:p>
        </w:tc>
        <w:tc>
          <w:tcPr>
            <w:tcW w:type="dxa" w:w="3322"/>
          </w:tcPr>
          <w:p>
            <w:pPr>
              <w:pStyle w:val="null3"/>
            </w:pPr>
            <w:r>
              <w:rPr>
                <w:rFonts w:ascii="仿宋_GB2312" w:hAnsi="仿宋_GB2312" w:cs="仿宋_GB2312" w:eastAsia="仿宋_GB2312"/>
              </w:rPr>
              <w:t>提供供应商的病原微生物实验室生物安全备案证。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临床基因扩增实验室备案证</w:t>
            </w:r>
          </w:p>
        </w:tc>
        <w:tc>
          <w:tcPr>
            <w:tcW w:type="dxa" w:w="3322"/>
          </w:tcPr>
          <w:p>
            <w:pPr>
              <w:pStyle w:val="null3"/>
            </w:pPr>
            <w:r>
              <w:rPr>
                <w:rFonts w:ascii="仿宋_GB2312" w:hAnsi="仿宋_GB2312" w:cs="仿宋_GB2312" w:eastAsia="仿宋_GB2312"/>
              </w:rPr>
              <w:t>提供供应商的临床基因扩增实验室备案证。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全部通过符合性审查供应商磋商报价平均值×50%； ②磋商报价低于通过符合性审查的次低报价供应商磋商报价50%的，即磋商报价＜通过符合性审查的次低报价供应商磋商报价×50%； ③磋商报价低于采购项目最高限价45%的，即磋商报价＜采购项目最高限价×45%；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内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报价不满足磋商文件规定的最高限价要求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满足本磋商文件中“服务期限、服务地点、采购资金的支付方式及约定”的实质性条款要求的；注：因电子化格式有限，应对3.4其他要求中的“二、付款方式”的实质性条款要求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实验室能力</w:t>
            </w:r>
          </w:p>
        </w:tc>
        <w:tc>
          <w:tcPr>
            <w:tcW w:type="dxa" w:w="2492"/>
          </w:tcPr>
          <w:p>
            <w:pPr>
              <w:pStyle w:val="null3"/>
            </w:pPr>
            <w:r>
              <w:rPr>
                <w:rFonts w:ascii="仿宋_GB2312" w:hAnsi="仿宋_GB2312" w:cs="仿宋_GB2312" w:eastAsia="仿宋_GB2312"/>
              </w:rPr>
              <w:t>（1）独立实验室：供应商配置实验室专业组至少覆盖有生化室、免疫室、临床基因室、微生物室、临床质谱室、血液病室、细胞遗传室，以满足临床检验需求。需提供各专业组场地照片及各实验室检验项目的室间质评证书及相关证明。提供上述7项证明材料，每提供1项且资料齐全计1分，满分7分。 （2）开展项目齐全，供应商针对磋商文件第三章的医学检验科外送项目进行响应。完全满足全部检验检测项目并提供相关证明材料，无缺项，计10分； 满足60项检验检测项目并提供相关证明材料计7分； 满足40项检验检测项目并提供相关证明材料计4分； 满足20项检验检测项目并提供相关证明材料计1分； 其余情形不计分。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1实验室能力.docx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供应商须针对本项目的服务内容提供详细具体的服务方案，至少包括检验检测方案、检测平台提供、结果报告制定、在服务期内能够及时响应采购人的需求，方案具体可行,确保采购人的正常使用。 满足项目实施要求，无瑕疵：10分； 内容每存在1处瑕疵扣1分； 未提供方案或不满足项目要求或内容存在10处及以上瑕疵：0分。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系统对接方案</w:t>
            </w:r>
          </w:p>
        </w:tc>
        <w:tc>
          <w:tcPr>
            <w:tcW w:type="dxa" w:w="2492"/>
          </w:tcPr>
          <w:p>
            <w:pPr>
              <w:pStyle w:val="null3"/>
            </w:pPr>
            <w:r>
              <w:rPr>
                <w:rFonts w:ascii="仿宋_GB2312" w:hAnsi="仿宋_GB2312" w:cs="仿宋_GB2312" w:eastAsia="仿宋_GB2312"/>
              </w:rPr>
              <w:t>协助医院完善lis系统，实现与医院系统数据对接。提供详细具体完整的技术实施方案，整体方案清晰、描述详细、符合磋商的项目需求。 满足项目实施要求，无瑕疵8分； 内容每存在1处瑕疵扣1分 未提供方案或不满足项目要求或内容存在8处及以上瑕疵：0分。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3系统对接方案.docx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详细具体的质量保证方案和措施，有质量指标的实时监控管理平台，保证临床检验质量，确保检测标本的有效性，保证检测结果的准确性和及时性，保证医疗质量和医疗安全，并承诺因检测质量问题造成的医疗事故由供应商承担。 满足项目实施要求，无瑕疵：4分； 内容每存在1处瑕疵扣1分 未提供方案或不满足项目要求或内容存在4处及以上瑕疵：0分。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4质量保证.docx</w:t>
            </w:r>
          </w:p>
        </w:tc>
      </w:tr>
      <w:tr>
        <w:tc>
          <w:tcPr>
            <w:tcW w:type="dxa" w:w="831"/>
            <w:vMerge/>
          </w:tcPr>
          <w:p/>
        </w:tc>
        <w:tc>
          <w:tcPr>
            <w:tcW w:type="dxa" w:w="1661"/>
          </w:tcPr>
          <w:p>
            <w:pPr>
              <w:pStyle w:val="null3"/>
            </w:pPr>
            <w:r>
              <w:rPr>
                <w:rFonts w:ascii="仿宋_GB2312" w:hAnsi="仿宋_GB2312" w:cs="仿宋_GB2312" w:eastAsia="仿宋_GB2312"/>
              </w:rPr>
              <w:t>检测设备清单</w:t>
            </w:r>
          </w:p>
        </w:tc>
        <w:tc>
          <w:tcPr>
            <w:tcW w:type="dxa" w:w="2492"/>
          </w:tcPr>
          <w:p>
            <w:pPr>
              <w:pStyle w:val="null3"/>
            </w:pPr>
            <w:r>
              <w:rPr>
                <w:rFonts w:ascii="仿宋_GB2312" w:hAnsi="仿宋_GB2312" w:cs="仿宋_GB2312" w:eastAsia="仿宋_GB2312"/>
              </w:rPr>
              <w:t>供应商须提供针对医院需要的检测项目提供具备的检测设备，包括但不限于设备名称、品牌、型号、产地、设备购买年限、检定或校准的检验仪器设备的情况、并提供购买发票等，清单内容完整，检测设备符合检测项目需求。 满足项目实施要求，无瑕疵：4分； 内容每存在1处瑕疵扣1分 未提供方案或不满足项目要求或内容存在4处及以上瑕疵：0分。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5检测设备清单.docx</w:t>
            </w:r>
          </w:p>
        </w:tc>
      </w:tr>
      <w:tr>
        <w:tc>
          <w:tcPr>
            <w:tcW w:type="dxa" w:w="831"/>
            <w:vMerge/>
          </w:tcPr>
          <w:p/>
        </w:tc>
        <w:tc>
          <w:tcPr>
            <w:tcW w:type="dxa" w:w="1661"/>
          </w:tcPr>
          <w:p>
            <w:pPr>
              <w:pStyle w:val="null3"/>
            </w:pPr>
            <w:r>
              <w:rPr>
                <w:rFonts w:ascii="仿宋_GB2312" w:hAnsi="仿宋_GB2312" w:cs="仿宋_GB2312" w:eastAsia="仿宋_GB2312"/>
              </w:rPr>
              <w:t>标本收取及运输保管方案</w:t>
            </w:r>
          </w:p>
        </w:tc>
        <w:tc>
          <w:tcPr>
            <w:tcW w:type="dxa" w:w="2492"/>
          </w:tcPr>
          <w:p>
            <w:pPr>
              <w:pStyle w:val="null3"/>
            </w:pPr>
            <w:r>
              <w:rPr>
                <w:rFonts w:ascii="仿宋_GB2312" w:hAnsi="仿宋_GB2312" w:cs="仿宋_GB2312" w:eastAsia="仿宋_GB2312"/>
              </w:rPr>
              <w:t>针对本项目要求及特点，供应商制定标本收取及运输保管方案，内容完整、具体，标本收取流程规范、运输安全有保障。内容包括但不限于：（1）专人专车收取标本服务方案；（2）标本冷链运输保管方案；（3）配套保障措施等。 满足项目实施要求，无瑕疵：6分； 内容每存在1处瑕疵扣1分 未提供方案或不满足项目要求或内容存在6处及以上瑕疵：0分。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6标本收取及运输保管方案.docx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制定应急服务方案，方案包括但不限于：（1）送检过程中出现延迟、遗漏、丢失等情况等处理；（2）危急值的项目和限制的处理；（3）发生重大应急事件时的应急收样；（4）委派技术或实验人员协助采购人处理应急事件；（5）对出现危急值情况的处理。根据方案内容全面，描述详尽，对应解决方案可实施性强，有保障程度进行评审。 满足项目实施要求，无瑕疵：5分； 内容每存在1处瑕疵扣1分 未提供方案或不满足项目要求或内容存在5处及以上瑕疵：0分。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7应急保障方案.docx</w:t>
            </w:r>
          </w:p>
        </w:tc>
      </w:tr>
      <w:tr>
        <w:tc>
          <w:tcPr>
            <w:tcW w:type="dxa" w:w="831"/>
            <w:vMerge/>
          </w:tcPr>
          <w:p/>
        </w:tc>
        <w:tc>
          <w:tcPr>
            <w:tcW w:type="dxa" w:w="1661"/>
          </w:tcPr>
          <w:p>
            <w:pPr>
              <w:pStyle w:val="null3"/>
            </w:pPr>
            <w:r>
              <w:rPr>
                <w:rFonts w:ascii="仿宋_GB2312" w:hAnsi="仿宋_GB2312" w:cs="仿宋_GB2312" w:eastAsia="仿宋_GB2312"/>
              </w:rPr>
              <w:t>检测试剂及耗材来源渠道及承诺</w:t>
            </w:r>
          </w:p>
        </w:tc>
        <w:tc>
          <w:tcPr>
            <w:tcW w:type="dxa" w:w="2492"/>
          </w:tcPr>
          <w:p>
            <w:pPr>
              <w:pStyle w:val="null3"/>
            </w:pPr>
            <w:r>
              <w:rPr>
                <w:rFonts w:ascii="仿宋_GB2312" w:hAnsi="仿宋_GB2312" w:cs="仿宋_GB2312" w:eastAsia="仿宋_GB2312"/>
              </w:rPr>
              <w:t>供应商须针对本项目要求的检测项目有对应的检测试剂和耗材，且来源渠道合法正规，并提供承诺，计2分。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8检测试剂及耗材来源渠道及承诺.docx</w:t>
            </w:r>
          </w:p>
        </w:tc>
      </w:tr>
      <w:tr>
        <w:tc>
          <w:tcPr>
            <w:tcW w:type="dxa" w:w="831"/>
            <w:vMerge/>
          </w:tcPr>
          <w:p/>
        </w:tc>
        <w:tc>
          <w:tcPr>
            <w:tcW w:type="dxa" w:w="1661"/>
          </w:tcPr>
          <w:p>
            <w:pPr>
              <w:pStyle w:val="null3"/>
            </w:pPr>
            <w:r>
              <w:rPr>
                <w:rFonts w:ascii="仿宋_GB2312" w:hAnsi="仿宋_GB2312" w:cs="仿宋_GB2312" w:eastAsia="仿宋_GB2312"/>
              </w:rPr>
              <w:t>进度保障计划</w:t>
            </w:r>
          </w:p>
        </w:tc>
        <w:tc>
          <w:tcPr>
            <w:tcW w:type="dxa" w:w="2492"/>
          </w:tcPr>
          <w:p>
            <w:pPr>
              <w:pStyle w:val="null3"/>
            </w:pPr>
            <w:r>
              <w:rPr>
                <w:rFonts w:ascii="仿宋_GB2312" w:hAnsi="仿宋_GB2312" w:cs="仿宋_GB2312" w:eastAsia="仿宋_GB2312"/>
              </w:rPr>
              <w:t>针对各检验项目报告出具时间，供应商制定合理的执行计划及进度保障方案，确保报告时间节点要求，确保检验项报告及时顺利完成。 满足项目实施要求，无瑕疵：4分； 内容每存在1处瑕疵扣1分 未提供方案或不满足项目要求或内容存在4处及以上瑕疵：0分。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9进度保障计划.docx</w:t>
            </w:r>
          </w:p>
        </w:tc>
      </w:tr>
      <w:tr>
        <w:tc>
          <w:tcPr>
            <w:tcW w:type="dxa" w:w="831"/>
            <w:vMerge/>
          </w:tcPr>
          <w:p/>
        </w:tc>
        <w:tc>
          <w:tcPr>
            <w:tcW w:type="dxa" w:w="1661"/>
          </w:tcPr>
          <w:p>
            <w:pPr>
              <w:pStyle w:val="null3"/>
            </w:pPr>
            <w:r>
              <w:rPr>
                <w:rFonts w:ascii="仿宋_GB2312" w:hAnsi="仿宋_GB2312" w:cs="仿宋_GB2312" w:eastAsia="仿宋_GB2312"/>
              </w:rPr>
              <w:t>规章制度和操作流程规范</w:t>
            </w:r>
          </w:p>
        </w:tc>
        <w:tc>
          <w:tcPr>
            <w:tcW w:type="dxa" w:w="2492"/>
          </w:tcPr>
          <w:p>
            <w:pPr>
              <w:pStyle w:val="null3"/>
            </w:pPr>
            <w:r>
              <w:rPr>
                <w:rFonts w:ascii="仿宋_GB2312" w:hAnsi="仿宋_GB2312" w:cs="仿宋_GB2312" w:eastAsia="仿宋_GB2312"/>
              </w:rPr>
              <w:t>制定完善的规章制度和流程规范，保证检验结果真实、准确、客观、公正，不受不当因素影响，不出具虚假或不符合规定的检验报告，执行国家制定颁布或者认可的技术规范和操作规程，落实实验室内感染预防、控制和改进的措施，保障医学检验工作安全、有效地开展。 满足项目实施要求，无瑕疵：4分； 内容每存在1处瑕疵扣1分 未提供方案或不满足项目要求或内容存在4处及以上瑕疵：0分。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10规章制度和操作流程规范.docx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供应商具有有效的中国合格评定国家认可委员会（CNAS）实验室IS015189认可证书的计1分.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11质量保障.docx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1）供应商具有专业的检测人员，医学检验技术人员应当具有相关的专业学历，并取得相应专业技术职务任职资格和执业资格，满足本项目的检测需求。提供团队人员简历、学历、职称证书、相关经验等相关证明材料，并加盖供应商公章。 满足项目实施要求，无瑕疵：4分； 内容每存在1处瑕疵扣1分 未提供方案或不满足项目要求或内容存在4处及以上瑕疵：0分。 （2）检验实验室质量安全管理人员应当具有中级以上专业技术职务任职资格，具备相关专业知识和丰富工作经验，须提供资格证书、工作履历、工作经验的证明（不限于社保缴纳凭证、证书等），计2分，未提供完整或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12项目组成员.docx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供应商需针对本项目提供具体可行的售后服务方案及承诺，包括但不限于以下内容：（1）承诺按照采购人要求及标准，切实履行服务义务，做好相关服务工作；（2）提供报告单网络直接传送、查询、打印等配套服务；（3）提供针对采购人需要临时调取原始图像/数据再分析；（4）为采购人提供必要的专业咨询服务等。 满足项目实施要求，无瑕疵：4分； 内容每存在1处瑕疵扣1分 未提供方案或不满足项目要求或内容存在4处及以上瑕疵：0分。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14售后服务及承诺.docx</w:t>
            </w:r>
          </w:p>
        </w:tc>
      </w:tr>
      <w:tr>
        <w:tc>
          <w:tcPr>
            <w:tcW w:type="dxa" w:w="831"/>
            <w:vMerge/>
          </w:tcPr>
          <w:p/>
        </w:tc>
        <w:tc>
          <w:tcPr>
            <w:tcW w:type="dxa" w:w="1661"/>
          </w:tcPr>
          <w:p>
            <w:pPr>
              <w:pStyle w:val="null3"/>
            </w:pPr>
            <w:r>
              <w:rPr>
                <w:rFonts w:ascii="仿宋_GB2312" w:hAnsi="仿宋_GB2312" w:cs="仿宋_GB2312" w:eastAsia="仿宋_GB2312"/>
              </w:rPr>
              <w:t>协助方案</w:t>
            </w:r>
          </w:p>
        </w:tc>
        <w:tc>
          <w:tcPr>
            <w:tcW w:type="dxa" w:w="2492"/>
          </w:tcPr>
          <w:p>
            <w:pPr>
              <w:pStyle w:val="null3"/>
            </w:pPr>
            <w:r>
              <w:rPr>
                <w:rFonts w:ascii="仿宋_GB2312" w:hAnsi="仿宋_GB2312" w:cs="仿宋_GB2312" w:eastAsia="仿宋_GB2312"/>
              </w:rPr>
              <w:t>供应商承诺协助医院实验室进行ISO 15189认可，提供承诺及协助方案。 满足项目实施要求，无瑕疵：2分； 内容每存在1处瑕疵扣1分 未提供方案或不满足项目要求或内容存在2处及以上瑕疵：0分。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15协助方案.docx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除采购人需求外，供应商还可提供其他实质性增值服务，包括但不限于专家上门学术交流、网络终端查询打印、实验室拓展共建等。 满足项目实施要求，无瑕疵：3分； 内容每存在1处瑕疵扣1分 未提供方案或不满足项目要求或内容存在3处及以上瑕疵：0分。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16增值服务.docx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价格分统一采用低价优先法计算，即满足磋商文件要求且响应价格最低的响应报价为评标基准价，其价格分为满分。其他供应商的价格分统一按照下列公式计算：价格分=(评标基准价／响应报价)×报价分值 注： 1.计算分数时四舍五入取小数点后两位； 2本项目报价为结算比例； 3.委托检验服务费结算比例：≤40%。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详见附件：1实验室能力.docx</w:t>
      </w:r>
    </w:p>
    <w:p>
      <w:pPr>
        <w:pStyle w:val="null3"/>
        <w:ind w:firstLine="960"/>
      </w:pPr>
      <w:r>
        <w:rPr>
          <w:rFonts w:ascii="仿宋_GB2312" w:hAnsi="仿宋_GB2312" w:cs="仿宋_GB2312" w:eastAsia="仿宋_GB2312"/>
        </w:rPr>
        <w:t>详见附件：2服务方案.docx</w:t>
      </w:r>
    </w:p>
    <w:p>
      <w:pPr>
        <w:pStyle w:val="null3"/>
        <w:ind w:firstLine="960"/>
      </w:pPr>
      <w:r>
        <w:rPr>
          <w:rFonts w:ascii="仿宋_GB2312" w:hAnsi="仿宋_GB2312" w:cs="仿宋_GB2312" w:eastAsia="仿宋_GB2312"/>
        </w:rPr>
        <w:t>详见附件：3系统对接方案.docx</w:t>
      </w:r>
    </w:p>
    <w:p>
      <w:pPr>
        <w:pStyle w:val="null3"/>
        <w:ind w:firstLine="960"/>
      </w:pPr>
      <w:r>
        <w:rPr>
          <w:rFonts w:ascii="仿宋_GB2312" w:hAnsi="仿宋_GB2312" w:cs="仿宋_GB2312" w:eastAsia="仿宋_GB2312"/>
        </w:rPr>
        <w:t>详见附件：4质量保证.docx</w:t>
      </w:r>
    </w:p>
    <w:p>
      <w:pPr>
        <w:pStyle w:val="null3"/>
        <w:ind w:firstLine="960"/>
      </w:pPr>
      <w:r>
        <w:rPr>
          <w:rFonts w:ascii="仿宋_GB2312" w:hAnsi="仿宋_GB2312" w:cs="仿宋_GB2312" w:eastAsia="仿宋_GB2312"/>
        </w:rPr>
        <w:t>详见附件：5检测设备清单.docx</w:t>
      </w:r>
    </w:p>
    <w:p>
      <w:pPr>
        <w:pStyle w:val="null3"/>
        <w:ind w:firstLine="960"/>
      </w:pPr>
      <w:r>
        <w:rPr>
          <w:rFonts w:ascii="仿宋_GB2312" w:hAnsi="仿宋_GB2312" w:cs="仿宋_GB2312" w:eastAsia="仿宋_GB2312"/>
        </w:rPr>
        <w:t>详见附件：6标本收取及运输保管方案.docx</w:t>
      </w:r>
    </w:p>
    <w:p>
      <w:pPr>
        <w:pStyle w:val="null3"/>
        <w:ind w:firstLine="960"/>
      </w:pPr>
      <w:r>
        <w:rPr>
          <w:rFonts w:ascii="仿宋_GB2312" w:hAnsi="仿宋_GB2312" w:cs="仿宋_GB2312" w:eastAsia="仿宋_GB2312"/>
        </w:rPr>
        <w:t>详见附件：7应急保障方案.docx</w:t>
      </w:r>
    </w:p>
    <w:p>
      <w:pPr>
        <w:pStyle w:val="null3"/>
        <w:ind w:firstLine="960"/>
      </w:pPr>
      <w:r>
        <w:rPr>
          <w:rFonts w:ascii="仿宋_GB2312" w:hAnsi="仿宋_GB2312" w:cs="仿宋_GB2312" w:eastAsia="仿宋_GB2312"/>
        </w:rPr>
        <w:t>详见附件：8检测试剂及耗材来源渠道及承诺.docx</w:t>
      </w:r>
    </w:p>
    <w:p>
      <w:pPr>
        <w:pStyle w:val="null3"/>
        <w:ind w:firstLine="960"/>
      </w:pPr>
      <w:r>
        <w:rPr>
          <w:rFonts w:ascii="仿宋_GB2312" w:hAnsi="仿宋_GB2312" w:cs="仿宋_GB2312" w:eastAsia="仿宋_GB2312"/>
        </w:rPr>
        <w:t>详见附件：9进度保障计划.docx</w:t>
      </w:r>
    </w:p>
    <w:p>
      <w:pPr>
        <w:pStyle w:val="null3"/>
        <w:ind w:firstLine="960"/>
      </w:pPr>
      <w:r>
        <w:rPr>
          <w:rFonts w:ascii="仿宋_GB2312" w:hAnsi="仿宋_GB2312" w:cs="仿宋_GB2312" w:eastAsia="仿宋_GB2312"/>
        </w:rPr>
        <w:t>详见附件：10规章制度和操作流程规范.docx</w:t>
      </w:r>
    </w:p>
    <w:p>
      <w:pPr>
        <w:pStyle w:val="null3"/>
        <w:ind w:firstLine="960"/>
      </w:pPr>
      <w:r>
        <w:rPr>
          <w:rFonts w:ascii="仿宋_GB2312" w:hAnsi="仿宋_GB2312" w:cs="仿宋_GB2312" w:eastAsia="仿宋_GB2312"/>
        </w:rPr>
        <w:t>详见附件：11质量保障.docx</w:t>
      </w:r>
    </w:p>
    <w:p>
      <w:pPr>
        <w:pStyle w:val="null3"/>
        <w:ind w:firstLine="960"/>
      </w:pPr>
      <w:r>
        <w:rPr>
          <w:rFonts w:ascii="仿宋_GB2312" w:hAnsi="仿宋_GB2312" w:cs="仿宋_GB2312" w:eastAsia="仿宋_GB2312"/>
        </w:rPr>
        <w:t>详见附件：12项目组成员.docx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详见附件：14售后服务及承诺.docx</w:t>
      </w:r>
    </w:p>
    <w:p>
      <w:pPr>
        <w:pStyle w:val="null3"/>
        <w:ind w:firstLine="960"/>
      </w:pPr>
      <w:r>
        <w:rPr>
          <w:rFonts w:ascii="仿宋_GB2312" w:hAnsi="仿宋_GB2312" w:cs="仿宋_GB2312" w:eastAsia="仿宋_GB2312"/>
        </w:rPr>
        <w:t>详见附件：15协助方案.docx</w:t>
      </w:r>
    </w:p>
    <w:p>
      <w:pPr>
        <w:pStyle w:val="null3"/>
        <w:ind w:firstLine="960"/>
      </w:pPr>
      <w:r>
        <w:rPr>
          <w:rFonts w:ascii="仿宋_GB2312" w:hAnsi="仿宋_GB2312" w:cs="仿宋_GB2312" w:eastAsia="仿宋_GB2312"/>
        </w:rPr>
        <w:t>详见附件：16增值服务.docx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