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91BDA6">
      <w:pPr>
        <w:spacing w:line="360" w:lineRule="auto"/>
        <w:ind w:firstLine="480" w:firstLineChars="200"/>
        <w:jc w:val="left"/>
        <w:rPr>
          <w:rFonts w:hint="eastAsia" w:hAnsi="宋体"/>
          <w:szCs w:val="24"/>
        </w:rPr>
      </w:pPr>
      <w:r>
        <w:rPr>
          <w:rFonts w:hint="eastAsia" w:hAnsi="宋体"/>
          <w:szCs w:val="24"/>
        </w:rPr>
        <w:t>本项目是搭建一套基于全国产设备及国产软件的能够满足陕西省科学情报研究院局域网内使用的AI智能体底座及智能体应用软件。在局域网内部署通用大模型，提供成熟办公智能体应用，以及智能体开发工具平台。</w:t>
      </w:r>
    </w:p>
    <w:p w14:paraId="4244667D">
      <w:pPr>
        <w:pStyle w:val="3"/>
        <w:spacing w:before="0" w:after="0" w:line="360" w:lineRule="auto"/>
        <w:ind w:firstLine="562" w:firstLineChars="200"/>
        <w:jc w:val="left"/>
        <w:rPr>
          <w:rFonts w:hint="eastAsia" w:ascii="宋体" w:hAnsi="宋体" w:eastAsia="宋体"/>
          <w:b/>
          <w:bCs/>
          <w:color w:val="auto"/>
          <w:sz w:val="28"/>
          <w:szCs w:val="28"/>
        </w:rPr>
      </w:pPr>
      <w:r>
        <w:rPr>
          <w:rFonts w:hint="eastAsia" w:ascii="宋体" w:hAnsi="宋体" w:eastAsia="宋体"/>
          <w:b/>
          <w:bCs/>
          <w:color w:val="auto"/>
          <w:sz w:val="28"/>
          <w:szCs w:val="28"/>
        </w:rPr>
        <w:t>一、总体架构</w:t>
      </w:r>
    </w:p>
    <w:p w14:paraId="0F666522">
      <w:pPr>
        <w:spacing w:line="360" w:lineRule="auto"/>
        <w:ind w:firstLine="480" w:firstLineChars="200"/>
        <w:jc w:val="left"/>
        <w:rPr>
          <w:rFonts w:hint="eastAsia" w:hAnsi="宋体"/>
          <w:szCs w:val="24"/>
        </w:rPr>
      </w:pPr>
      <w:r>
        <w:rPr>
          <w:rFonts w:hint="eastAsia" w:hAnsi="宋体"/>
          <w:szCs w:val="24"/>
        </w:rPr>
        <w:t>整体硬件架构包含：1台AI服务器，用于部署大模型、智能体开发平台与智能体应用；1台管理服务器，用于部署资源调度平台，用于调度AI服务器的模型资源；1台25G以太网交换机，实现局域网组网，并与单位现网连接。</w:t>
      </w:r>
    </w:p>
    <w:p w14:paraId="5BD3EF20">
      <w:pPr>
        <w:spacing w:line="360" w:lineRule="auto"/>
        <w:ind w:firstLine="480" w:firstLineChars="200"/>
        <w:jc w:val="left"/>
        <w:rPr>
          <w:rFonts w:hint="eastAsia" w:hAnsi="宋体"/>
          <w:szCs w:val="24"/>
        </w:rPr>
      </w:pPr>
      <w:r>
        <w:rPr>
          <w:rFonts w:hint="eastAsia" w:hAnsi="宋体"/>
          <w:szCs w:val="24"/>
        </w:rPr>
        <w:t>软件包括：</w:t>
      </w:r>
    </w:p>
    <w:p w14:paraId="6C6A28E9">
      <w:pPr>
        <w:spacing w:line="360" w:lineRule="auto"/>
        <w:ind w:firstLine="480" w:firstLineChars="200"/>
        <w:jc w:val="left"/>
        <w:rPr>
          <w:rFonts w:hint="eastAsia" w:hAnsi="宋体"/>
          <w:szCs w:val="24"/>
        </w:rPr>
      </w:pPr>
      <w:r>
        <w:rPr>
          <w:rFonts w:hint="eastAsia" w:hAnsi="宋体"/>
          <w:szCs w:val="24"/>
        </w:rPr>
        <w:t>1、异构智算平台：一款高度自动化的AI全流程开发平台，致力于输出高可用的算力并持续突破计算效率的瓶颈。该平台支持从单节点到万卡集群的算力管理，能够实现异构GPU和异构算力融合调度，从而为用户提供稳定且高效的AI/HPC混合算力。</w:t>
      </w:r>
    </w:p>
    <w:p w14:paraId="3FB052C7">
      <w:pPr>
        <w:spacing w:line="360" w:lineRule="auto"/>
        <w:ind w:firstLine="480" w:firstLineChars="200"/>
        <w:jc w:val="left"/>
        <w:rPr>
          <w:rFonts w:hint="eastAsia" w:hAnsi="宋体"/>
          <w:szCs w:val="24"/>
        </w:rPr>
      </w:pPr>
      <w:r>
        <w:rPr>
          <w:rFonts w:hint="eastAsia" w:hAnsi="宋体"/>
          <w:szCs w:val="24"/>
        </w:rPr>
        <w:t>平台为用户提供快速交付、开箱即用、极致性能、稳定高效的全栈大模型训练、微调和推理开发能力，加快DeepSeek等大模型在各行业的应用落地速度，助力企业智能化转型。</w:t>
      </w:r>
    </w:p>
    <w:p w14:paraId="6A6477EE">
      <w:pPr>
        <w:pStyle w:val="6"/>
        <w:spacing w:line="360" w:lineRule="auto"/>
        <w:ind w:left="0" w:firstLine="480" w:firstLineChars="200"/>
        <w:jc w:val="left"/>
        <w:rPr>
          <w:rFonts w:hint="eastAsia" w:hAnsi="宋体"/>
          <w:szCs w:val="24"/>
        </w:rPr>
      </w:pPr>
      <w:r>
        <w:rPr>
          <w:rFonts w:hint="eastAsia" w:hAnsi="宋体"/>
          <w:szCs w:val="24"/>
        </w:rPr>
        <w:t>（1）产品核心价值：</w:t>
      </w:r>
    </w:p>
    <w:p w14:paraId="2B59C4EC">
      <w:pPr>
        <w:pStyle w:val="6"/>
        <w:spacing w:line="360" w:lineRule="auto"/>
        <w:ind w:left="0" w:firstLine="480" w:firstLineChars="200"/>
        <w:jc w:val="left"/>
        <w:rPr>
          <w:rFonts w:hint="eastAsia" w:hAnsi="宋体"/>
          <w:szCs w:val="24"/>
        </w:rPr>
      </w:pPr>
      <w:r>
        <w:rPr>
          <w:rFonts w:hint="eastAsia" w:hAnsi="宋体"/>
          <w:szCs w:val="24"/>
        </w:rPr>
        <w:t>•异构管理：GPU的统一管理和异构算力（AI/HPC）的融合调度，实现资源利用率最大化。</w:t>
      </w:r>
    </w:p>
    <w:p w14:paraId="2DE454F2">
      <w:pPr>
        <w:pStyle w:val="6"/>
        <w:spacing w:line="360" w:lineRule="auto"/>
        <w:ind w:left="0" w:firstLine="480" w:firstLineChars="200"/>
        <w:jc w:val="left"/>
        <w:rPr>
          <w:rFonts w:hint="eastAsia" w:hAnsi="宋体"/>
          <w:szCs w:val="24"/>
        </w:rPr>
      </w:pPr>
      <w:r>
        <w:rPr>
          <w:rFonts w:hint="eastAsia" w:hAnsi="宋体"/>
          <w:szCs w:val="24"/>
        </w:rPr>
        <w:t>•大模型分布式训练、微调、推理：支持主流的PyTorch、TensorFlow、PaddlePaddle训练框架，SFT监督微调，以及Triton、SGLang、vLLM推理引擎。</w:t>
      </w:r>
    </w:p>
    <w:p w14:paraId="2B9B9F22">
      <w:pPr>
        <w:pStyle w:val="6"/>
        <w:spacing w:line="360" w:lineRule="auto"/>
        <w:ind w:left="0" w:firstLine="480" w:firstLineChars="200"/>
        <w:jc w:val="left"/>
        <w:rPr>
          <w:rFonts w:hint="eastAsia" w:hAnsi="宋体"/>
          <w:szCs w:val="24"/>
        </w:rPr>
      </w:pPr>
      <w:r>
        <w:rPr>
          <w:rFonts w:hint="eastAsia" w:hAnsi="宋体"/>
          <w:szCs w:val="24"/>
        </w:rPr>
        <w:t>•大模型推理引擎优化：通过自适应量化、推理架构优化和并行策略优化，极致提升大模型推理性能。</w:t>
      </w:r>
    </w:p>
    <w:p w14:paraId="0C349F51">
      <w:pPr>
        <w:pStyle w:val="6"/>
        <w:spacing w:line="360" w:lineRule="auto"/>
        <w:ind w:left="0" w:firstLine="480" w:firstLineChars="200"/>
        <w:jc w:val="left"/>
        <w:rPr>
          <w:rFonts w:hint="eastAsia" w:hAnsi="宋体"/>
          <w:szCs w:val="24"/>
        </w:rPr>
      </w:pPr>
      <w:r>
        <w:rPr>
          <w:rFonts w:hint="eastAsia" w:hAnsi="宋体"/>
          <w:szCs w:val="24"/>
        </w:rPr>
        <w:t>•AI高效断点续训：GPU故障预测并自动化容错，大幅减少训练中断时间。</w:t>
      </w:r>
    </w:p>
    <w:p w14:paraId="59D0903C">
      <w:pPr>
        <w:pStyle w:val="6"/>
        <w:spacing w:line="360" w:lineRule="auto"/>
        <w:ind w:left="0" w:firstLine="480" w:firstLineChars="200"/>
        <w:jc w:val="left"/>
        <w:rPr>
          <w:rFonts w:hint="eastAsia" w:hAnsi="宋体"/>
          <w:szCs w:val="24"/>
        </w:rPr>
      </w:pPr>
      <w:r>
        <w:rPr>
          <w:rFonts w:hint="eastAsia" w:hAnsi="宋体"/>
          <w:szCs w:val="24"/>
        </w:rPr>
        <w:t>•GPU内核态虚拟化：逼近GPU算力极限的内核态虚拟化技术，提升资源利用率。</w:t>
      </w:r>
    </w:p>
    <w:p w14:paraId="313A3546">
      <w:pPr>
        <w:pStyle w:val="6"/>
        <w:spacing w:line="360" w:lineRule="auto"/>
        <w:ind w:left="0" w:firstLine="480" w:firstLineChars="200"/>
        <w:jc w:val="left"/>
        <w:rPr>
          <w:rFonts w:hint="eastAsia" w:hAnsi="宋体"/>
          <w:szCs w:val="24"/>
        </w:rPr>
      </w:pPr>
      <w:r>
        <w:rPr>
          <w:rFonts w:hint="eastAsia" w:hAnsi="宋体"/>
          <w:szCs w:val="24"/>
        </w:rPr>
        <w:t>•集合通讯算法库：自研LCCL集合通信算法库，显著提升网络效率。</w:t>
      </w:r>
    </w:p>
    <w:p w14:paraId="211A925A">
      <w:pPr>
        <w:pStyle w:val="6"/>
        <w:spacing w:line="360" w:lineRule="auto"/>
        <w:ind w:left="0" w:firstLine="480" w:firstLineChars="200"/>
        <w:jc w:val="left"/>
        <w:rPr>
          <w:rFonts w:hint="eastAsia" w:hAnsi="宋体"/>
          <w:szCs w:val="24"/>
        </w:rPr>
      </w:pPr>
      <w:r>
        <w:rPr>
          <w:rFonts w:hint="eastAsia" w:hAnsi="宋体"/>
          <w:szCs w:val="24"/>
        </w:rPr>
        <w:t>（2）平台架构：</w:t>
      </w:r>
    </w:p>
    <w:p w14:paraId="136D4AF5">
      <w:pPr>
        <w:pStyle w:val="6"/>
        <w:spacing w:line="360" w:lineRule="auto"/>
        <w:ind w:left="0" w:firstLine="480" w:firstLineChars="200"/>
        <w:jc w:val="left"/>
        <w:rPr>
          <w:rFonts w:hint="eastAsia" w:hAnsi="宋体"/>
          <w:szCs w:val="24"/>
        </w:rPr>
      </w:pPr>
      <w:r>
        <w:rPr>
          <w:rFonts w:hint="eastAsia" w:hAnsi="宋体"/>
          <w:szCs w:val="24"/>
        </w:rPr>
        <w:t>异构智算平台采用分层架构设计，从底层硬件到上层应用形成完整的全栈方案。架构核心层次包括：</w:t>
      </w:r>
    </w:p>
    <w:p w14:paraId="62E15EAF">
      <w:pPr>
        <w:pStyle w:val="6"/>
        <w:spacing w:line="360" w:lineRule="auto"/>
        <w:ind w:left="0" w:firstLine="480" w:firstLineChars="200"/>
        <w:jc w:val="left"/>
        <w:rPr>
          <w:rFonts w:hint="eastAsia" w:hAnsi="宋体"/>
          <w:szCs w:val="24"/>
        </w:rPr>
      </w:pPr>
      <w:r>
        <w:rPr>
          <w:rFonts w:hint="eastAsia" w:hAnsi="宋体"/>
          <w:szCs w:val="24"/>
        </w:rPr>
        <w:t>•API与UI层：提供统一的用户交互接口与可视化管理界面。</w:t>
      </w:r>
    </w:p>
    <w:p w14:paraId="7AFA5CED">
      <w:pPr>
        <w:pStyle w:val="6"/>
        <w:spacing w:line="360" w:lineRule="auto"/>
        <w:ind w:left="0" w:firstLine="480" w:firstLineChars="200"/>
        <w:jc w:val="left"/>
        <w:rPr>
          <w:rFonts w:hint="eastAsia" w:hAnsi="宋体"/>
          <w:szCs w:val="24"/>
        </w:rPr>
      </w:pPr>
      <w:r>
        <w:rPr>
          <w:rFonts w:hint="eastAsia" w:hAnsi="宋体"/>
          <w:szCs w:val="24"/>
        </w:rPr>
        <w:t>•模型与框架集成层：支持模型、计算框架集成与镜像管理，内置AI算子库与GPU优化驱动运行时。</w:t>
      </w:r>
    </w:p>
    <w:p w14:paraId="71CBEBE0">
      <w:pPr>
        <w:pStyle w:val="6"/>
        <w:spacing w:line="360" w:lineRule="auto"/>
        <w:ind w:left="0" w:firstLine="480" w:firstLineChars="200"/>
        <w:jc w:val="left"/>
        <w:rPr>
          <w:rFonts w:hint="eastAsia" w:hAnsi="宋体"/>
          <w:szCs w:val="24"/>
        </w:rPr>
      </w:pPr>
      <w:r>
        <w:rPr>
          <w:rFonts w:hint="eastAsia" w:hAnsi="宋体"/>
          <w:szCs w:val="24"/>
        </w:rPr>
        <w:t>•调度管理层：涵盖GPU池化/虚拟化、AI任务编排、HPC调度管理、数据镜像管理及容错断点续训。</w:t>
      </w:r>
    </w:p>
    <w:p w14:paraId="4E6E3BDD">
      <w:pPr>
        <w:pStyle w:val="6"/>
        <w:spacing w:line="360" w:lineRule="auto"/>
        <w:ind w:left="0" w:firstLine="480" w:firstLineChars="200"/>
        <w:jc w:val="left"/>
        <w:rPr>
          <w:rFonts w:hint="eastAsia" w:hAnsi="宋体"/>
          <w:szCs w:val="24"/>
        </w:rPr>
      </w:pPr>
      <w:r>
        <w:rPr>
          <w:rFonts w:hint="eastAsia" w:hAnsi="宋体"/>
          <w:szCs w:val="24"/>
        </w:rPr>
        <w:t>•推理加速层：集成模型感知自适应并行策略、AI编译优化技术、LCCL传算存协同优化、RoCE算网实时负载均衡及MoE专家推理调度优化。</w:t>
      </w:r>
    </w:p>
    <w:p w14:paraId="51B6EA57">
      <w:pPr>
        <w:spacing w:line="360" w:lineRule="auto"/>
        <w:ind w:firstLine="480" w:firstLineChars="200"/>
        <w:jc w:val="left"/>
        <w:rPr>
          <w:rFonts w:hint="eastAsia" w:hAnsi="宋体"/>
          <w:szCs w:val="24"/>
        </w:rPr>
      </w:pPr>
      <w:r>
        <w:rPr>
          <w:rFonts w:hint="eastAsia" w:hAnsi="宋体"/>
          <w:szCs w:val="24"/>
        </w:rPr>
        <w:t>2、办公智能体：提供内置RAG知识库，具备多模态内容识别能力，系统能够从文字、图片不同模态的数据中提取、分析和理解信息，以识别和理解内容，且</w:t>
      </w:r>
      <w:r>
        <w:rPr>
          <w:rFonts w:hAnsi="宋体"/>
          <w:szCs w:val="24"/>
        </w:rPr>
        <w:t>提供多种企业办公业务相关的功能，包括</w:t>
      </w:r>
      <w:r>
        <w:rPr>
          <w:rFonts w:hint="eastAsia" w:hAnsi="宋体"/>
          <w:szCs w:val="24"/>
        </w:rPr>
        <w:t>：</w:t>
      </w:r>
    </w:p>
    <w:p w14:paraId="166E82E1">
      <w:pPr>
        <w:spacing w:line="360" w:lineRule="auto"/>
        <w:ind w:firstLine="480" w:firstLineChars="200"/>
        <w:jc w:val="left"/>
        <w:rPr>
          <w:rFonts w:hint="eastAsia" w:hAnsi="宋体"/>
          <w:szCs w:val="24"/>
        </w:rPr>
      </w:pPr>
      <w:r>
        <w:rPr>
          <w:rFonts w:hint="eastAsia" w:hAnsi="宋体"/>
          <w:szCs w:val="24"/>
        </w:rPr>
        <w:t>（1）通用回答：能够处理开放式、多步骤任务：多源信息检索，信息收集，生活策划攻略等任务。</w:t>
      </w:r>
    </w:p>
    <w:p w14:paraId="11B9E7D3">
      <w:pPr>
        <w:spacing w:line="360" w:lineRule="auto"/>
        <w:ind w:firstLine="480" w:firstLineChars="200"/>
        <w:jc w:val="left"/>
        <w:rPr>
          <w:rFonts w:hint="eastAsia" w:hAnsi="宋体"/>
          <w:szCs w:val="24"/>
        </w:rPr>
      </w:pPr>
      <w:r>
        <w:rPr>
          <w:rFonts w:hint="eastAsia" w:hAnsi="宋体"/>
          <w:szCs w:val="24"/>
        </w:rPr>
        <w:t>（2）文稿创作：基于关键词生成专业文档，能够</w:t>
      </w:r>
      <w:r>
        <w:rPr>
          <w:rFonts w:hAnsi="宋体"/>
          <w:szCs w:val="24"/>
        </w:rPr>
        <w:t>基于多源信息进行报告、文章的生成，执行过程可视，并自动生成报告或文章</w:t>
      </w:r>
      <w:r>
        <w:rPr>
          <w:rFonts w:hint="eastAsia" w:hAnsi="宋体"/>
          <w:szCs w:val="24"/>
        </w:rPr>
        <w:t>。</w:t>
      </w:r>
    </w:p>
    <w:p w14:paraId="13EF949C">
      <w:pPr>
        <w:spacing w:line="360" w:lineRule="auto"/>
        <w:ind w:firstLine="480" w:firstLineChars="200"/>
        <w:jc w:val="left"/>
        <w:rPr>
          <w:rFonts w:hint="eastAsia" w:hAnsi="宋体"/>
          <w:szCs w:val="24"/>
        </w:rPr>
      </w:pPr>
      <w:r>
        <w:rPr>
          <w:rFonts w:hint="eastAsia" w:hAnsi="宋体"/>
          <w:szCs w:val="24"/>
        </w:rPr>
        <w:t>（3）文档解析：实现本地多类型文档即时上传的快速总结摘要，并实现对多分文档的内容的分析对比。</w:t>
      </w:r>
    </w:p>
    <w:p w14:paraId="45907AF6">
      <w:pPr>
        <w:spacing w:line="360" w:lineRule="auto"/>
        <w:ind w:firstLine="480" w:firstLineChars="200"/>
        <w:jc w:val="left"/>
        <w:rPr>
          <w:rFonts w:hint="eastAsia" w:hAnsi="宋体"/>
          <w:szCs w:val="24"/>
        </w:rPr>
      </w:pPr>
      <w:r>
        <w:rPr>
          <w:rFonts w:hint="eastAsia" w:hAnsi="宋体"/>
          <w:szCs w:val="24"/>
        </w:rPr>
        <w:t>（4）企业知识库：实现本地文档的导入与解析，形成研究院不同部门自己的知识库，且支持基于不同权限的安全管理。</w:t>
      </w:r>
    </w:p>
    <w:p w14:paraId="29466528">
      <w:pPr>
        <w:spacing w:line="360" w:lineRule="auto"/>
        <w:ind w:firstLine="480" w:firstLineChars="200"/>
        <w:jc w:val="left"/>
        <w:rPr>
          <w:rFonts w:hint="eastAsia" w:hAnsi="宋体"/>
          <w:szCs w:val="24"/>
        </w:rPr>
      </w:pPr>
      <w:r>
        <w:rPr>
          <w:rFonts w:hint="eastAsia" w:hAnsi="宋体"/>
          <w:szCs w:val="24"/>
        </w:rPr>
        <w:t>（5）多语言翻译：对上传或输入的文本进行自动检测与翻译，支持不少于14种常见语言翻译与长文本的翻译。</w:t>
      </w:r>
    </w:p>
    <w:p w14:paraId="74A103CF">
      <w:pPr>
        <w:spacing w:line="360" w:lineRule="auto"/>
        <w:ind w:firstLine="480" w:firstLineChars="200"/>
        <w:jc w:val="left"/>
        <w:rPr>
          <w:rFonts w:hint="eastAsia" w:hAnsi="宋体"/>
          <w:szCs w:val="24"/>
        </w:rPr>
      </w:pPr>
      <w:r>
        <w:rPr>
          <w:rFonts w:hint="eastAsia" w:hAnsi="宋体"/>
          <w:szCs w:val="24"/>
        </w:rPr>
        <w:t>（6）图像生成：根据自定义的</w:t>
      </w:r>
      <w:r>
        <w:rPr>
          <w:rFonts w:hAnsi="宋体"/>
          <w:szCs w:val="24"/>
        </w:rPr>
        <w:t>图像比例、风格等参数，快速生成图片</w:t>
      </w:r>
      <w:r>
        <w:rPr>
          <w:rFonts w:hint="eastAsia" w:hAnsi="宋体"/>
          <w:szCs w:val="24"/>
        </w:rPr>
        <w:t>。</w:t>
      </w:r>
    </w:p>
    <w:p w14:paraId="35C30D5C">
      <w:pPr>
        <w:spacing w:line="360" w:lineRule="auto"/>
        <w:ind w:firstLine="480" w:firstLineChars="200"/>
        <w:jc w:val="left"/>
        <w:rPr>
          <w:rFonts w:hint="eastAsia" w:hAnsi="宋体"/>
          <w:szCs w:val="24"/>
        </w:rPr>
      </w:pPr>
      <w:r>
        <w:rPr>
          <w:rFonts w:hint="eastAsia" w:hAnsi="宋体"/>
          <w:szCs w:val="24"/>
        </w:rPr>
        <w:t>3、智能体开发平台：提供智能体的开发功能，为了节约部署资源，与智慧办公智能体共用RAG知识库的向量模型、向量数据库。实现智能体无代码配置、组装与在线调试，并提供详细的调试信息/创建工作流Agent，支持将特定业务逻辑的工作流直接发布成智能体；提供智能体的评估与运营看板功能，实现对智能体多项指标的监测分析。</w:t>
      </w:r>
    </w:p>
    <w:p w14:paraId="586C9C50">
      <w:pPr>
        <w:pStyle w:val="3"/>
        <w:spacing w:line="360" w:lineRule="auto"/>
        <w:ind w:left="420"/>
        <w:rPr>
          <w:rFonts w:hint="eastAsia" w:ascii="宋体" w:hAnsi="宋体" w:eastAsia="宋体"/>
          <w:b/>
          <w:bCs/>
          <w:color w:val="auto"/>
          <w:sz w:val="28"/>
          <w:szCs w:val="28"/>
        </w:rPr>
      </w:pPr>
      <w:r>
        <w:rPr>
          <w:rFonts w:hint="eastAsia" w:ascii="宋体" w:hAnsi="宋体" w:eastAsia="宋体"/>
          <w:b/>
          <w:bCs/>
          <w:color w:val="auto"/>
          <w:sz w:val="28"/>
          <w:szCs w:val="28"/>
        </w:rPr>
        <w:t>二、软硬件设备清单及技术规范要求</w:t>
      </w:r>
    </w:p>
    <w:p w14:paraId="2E731B0B">
      <w:pPr>
        <w:pStyle w:val="2"/>
        <w:rPr>
          <w:rFonts w:hint="eastAsia"/>
        </w:rPr>
      </w:pPr>
      <w:bookmarkStart w:id="2" w:name="_GoBack"/>
    </w:p>
    <w:p w14:paraId="66FC2C04">
      <w:pPr>
        <w:rPr>
          <w:rFonts w:hint="eastAsia" w:hAnsi="宋体"/>
          <w:szCs w:val="24"/>
        </w:rPr>
      </w:pPr>
      <w:r>
        <w:rPr>
          <w:rFonts w:hint="eastAsia" w:hAnsi="宋体"/>
          <w:szCs w:val="24"/>
        </w:rPr>
        <w:br w:type="page"/>
      </w:r>
    </w:p>
    <w:bookmarkEnd w:id="2"/>
    <w:tbl>
      <w:tblPr>
        <w:tblStyle w:val="4"/>
        <w:tblpPr w:leftFromText="180" w:rightFromText="180" w:vertAnchor="text" w:horzAnchor="page" w:tblpX="1767" w:tblpY="775"/>
        <w:tblOverlap w:val="never"/>
        <w:tblW w:w="5776" w:type="pct"/>
        <w:tblInd w:w="0" w:type="dxa"/>
        <w:tblLayout w:type="fixed"/>
        <w:tblCellMar>
          <w:top w:w="0" w:type="dxa"/>
          <w:left w:w="108" w:type="dxa"/>
          <w:bottom w:w="0" w:type="dxa"/>
          <w:right w:w="108" w:type="dxa"/>
        </w:tblCellMar>
      </w:tblPr>
      <w:tblGrid>
        <w:gridCol w:w="643"/>
        <w:gridCol w:w="968"/>
        <w:gridCol w:w="6357"/>
        <w:gridCol w:w="2"/>
        <w:gridCol w:w="506"/>
        <w:gridCol w:w="2"/>
        <w:gridCol w:w="596"/>
        <w:gridCol w:w="3"/>
        <w:gridCol w:w="520"/>
        <w:gridCol w:w="11"/>
        <w:gridCol w:w="1"/>
        <w:gridCol w:w="236"/>
      </w:tblGrid>
      <w:tr w14:paraId="1861EC65">
        <w:tblPrEx>
          <w:tblCellMar>
            <w:top w:w="0" w:type="dxa"/>
            <w:left w:w="108" w:type="dxa"/>
            <w:bottom w:w="0" w:type="dxa"/>
            <w:right w:w="108" w:type="dxa"/>
          </w:tblCellMar>
        </w:tblPrEx>
        <w:trPr>
          <w:gridAfter w:val="3"/>
          <w:wAfter w:w="125" w:type="pct"/>
          <w:trHeight w:val="629" w:hRule="atLeast"/>
        </w:trPr>
        <w:tc>
          <w:tcPr>
            <w:tcW w:w="326" w:type="pct"/>
            <w:tcBorders>
              <w:top w:val="single" w:color="auto" w:sz="4" w:space="0"/>
              <w:left w:val="single" w:color="auto" w:sz="4" w:space="0"/>
              <w:bottom w:val="single" w:color="auto" w:sz="4" w:space="0"/>
              <w:right w:val="single" w:color="auto" w:sz="4" w:space="0"/>
            </w:tcBorders>
            <w:shd w:val="clear" w:color="000000" w:fill="FFFFFF"/>
            <w:vAlign w:val="center"/>
          </w:tcPr>
          <w:p w14:paraId="0E985C1B">
            <w:pPr>
              <w:widowControl/>
              <w:spacing w:line="360" w:lineRule="auto"/>
              <w:jc w:val="center"/>
              <w:rPr>
                <w:rFonts w:hint="eastAsia" w:hAnsi="宋体" w:cs="宋体"/>
                <w:b/>
                <w:bCs/>
                <w:szCs w:val="21"/>
              </w:rPr>
            </w:pPr>
            <w:r>
              <w:rPr>
                <w:rFonts w:hAnsi="宋体" w:cs="宋体"/>
                <w:b/>
                <w:bCs/>
                <w:szCs w:val="21"/>
              </w:rPr>
              <w:t>序号</w:t>
            </w:r>
          </w:p>
        </w:tc>
        <w:tc>
          <w:tcPr>
            <w:tcW w:w="491" w:type="pct"/>
            <w:tcBorders>
              <w:top w:val="single" w:color="auto" w:sz="4" w:space="0"/>
              <w:left w:val="nil"/>
              <w:bottom w:val="single" w:color="auto" w:sz="4" w:space="0"/>
              <w:right w:val="single" w:color="auto" w:sz="4" w:space="0"/>
            </w:tcBorders>
            <w:shd w:val="clear" w:color="000000" w:fill="FFFFFF"/>
            <w:vAlign w:val="center"/>
          </w:tcPr>
          <w:p w14:paraId="5BA6DA37">
            <w:pPr>
              <w:widowControl/>
              <w:spacing w:line="360" w:lineRule="auto"/>
              <w:jc w:val="center"/>
              <w:rPr>
                <w:rFonts w:hint="eastAsia" w:hAnsi="宋体" w:cs="宋体"/>
                <w:b/>
                <w:bCs/>
                <w:szCs w:val="21"/>
              </w:rPr>
            </w:pPr>
            <w:r>
              <w:rPr>
                <w:rFonts w:hAnsi="宋体" w:cs="宋体"/>
                <w:b/>
                <w:bCs/>
                <w:szCs w:val="21"/>
              </w:rPr>
              <w:t>设备名称/类型</w:t>
            </w:r>
          </w:p>
        </w:tc>
        <w:tc>
          <w:tcPr>
            <w:tcW w:w="3228" w:type="pct"/>
            <w:tcBorders>
              <w:top w:val="single" w:color="auto" w:sz="4" w:space="0"/>
              <w:left w:val="nil"/>
              <w:bottom w:val="single" w:color="auto" w:sz="4" w:space="0"/>
              <w:right w:val="single" w:color="auto" w:sz="4" w:space="0"/>
            </w:tcBorders>
            <w:shd w:val="clear" w:color="auto" w:fill="FFFFFF" w:themeFill="background1"/>
            <w:vAlign w:val="center"/>
          </w:tcPr>
          <w:p w14:paraId="3685C712">
            <w:pPr>
              <w:widowControl/>
              <w:spacing w:line="360" w:lineRule="auto"/>
              <w:jc w:val="center"/>
              <w:rPr>
                <w:rFonts w:hint="eastAsia" w:hAnsi="宋体" w:cs="宋体"/>
                <w:b/>
                <w:bCs/>
                <w:szCs w:val="21"/>
              </w:rPr>
            </w:pPr>
            <w:r>
              <w:rPr>
                <w:rFonts w:hAnsi="宋体" w:cs="宋体"/>
                <w:b/>
                <w:bCs/>
                <w:szCs w:val="21"/>
              </w:rPr>
              <w:t>详细要求</w:t>
            </w:r>
          </w:p>
        </w:tc>
        <w:tc>
          <w:tcPr>
            <w:tcW w:w="257" w:type="pct"/>
            <w:gridSpan w:val="2"/>
            <w:tcBorders>
              <w:top w:val="single" w:color="auto" w:sz="4" w:space="0"/>
              <w:left w:val="nil"/>
              <w:bottom w:val="single" w:color="auto" w:sz="4" w:space="0"/>
              <w:right w:val="single" w:color="auto" w:sz="4" w:space="0"/>
            </w:tcBorders>
            <w:shd w:val="clear" w:color="000000" w:fill="FFFFFF"/>
            <w:vAlign w:val="center"/>
          </w:tcPr>
          <w:p w14:paraId="4A2BCF3E">
            <w:pPr>
              <w:widowControl/>
              <w:spacing w:line="360" w:lineRule="auto"/>
              <w:jc w:val="center"/>
              <w:rPr>
                <w:rFonts w:hint="eastAsia" w:hAnsi="宋体" w:cs="宋体"/>
                <w:b/>
                <w:bCs/>
                <w:szCs w:val="21"/>
              </w:rPr>
            </w:pPr>
            <w:r>
              <w:rPr>
                <w:rFonts w:hAnsi="宋体" w:cs="宋体"/>
                <w:b/>
                <w:bCs/>
                <w:szCs w:val="21"/>
              </w:rPr>
              <w:t>数量</w:t>
            </w:r>
          </w:p>
        </w:tc>
        <w:tc>
          <w:tcPr>
            <w:tcW w:w="303" w:type="pct"/>
            <w:gridSpan w:val="2"/>
            <w:tcBorders>
              <w:top w:val="single" w:color="auto" w:sz="4" w:space="0"/>
              <w:left w:val="nil"/>
              <w:bottom w:val="single" w:color="auto" w:sz="4" w:space="0"/>
              <w:right w:val="single" w:color="auto" w:sz="4" w:space="0"/>
            </w:tcBorders>
            <w:shd w:val="clear" w:color="000000" w:fill="FFFFFF"/>
            <w:vAlign w:val="center"/>
          </w:tcPr>
          <w:p w14:paraId="775AFDFC">
            <w:pPr>
              <w:widowControl/>
              <w:spacing w:line="360" w:lineRule="auto"/>
              <w:jc w:val="center"/>
              <w:rPr>
                <w:rFonts w:hint="eastAsia" w:hAnsi="宋体" w:cs="宋体"/>
                <w:b/>
                <w:bCs/>
                <w:szCs w:val="21"/>
              </w:rPr>
            </w:pPr>
            <w:r>
              <w:rPr>
                <w:rFonts w:hAnsi="宋体" w:cs="宋体"/>
                <w:b/>
                <w:bCs/>
                <w:szCs w:val="21"/>
              </w:rPr>
              <w:t>单位</w:t>
            </w:r>
          </w:p>
        </w:tc>
        <w:tc>
          <w:tcPr>
            <w:tcW w:w="265" w:type="pct"/>
            <w:gridSpan w:val="2"/>
            <w:tcBorders>
              <w:top w:val="single" w:color="auto" w:sz="4" w:space="0"/>
              <w:left w:val="nil"/>
              <w:bottom w:val="single" w:color="auto" w:sz="4" w:space="0"/>
              <w:right w:val="single" w:color="auto" w:sz="4" w:space="0"/>
            </w:tcBorders>
            <w:shd w:val="clear" w:color="000000" w:fill="FFFFFF"/>
            <w:vAlign w:val="center"/>
          </w:tcPr>
          <w:p w14:paraId="1F427251">
            <w:pPr>
              <w:widowControl/>
              <w:spacing w:line="360" w:lineRule="auto"/>
              <w:jc w:val="center"/>
              <w:rPr>
                <w:rFonts w:hint="eastAsia" w:hAnsi="宋体" w:cs="宋体"/>
                <w:b/>
                <w:bCs/>
                <w:szCs w:val="21"/>
              </w:rPr>
            </w:pPr>
            <w:r>
              <w:rPr>
                <w:rFonts w:hAnsi="宋体" w:cs="宋体"/>
                <w:b/>
                <w:bCs/>
                <w:szCs w:val="21"/>
              </w:rPr>
              <w:t>备注</w:t>
            </w:r>
          </w:p>
        </w:tc>
      </w:tr>
      <w:tr w14:paraId="3CABA328">
        <w:tblPrEx>
          <w:tblCellMar>
            <w:top w:w="0" w:type="dxa"/>
            <w:left w:w="108" w:type="dxa"/>
            <w:bottom w:w="0" w:type="dxa"/>
            <w:right w:w="108" w:type="dxa"/>
          </w:tblCellMar>
        </w:tblPrEx>
        <w:trPr>
          <w:gridAfter w:val="2"/>
          <w:wAfter w:w="120" w:type="pct"/>
          <w:trHeight w:val="20" w:hRule="atLeast"/>
        </w:trPr>
        <w:tc>
          <w:tcPr>
            <w:tcW w:w="4879" w:type="pct"/>
            <w:gridSpan w:val="10"/>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5673359C">
            <w:pPr>
              <w:widowControl/>
              <w:spacing w:line="360" w:lineRule="auto"/>
              <w:jc w:val="center"/>
              <w:rPr>
                <w:rFonts w:hint="eastAsia" w:hAnsi="宋体" w:cs="宋体"/>
                <w:b/>
                <w:bCs/>
                <w:color w:val="000000"/>
                <w:szCs w:val="21"/>
              </w:rPr>
            </w:pPr>
            <w:r>
              <w:rPr>
                <w:rFonts w:hAnsi="宋体" w:cs="宋体"/>
                <w:b/>
                <w:bCs/>
                <w:color w:val="000000"/>
                <w:szCs w:val="21"/>
              </w:rPr>
              <w:t>一、底层平台</w:t>
            </w:r>
          </w:p>
        </w:tc>
      </w:tr>
      <w:tr w14:paraId="12520BA6">
        <w:tblPrEx>
          <w:tblCellMar>
            <w:top w:w="0" w:type="dxa"/>
            <w:left w:w="108" w:type="dxa"/>
            <w:bottom w:w="0" w:type="dxa"/>
            <w:right w:w="108" w:type="dxa"/>
          </w:tblCellMar>
        </w:tblPrEx>
        <w:trPr>
          <w:gridAfter w:val="2"/>
          <w:wAfter w:w="120" w:type="pct"/>
          <w:trHeight w:val="20" w:hRule="atLeast"/>
        </w:trPr>
        <w:tc>
          <w:tcPr>
            <w:tcW w:w="4879" w:type="pct"/>
            <w:gridSpan w:val="10"/>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785D0D94">
            <w:pPr>
              <w:widowControl/>
              <w:spacing w:line="360" w:lineRule="auto"/>
              <w:jc w:val="left"/>
              <w:rPr>
                <w:rFonts w:hint="eastAsia" w:hAnsi="宋体" w:cs="宋体"/>
                <w:b/>
                <w:bCs/>
                <w:color w:val="000000"/>
                <w:szCs w:val="21"/>
              </w:rPr>
            </w:pPr>
            <w:r>
              <w:rPr>
                <w:rFonts w:hAnsi="宋体" w:cs="宋体"/>
                <w:b/>
                <w:bCs/>
                <w:color w:val="000000"/>
                <w:szCs w:val="21"/>
              </w:rPr>
              <w:t>1、平台配置</w:t>
            </w:r>
          </w:p>
        </w:tc>
      </w:tr>
      <w:tr w14:paraId="78331E3D">
        <w:tblPrEx>
          <w:tblCellMar>
            <w:top w:w="0" w:type="dxa"/>
            <w:left w:w="108" w:type="dxa"/>
            <w:bottom w:w="0" w:type="dxa"/>
            <w:right w:w="108" w:type="dxa"/>
          </w:tblCellMar>
        </w:tblPrEx>
        <w:trPr>
          <w:gridAfter w:val="3"/>
          <w:wAfter w:w="125" w:type="pct"/>
          <w:trHeight w:val="20" w:hRule="atLeast"/>
        </w:trPr>
        <w:tc>
          <w:tcPr>
            <w:tcW w:w="326" w:type="pct"/>
            <w:tcBorders>
              <w:top w:val="nil"/>
              <w:left w:val="single" w:color="auto" w:sz="4" w:space="0"/>
              <w:bottom w:val="single" w:color="auto" w:sz="4" w:space="0"/>
              <w:right w:val="single" w:color="auto" w:sz="4" w:space="0"/>
            </w:tcBorders>
            <w:shd w:val="clear" w:color="000000" w:fill="FFFFFF"/>
            <w:noWrap/>
            <w:vAlign w:val="center"/>
          </w:tcPr>
          <w:p w14:paraId="256A343D">
            <w:pPr>
              <w:widowControl/>
              <w:spacing w:line="360" w:lineRule="auto"/>
              <w:jc w:val="center"/>
              <w:rPr>
                <w:rFonts w:hint="eastAsia" w:hAnsi="宋体" w:cs="宋体"/>
                <w:color w:val="000000"/>
                <w:szCs w:val="21"/>
                <w:highlight w:val="none"/>
              </w:rPr>
            </w:pPr>
            <w:r>
              <w:rPr>
                <w:rFonts w:hAnsi="宋体" w:cs="宋体"/>
                <w:color w:val="000000"/>
                <w:szCs w:val="21"/>
                <w:highlight w:val="none"/>
              </w:rPr>
              <w:t>1</w:t>
            </w:r>
          </w:p>
        </w:tc>
        <w:tc>
          <w:tcPr>
            <w:tcW w:w="491" w:type="pct"/>
            <w:tcBorders>
              <w:top w:val="nil"/>
              <w:left w:val="nil"/>
              <w:bottom w:val="single" w:color="auto" w:sz="4" w:space="0"/>
              <w:right w:val="single" w:color="auto" w:sz="4" w:space="0"/>
            </w:tcBorders>
            <w:shd w:val="clear" w:color="000000" w:fill="FFFFFF"/>
            <w:vAlign w:val="center"/>
          </w:tcPr>
          <w:p w14:paraId="2F364558">
            <w:pPr>
              <w:widowControl/>
              <w:spacing w:line="360" w:lineRule="auto"/>
              <w:jc w:val="center"/>
              <w:rPr>
                <w:rFonts w:hAnsi="宋体" w:cs="宋体"/>
                <w:color w:val="000000"/>
                <w:szCs w:val="21"/>
                <w:highlight w:val="none"/>
              </w:rPr>
            </w:pPr>
            <w:r>
              <w:rPr>
                <w:rFonts w:hAnsi="宋体" w:cs="宋体"/>
                <w:color w:val="000000"/>
                <w:szCs w:val="21"/>
                <w:highlight w:val="none"/>
              </w:rPr>
              <w:t>AI服务器</w:t>
            </w:r>
          </w:p>
          <w:p w14:paraId="428483FC">
            <w:pPr>
              <w:widowControl/>
              <w:spacing w:line="360" w:lineRule="auto"/>
              <w:jc w:val="center"/>
              <w:rPr>
                <w:rFonts w:hint="eastAsia" w:hAnsi="宋体" w:eastAsia="宋体" w:cs="宋体"/>
                <w:color w:val="000000"/>
                <w:szCs w:val="21"/>
                <w:highlight w:val="none"/>
                <w:lang w:eastAsia="zh-CN"/>
              </w:rPr>
            </w:pPr>
            <w:r>
              <w:rPr>
                <w:rFonts w:hint="eastAsia" w:hAnsi="宋体" w:cs="宋体"/>
                <w:color w:val="000000"/>
                <w:szCs w:val="21"/>
                <w:highlight w:val="none"/>
                <w:lang w:eastAsia="zh-CN"/>
              </w:rPr>
              <w:t>（</w:t>
            </w:r>
            <w:r>
              <w:rPr>
                <w:rFonts w:hint="eastAsia" w:hAnsi="宋体" w:cs="宋体"/>
                <w:color w:val="000000"/>
                <w:szCs w:val="21"/>
                <w:highlight w:val="none"/>
                <w:lang w:val="en-US" w:eastAsia="zh-CN"/>
              </w:rPr>
              <w:t>核心产品</w:t>
            </w:r>
            <w:r>
              <w:rPr>
                <w:rFonts w:hint="eastAsia" w:hAnsi="宋体" w:cs="宋体"/>
                <w:color w:val="000000"/>
                <w:szCs w:val="21"/>
                <w:highlight w:val="none"/>
                <w:lang w:eastAsia="zh-CN"/>
              </w:rPr>
              <w:t>）</w:t>
            </w:r>
          </w:p>
        </w:tc>
        <w:tc>
          <w:tcPr>
            <w:tcW w:w="3228" w:type="pct"/>
            <w:tcBorders>
              <w:top w:val="nil"/>
              <w:left w:val="nil"/>
              <w:bottom w:val="single" w:color="auto" w:sz="4" w:space="0"/>
              <w:right w:val="single" w:color="auto" w:sz="4" w:space="0"/>
            </w:tcBorders>
            <w:shd w:val="clear" w:color="auto" w:fill="FFFFFF" w:themeFill="background1"/>
            <w:vAlign w:val="center"/>
          </w:tcPr>
          <w:p w14:paraId="150AA865">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1.</w:t>
            </w:r>
            <w:r>
              <w:rPr>
                <w:rFonts w:hint="eastAsia" w:hAnsi="宋体" w:cs="宋体"/>
                <w:szCs w:val="21"/>
                <w:highlight w:val="none"/>
              </w:rPr>
              <w:t>≤4U机架式服务器</w:t>
            </w:r>
          </w:p>
          <w:p w14:paraId="02E0A996">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2.</w:t>
            </w:r>
            <w:r>
              <w:rPr>
                <w:rFonts w:hint="eastAsia" w:hAnsi="宋体"/>
                <w:szCs w:val="21"/>
                <w:highlight w:val="none"/>
              </w:rPr>
              <w:t>★</w:t>
            </w:r>
            <w:r>
              <w:rPr>
                <w:rFonts w:hint="eastAsia" w:hAnsi="宋体" w:cs="宋体"/>
                <w:szCs w:val="21"/>
                <w:highlight w:val="none"/>
              </w:rPr>
              <w:t>≥</w:t>
            </w:r>
            <w:r>
              <w:rPr>
                <w:rFonts w:hAnsi="宋体" w:cs="宋体"/>
                <w:szCs w:val="21"/>
                <w:highlight w:val="none"/>
              </w:rPr>
              <w:t>2颗</w:t>
            </w:r>
            <w:r>
              <w:rPr>
                <w:rFonts w:hint="eastAsia" w:hAnsi="宋体" w:cs="宋体"/>
                <w:szCs w:val="21"/>
                <w:highlight w:val="none"/>
              </w:rPr>
              <w:t>国产处理器，单颗处理器≥</w:t>
            </w:r>
            <w:r>
              <w:rPr>
                <w:rFonts w:hAnsi="宋体" w:cs="宋体"/>
                <w:szCs w:val="21"/>
                <w:highlight w:val="none"/>
              </w:rPr>
              <w:t>64</w:t>
            </w:r>
            <w:r>
              <w:rPr>
                <w:rFonts w:hint="eastAsia" w:hAnsi="宋体" w:cs="宋体"/>
                <w:szCs w:val="21"/>
                <w:highlight w:val="none"/>
              </w:rPr>
              <w:t>核心，主频≥</w:t>
            </w:r>
            <w:r>
              <w:rPr>
                <w:rFonts w:hAnsi="宋体" w:cs="宋体"/>
                <w:szCs w:val="21"/>
                <w:highlight w:val="none"/>
              </w:rPr>
              <w:t>2.7GH</w:t>
            </w:r>
            <w:r>
              <w:rPr>
                <w:rFonts w:hint="eastAsia" w:hAnsi="宋体" w:cs="宋体"/>
                <w:szCs w:val="21"/>
                <w:highlight w:val="none"/>
              </w:rPr>
              <w:t>z，处理器通过中国信息安全测评中心评测，处理器提供构建信任链能力，实现从硬件启动到系统运行整个过程的安全行和完整性，提供官方证明材料；</w:t>
            </w:r>
          </w:p>
          <w:p w14:paraId="25DA0BC2">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3.</w:t>
            </w:r>
            <w:r>
              <w:rPr>
                <w:rFonts w:hint="eastAsia" w:hAnsi="宋体"/>
                <w:szCs w:val="21"/>
                <w:highlight w:val="none"/>
              </w:rPr>
              <w:t>★</w:t>
            </w:r>
            <w:r>
              <w:rPr>
                <w:rFonts w:hint="eastAsia" w:hAnsi="宋体" w:cs="宋体"/>
                <w:szCs w:val="21"/>
                <w:highlight w:val="none"/>
              </w:rPr>
              <w:t>≥1024GB DDR5 5600MHz内存，单根内存容量≥64GB；</w:t>
            </w:r>
          </w:p>
          <w:p w14:paraId="1B7E576B">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4.</w:t>
            </w:r>
            <w:r>
              <w:rPr>
                <w:rFonts w:hint="eastAsia" w:hAnsi="宋体" w:cs="宋体"/>
                <w:szCs w:val="21"/>
                <w:highlight w:val="none"/>
              </w:rPr>
              <w:t>≥1块RAID卡，含</w:t>
            </w:r>
            <w:r>
              <w:rPr>
                <w:rFonts w:hAnsi="宋体" w:cs="宋体"/>
                <w:szCs w:val="21"/>
                <w:highlight w:val="none"/>
              </w:rPr>
              <w:t>4G缓存 Raid(含电池)</w:t>
            </w:r>
            <w:r>
              <w:rPr>
                <w:rFonts w:hint="eastAsia" w:hAnsi="宋体" w:cs="宋体"/>
                <w:szCs w:val="21"/>
                <w:highlight w:val="none"/>
              </w:rPr>
              <w:t>，支持RAID 0、1、5、10、50、6、60；</w:t>
            </w:r>
          </w:p>
          <w:p w14:paraId="010DC84C">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5.</w:t>
            </w:r>
            <w:r>
              <w:rPr>
                <w:rFonts w:hint="eastAsia" w:hAnsi="宋体" w:cs="宋体"/>
                <w:szCs w:val="21"/>
                <w:highlight w:val="none"/>
              </w:rPr>
              <w:t>≥4块</w:t>
            </w:r>
            <w:r>
              <w:rPr>
                <w:rFonts w:hAnsi="宋体" w:cs="宋体"/>
                <w:szCs w:val="21"/>
                <w:highlight w:val="none"/>
              </w:rPr>
              <w:t>3.84T N</w:t>
            </w:r>
            <w:r>
              <w:rPr>
                <w:rFonts w:hint="eastAsia" w:hAnsi="宋体" w:cs="宋体"/>
                <w:szCs w:val="21"/>
                <w:highlight w:val="none"/>
              </w:rPr>
              <w:t>VMe</w:t>
            </w:r>
            <w:r>
              <w:rPr>
                <w:rFonts w:hAnsi="宋体" w:cs="宋体"/>
                <w:szCs w:val="21"/>
                <w:highlight w:val="none"/>
              </w:rPr>
              <w:t xml:space="preserve"> SSD 3.5</w:t>
            </w:r>
            <w:r>
              <w:rPr>
                <w:rFonts w:hint="eastAsia" w:hAnsi="宋体" w:cs="宋体"/>
                <w:szCs w:val="21"/>
                <w:highlight w:val="none"/>
              </w:rPr>
              <w:t>英寸；</w:t>
            </w:r>
          </w:p>
          <w:p w14:paraId="5DE31A0C">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6.</w:t>
            </w:r>
            <w:r>
              <w:rPr>
                <w:rFonts w:hint="eastAsia" w:hAnsi="宋体" w:cs="宋体"/>
                <w:szCs w:val="21"/>
                <w:highlight w:val="none"/>
              </w:rPr>
              <w:t>≥2块</w:t>
            </w:r>
            <w:r>
              <w:rPr>
                <w:rFonts w:hAnsi="宋体" w:cs="宋体"/>
                <w:szCs w:val="21"/>
                <w:highlight w:val="none"/>
              </w:rPr>
              <w:t xml:space="preserve">960G SATA SSD 3DWPD 3.5 </w:t>
            </w:r>
            <w:r>
              <w:rPr>
                <w:rFonts w:hint="eastAsia" w:hAnsi="宋体" w:cs="宋体"/>
                <w:szCs w:val="21"/>
                <w:highlight w:val="none"/>
              </w:rPr>
              <w:t>英寸；</w:t>
            </w:r>
          </w:p>
          <w:p w14:paraId="029E91B5">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7.</w:t>
            </w:r>
            <w:r>
              <w:rPr>
                <w:rFonts w:hint="eastAsia" w:hAnsi="宋体" w:cs="宋体"/>
                <w:szCs w:val="21"/>
                <w:highlight w:val="none"/>
              </w:rPr>
              <w:t>≥1块</w:t>
            </w:r>
            <w:r>
              <w:rPr>
                <w:rFonts w:hAnsi="宋体" w:cs="宋体"/>
                <w:szCs w:val="21"/>
                <w:highlight w:val="none"/>
              </w:rPr>
              <w:t>双口 25G</w:t>
            </w:r>
            <w:r>
              <w:rPr>
                <w:rFonts w:hint="eastAsia" w:hAnsi="宋体" w:cs="宋体"/>
                <w:szCs w:val="21"/>
                <w:highlight w:val="none"/>
              </w:rPr>
              <w:t>以太网卡</w:t>
            </w:r>
            <w:r>
              <w:rPr>
                <w:rFonts w:hAnsi="宋体" w:cs="宋体"/>
                <w:szCs w:val="21"/>
                <w:highlight w:val="none"/>
              </w:rPr>
              <w:t>(</w:t>
            </w:r>
            <w:r>
              <w:rPr>
                <w:rFonts w:hint="eastAsia" w:hAnsi="宋体" w:cs="宋体"/>
                <w:szCs w:val="21"/>
                <w:highlight w:val="none"/>
              </w:rPr>
              <w:t>含</w:t>
            </w:r>
            <w:r>
              <w:rPr>
                <w:rFonts w:hAnsi="宋体" w:cs="宋体"/>
                <w:szCs w:val="21"/>
                <w:highlight w:val="none"/>
              </w:rPr>
              <w:t>2个25G模块)</w:t>
            </w:r>
            <w:r>
              <w:rPr>
                <w:rFonts w:hint="eastAsia" w:hAnsi="宋体" w:cs="宋体"/>
                <w:szCs w:val="21"/>
                <w:highlight w:val="none"/>
              </w:rPr>
              <w:t>；</w:t>
            </w:r>
          </w:p>
          <w:p w14:paraId="5B58CE63">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8.</w:t>
            </w:r>
            <w:r>
              <w:rPr>
                <w:rFonts w:hint="eastAsia" w:hAnsi="宋体"/>
                <w:szCs w:val="21"/>
                <w:highlight w:val="none"/>
              </w:rPr>
              <w:t>★配置不低于</w:t>
            </w:r>
            <w:r>
              <w:rPr>
                <w:rFonts w:hAnsi="宋体" w:cs="宋体"/>
                <w:szCs w:val="21"/>
                <w:highlight w:val="none"/>
              </w:rPr>
              <w:t xml:space="preserve">8块 64G </w:t>
            </w:r>
            <w:r>
              <w:rPr>
                <w:rFonts w:hint="eastAsia" w:hAnsi="宋体" w:cs="宋体"/>
                <w:szCs w:val="21"/>
                <w:highlight w:val="none"/>
              </w:rPr>
              <w:t>国产</w:t>
            </w:r>
            <w:r>
              <w:rPr>
                <w:rFonts w:hAnsi="宋体" w:cs="宋体"/>
                <w:szCs w:val="21"/>
                <w:highlight w:val="none"/>
              </w:rPr>
              <w:t>GPU</w:t>
            </w:r>
            <w:r>
              <w:rPr>
                <w:rFonts w:hint="eastAsia" w:hAnsi="宋体" w:cs="宋体"/>
                <w:szCs w:val="21"/>
                <w:highlight w:val="none"/>
              </w:rPr>
              <w:t>卡</w:t>
            </w:r>
            <w:r>
              <w:rPr>
                <w:rFonts w:hAnsi="宋体" w:cs="宋体"/>
                <w:szCs w:val="21"/>
                <w:highlight w:val="none"/>
              </w:rPr>
              <w:t>，INT8算力不低于5440 TOPS</w:t>
            </w:r>
            <w:r>
              <w:rPr>
                <w:rFonts w:hint="eastAsia" w:hAnsi="宋体" w:cs="宋体"/>
                <w:szCs w:val="21"/>
                <w:highlight w:val="none"/>
              </w:rPr>
              <w:t>；</w:t>
            </w:r>
          </w:p>
          <w:p w14:paraId="7C80013E">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9.</w:t>
            </w:r>
            <w:r>
              <w:rPr>
                <w:rFonts w:hint="eastAsia" w:hAnsi="宋体" w:cs="宋体"/>
                <w:szCs w:val="21"/>
                <w:highlight w:val="none"/>
              </w:rPr>
              <w:t>≥</w:t>
            </w:r>
            <w:r>
              <w:rPr>
                <w:rFonts w:hAnsi="宋体" w:cs="宋体"/>
                <w:szCs w:val="21"/>
                <w:highlight w:val="none"/>
              </w:rPr>
              <w:t>4x3200W 铂金电源</w:t>
            </w:r>
            <w:r>
              <w:rPr>
                <w:rFonts w:hint="eastAsia" w:hAnsi="宋体" w:cs="宋体"/>
                <w:szCs w:val="21"/>
                <w:highlight w:val="none"/>
              </w:rPr>
              <w:t>，配套电源线</w:t>
            </w:r>
          </w:p>
          <w:p w14:paraId="47DEBC0C">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10.</w:t>
            </w:r>
            <w:r>
              <w:rPr>
                <w:rFonts w:hint="eastAsia" w:hAnsi="宋体" w:cs="宋体"/>
                <w:szCs w:val="21"/>
                <w:highlight w:val="none"/>
              </w:rPr>
              <w:t>≥</w:t>
            </w:r>
            <w:r>
              <w:rPr>
                <w:rFonts w:hAnsi="宋体" w:cs="宋体"/>
                <w:szCs w:val="21"/>
                <w:highlight w:val="none"/>
              </w:rPr>
              <w:t>3年7*24小时售后服务，含3年硬盘不返还</w:t>
            </w:r>
            <w:r>
              <w:rPr>
                <w:rFonts w:hint="eastAsia" w:hAnsi="宋体" w:cs="宋体"/>
                <w:szCs w:val="21"/>
                <w:highlight w:val="none"/>
              </w:rPr>
              <w:t>；</w:t>
            </w:r>
          </w:p>
          <w:p w14:paraId="7134D3CB">
            <w:pPr>
              <w:pStyle w:val="6"/>
              <w:widowControl/>
              <w:spacing w:line="360" w:lineRule="auto"/>
              <w:ind w:left="440" w:hanging="440"/>
              <w:jc w:val="left"/>
              <w:rPr>
                <w:rFonts w:hint="eastAsia" w:hAnsi="宋体" w:cs="宋体"/>
                <w:szCs w:val="21"/>
                <w:highlight w:val="none"/>
              </w:rPr>
            </w:pPr>
            <w:r>
              <w:rPr>
                <w:rFonts w:hint="eastAsia" w:hAnsi="宋体" w:cs="宋体"/>
                <w:sz w:val="21"/>
                <w:szCs w:val="21"/>
                <w:highlight w:val="none"/>
              </w:rPr>
              <w:t>11.</w:t>
            </w:r>
            <w:r>
              <w:rPr>
                <w:rFonts w:hint="eastAsia" w:hAnsi="宋体" w:cs="宋体"/>
                <w:szCs w:val="21"/>
                <w:highlight w:val="none"/>
              </w:rPr>
              <w:t>安装正版国产操作系统</w:t>
            </w:r>
          </w:p>
        </w:tc>
        <w:tc>
          <w:tcPr>
            <w:tcW w:w="257" w:type="pct"/>
            <w:gridSpan w:val="2"/>
            <w:tcBorders>
              <w:top w:val="nil"/>
              <w:left w:val="nil"/>
              <w:bottom w:val="single" w:color="auto" w:sz="4" w:space="0"/>
              <w:right w:val="single" w:color="auto" w:sz="4" w:space="0"/>
            </w:tcBorders>
            <w:shd w:val="clear" w:color="000000" w:fill="FFFFFF"/>
            <w:vAlign w:val="center"/>
          </w:tcPr>
          <w:p w14:paraId="2490B724">
            <w:pPr>
              <w:widowControl/>
              <w:spacing w:line="360" w:lineRule="auto"/>
              <w:jc w:val="center"/>
              <w:rPr>
                <w:rFonts w:hint="eastAsia" w:hAnsi="宋体" w:cs="宋体"/>
                <w:color w:val="000000"/>
                <w:szCs w:val="21"/>
                <w:highlight w:val="none"/>
              </w:rPr>
            </w:pPr>
            <w:r>
              <w:rPr>
                <w:rFonts w:hAnsi="宋体" w:cs="宋体"/>
                <w:color w:val="000000"/>
                <w:szCs w:val="21"/>
                <w:highlight w:val="none"/>
              </w:rPr>
              <w:t>1</w:t>
            </w:r>
          </w:p>
        </w:tc>
        <w:tc>
          <w:tcPr>
            <w:tcW w:w="303" w:type="pct"/>
            <w:gridSpan w:val="2"/>
            <w:tcBorders>
              <w:top w:val="nil"/>
              <w:left w:val="nil"/>
              <w:bottom w:val="single" w:color="auto" w:sz="4" w:space="0"/>
              <w:right w:val="single" w:color="auto" w:sz="4" w:space="0"/>
            </w:tcBorders>
            <w:shd w:val="clear" w:color="000000" w:fill="FFFFFF"/>
            <w:noWrap/>
            <w:vAlign w:val="center"/>
          </w:tcPr>
          <w:p w14:paraId="7F959DA7">
            <w:pPr>
              <w:widowControl/>
              <w:spacing w:line="360" w:lineRule="auto"/>
              <w:jc w:val="center"/>
              <w:rPr>
                <w:rFonts w:hint="eastAsia" w:hAnsi="宋体" w:cs="宋体"/>
                <w:color w:val="000000"/>
                <w:szCs w:val="21"/>
                <w:highlight w:val="none"/>
              </w:rPr>
            </w:pPr>
            <w:r>
              <w:rPr>
                <w:rFonts w:hAnsi="宋体" w:cs="宋体"/>
                <w:color w:val="000000"/>
                <w:szCs w:val="21"/>
                <w:highlight w:val="none"/>
              </w:rPr>
              <w:t>台</w:t>
            </w:r>
          </w:p>
        </w:tc>
        <w:tc>
          <w:tcPr>
            <w:tcW w:w="265" w:type="pct"/>
            <w:gridSpan w:val="2"/>
            <w:tcBorders>
              <w:top w:val="nil"/>
              <w:left w:val="nil"/>
              <w:bottom w:val="single" w:color="auto" w:sz="4" w:space="0"/>
              <w:right w:val="single" w:color="auto" w:sz="4" w:space="0"/>
            </w:tcBorders>
            <w:shd w:val="clear" w:color="000000" w:fill="FFFFFF"/>
            <w:vAlign w:val="center"/>
          </w:tcPr>
          <w:p w14:paraId="4055FFBC">
            <w:pPr>
              <w:widowControl/>
              <w:spacing w:line="360" w:lineRule="auto"/>
              <w:jc w:val="left"/>
              <w:rPr>
                <w:rFonts w:hint="eastAsia" w:hAnsi="宋体" w:cs="宋体"/>
                <w:color w:val="FF0000"/>
                <w:szCs w:val="21"/>
                <w:highlight w:val="none"/>
              </w:rPr>
            </w:pPr>
          </w:p>
        </w:tc>
      </w:tr>
      <w:tr w14:paraId="0BC0485A">
        <w:tblPrEx>
          <w:tblCellMar>
            <w:top w:w="0" w:type="dxa"/>
            <w:left w:w="108" w:type="dxa"/>
            <w:bottom w:w="0" w:type="dxa"/>
            <w:right w:w="108" w:type="dxa"/>
          </w:tblCellMar>
        </w:tblPrEx>
        <w:trPr>
          <w:gridAfter w:val="3"/>
          <w:wAfter w:w="125" w:type="pct"/>
          <w:trHeight w:val="20" w:hRule="atLeast"/>
        </w:trPr>
        <w:tc>
          <w:tcPr>
            <w:tcW w:w="326" w:type="pct"/>
            <w:tcBorders>
              <w:top w:val="nil"/>
              <w:left w:val="single" w:color="auto" w:sz="4" w:space="0"/>
              <w:bottom w:val="nil"/>
              <w:right w:val="single" w:color="auto" w:sz="4" w:space="0"/>
            </w:tcBorders>
            <w:shd w:val="clear" w:color="000000" w:fill="FFFFFF"/>
            <w:vAlign w:val="center"/>
          </w:tcPr>
          <w:p w14:paraId="29ABC6C0">
            <w:pPr>
              <w:widowControl/>
              <w:spacing w:line="360" w:lineRule="auto"/>
              <w:jc w:val="center"/>
              <w:rPr>
                <w:rFonts w:hint="eastAsia" w:hAnsi="宋体" w:cs="宋体"/>
                <w:color w:val="000000"/>
                <w:szCs w:val="21"/>
              </w:rPr>
            </w:pPr>
            <w:r>
              <w:rPr>
                <w:rFonts w:hAnsi="宋体" w:cs="宋体"/>
                <w:color w:val="000000"/>
                <w:szCs w:val="21"/>
              </w:rPr>
              <w:t>2</w:t>
            </w:r>
          </w:p>
        </w:tc>
        <w:tc>
          <w:tcPr>
            <w:tcW w:w="491" w:type="pct"/>
            <w:tcBorders>
              <w:top w:val="nil"/>
              <w:left w:val="nil"/>
              <w:bottom w:val="nil"/>
              <w:right w:val="single" w:color="auto" w:sz="4" w:space="0"/>
            </w:tcBorders>
            <w:shd w:val="clear" w:color="000000" w:fill="FFFFFF"/>
            <w:vAlign w:val="center"/>
          </w:tcPr>
          <w:p w14:paraId="7261F60F">
            <w:pPr>
              <w:widowControl/>
              <w:spacing w:line="360" w:lineRule="auto"/>
              <w:jc w:val="center"/>
              <w:rPr>
                <w:rFonts w:hint="eastAsia" w:hAnsi="宋体" w:cs="宋体"/>
                <w:color w:val="000000"/>
                <w:szCs w:val="21"/>
              </w:rPr>
            </w:pPr>
            <w:r>
              <w:rPr>
                <w:rFonts w:hAnsi="宋体" w:cs="宋体"/>
                <w:color w:val="000000"/>
                <w:szCs w:val="21"/>
              </w:rPr>
              <w:t>管理服务器</w:t>
            </w:r>
          </w:p>
        </w:tc>
        <w:tc>
          <w:tcPr>
            <w:tcW w:w="3228" w:type="pct"/>
            <w:tcBorders>
              <w:top w:val="nil"/>
              <w:left w:val="nil"/>
              <w:bottom w:val="nil"/>
              <w:right w:val="single" w:color="auto" w:sz="4" w:space="0"/>
            </w:tcBorders>
            <w:shd w:val="clear" w:color="auto" w:fill="FFFFFF" w:themeFill="background1"/>
            <w:vAlign w:val="center"/>
          </w:tcPr>
          <w:p w14:paraId="6E8329CE">
            <w:pPr>
              <w:pStyle w:val="6"/>
              <w:widowControl/>
              <w:spacing w:line="360" w:lineRule="auto"/>
              <w:ind w:left="440" w:hanging="440"/>
              <w:jc w:val="left"/>
              <w:rPr>
                <w:rFonts w:hint="eastAsia" w:hAnsi="宋体" w:cs="宋体"/>
                <w:color w:val="000000"/>
                <w:szCs w:val="21"/>
                <w:highlight w:val="none"/>
              </w:rPr>
            </w:pPr>
            <w:r>
              <w:rPr>
                <w:rFonts w:hint="eastAsia" w:hAnsi="宋体" w:cs="宋体"/>
                <w:color w:val="000000"/>
                <w:sz w:val="21"/>
                <w:szCs w:val="21"/>
              </w:rPr>
              <w:t>1.</w:t>
            </w:r>
            <w:r>
              <w:rPr>
                <w:rFonts w:hint="eastAsia" w:hAnsi="宋体" w:cs="宋体"/>
                <w:color w:val="000000"/>
                <w:szCs w:val="21"/>
              </w:rPr>
              <w:t>≤</w:t>
            </w:r>
            <w:r>
              <w:rPr>
                <w:rFonts w:hint="eastAsia" w:hAnsi="宋体" w:cs="宋体"/>
                <w:color w:val="000000"/>
                <w:szCs w:val="21"/>
                <w:highlight w:val="none"/>
              </w:rPr>
              <w:t>2U机架式服务器；</w:t>
            </w:r>
          </w:p>
          <w:p w14:paraId="1949DEE4">
            <w:pPr>
              <w:pStyle w:val="6"/>
              <w:widowControl/>
              <w:spacing w:line="360" w:lineRule="auto"/>
              <w:ind w:left="440" w:hanging="440"/>
              <w:jc w:val="left"/>
              <w:rPr>
                <w:rFonts w:hint="eastAsia" w:hAnsi="宋体" w:cs="宋体"/>
                <w:szCs w:val="21"/>
              </w:rPr>
            </w:pPr>
            <w:r>
              <w:rPr>
                <w:rFonts w:hint="eastAsia" w:hAnsi="宋体" w:cs="宋体"/>
                <w:sz w:val="21"/>
                <w:szCs w:val="21"/>
                <w:highlight w:val="none"/>
              </w:rPr>
              <w:t>2.</w:t>
            </w:r>
            <w:r>
              <w:rPr>
                <w:rFonts w:hint="eastAsia" w:hAnsi="宋体"/>
                <w:szCs w:val="21"/>
                <w:highlight w:val="none"/>
              </w:rPr>
              <w:t>★</w:t>
            </w:r>
            <w:r>
              <w:rPr>
                <w:rFonts w:hint="eastAsia" w:hAnsi="宋体" w:cs="宋体"/>
                <w:color w:val="000000"/>
                <w:szCs w:val="21"/>
                <w:highlight w:val="none"/>
              </w:rPr>
              <w:t>≥</w:t>
            </w:r>
            <w:r>
              <w:rPr>
                <w:rFonts w:hAnsi="宋体" w:cs="宋体"/>
                <w:szCs w:val="21"/>
                <w:highlight w:val="none"/>
              </w:rPr>
              <w:t>2颗</w:t>
            </w:r>
            <w:r>
              <w:rPr>
                <w:rFonts w:hint="eastAsia" w:hAnsi="宋体" w:cs="宋体"/>
                <w:szCs w:val="21"/>
                <w:highlight w:val="none"/>
              </w:rPr>
              <w:t>国产处理器，单颗处理器≥32核心，主频≥</w:t>
            </w:r>
            <w:r>
              <w:rPr>
                <w:rFonts w:hAnsi="宋体" w:cs="宋体"/>
                <w:szCs w:val="21"/>
                <w:highlight w:val="none"/>
              </w:rPr>
              <w:t>2.</w:t>
            </w:r>
            <w:r>
              <w:rPr>
                <w:rFonts w:hint="eastAsia" w:hAnsi="宋体" w:cs="宋体"/>
                <w:szCs w:val="21"/>
                <w:highlight w:val="none"/>
              </w:rPr>
              <w:t>3</w:t>
            </w:r>
            <w:r>
              <w:rPr>
                <w:rFonts w:hAnsi="宋体" w:cs="宋体"/>
                <w:szCs w:val="21"/>
                <w:highlight w:val="none"/>
              </w:rPr>
              <w:t>GH</w:t>
            </w:r>
            <w:r>
              <w:rPr>
                <w:rFonts w:hint="eastAsia" w:hAnsi="宋体" w:cs="宋体"/>
                <w:szCs w:val="21"/>
                <w:highlight w:val="none"/>
              </w:rPr>
              <w:t>z，处理器通过中国信息安全测评中心评测，处理器提供构建信任链能力，实现从硬件启动到系统运行整个过程的安全行和完整</w:t>
            </w:r>
            <w:r>
              <w:rPr>
                <w:rFonts w:hint="eastAsia" w:hAnsi="宋体" w:cs="宋体"/>
                <w:szCs w:val="21"/>
              </w:rPr>
              <w:t>性，提供官方证明材料；</w:t>
            </w:r>
          </w:p>
          <w:p w14:paraId="787FC5AB">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3.</w:t>
            </w:r>
            <w:r>
              <w:rPr>
                <w:rFonts w:hint="eastAsia" w:hAnsi="宋体"/>
                <w:szCs w:val="21"/>
              </w:rPr>
              <w:t>★</w:t>
            </w:r>
            <w:r>
              <w:rPr>
                <w:rFonts w:hint="eastAsia" w:hAnsi="宋体" w:cs="宋体"/>
                <w:szCs w:val="21"/>
              </w:rPr>
              <w:t>≥128GB DDR5 5600MHz内存，单根内存容量≥</w:t>
            </w:r>
            <w:r>
              <w:rPr>
                <w:rFonts w:hAnsi="宋体" w:cs="宋体"/>
                <w:color w:val="000000"/>
                <w:szCs w:val="21"/>
              </w:rPr>
              <w:t>32G</w:t>
            </w:r>
            <w:r>
              <w:rPr>
                <w:rFonts w:hint="eastAsia" w:hAnsi="宋体" w:cs="宋体"/>
                <w:color w:val="000000"/>
                <w:szCs w:val="21"/>
              </w:rPr>
              <w:t>；</w:t>
            </w:r>
          </w:p>
          <w:p w14:paraId="17575B11">
            <w:pPr>
              <w:pStyle w:val="6"/>
              <w:widowControl/>
              <w:spacing w:line="360" w:lineRule="auto"/>
              <w:ind w:left="440" w:hanging="440"/>
              <w:jc w:val="left"/>
              <w:rPr>
                <w:rFonts w:hint="eastAsia" w:hAnsi="宋体" w:cs="宋体"/>
                <w:szCs w:val="21"/>
              </w:rPr>
            </w:pPr>
            <w:r>
              <w:rPr>
                <w:rFonts w:hint="eastAsia" w:hAnsi="宋体" w:cs="宋体"/>
                <w:sz w:val="21"/>
                <w:szCs w:val="21"/>
              </w:rPr>
              <w:t>4.</w:t>
            </w:r>
            <w:r>
              <w:rPr>
                <w:rFonts w:hint="eastAsia" w:hAnsi="宋体" w:cs="宋体"/>
                <w:szCs w:val="21"/>
              </w:rPr>
              <w:t>≥1块RAID卡，含</w:t>
            </w:r>
            <w:r>
              <w:rPr>
                <w:rFonts w:hAnsi="宋体" w:cs="宋体"/>
                <w:szCs w:val="21"/>
              </w:rPr>
              <w:t>4G缓存 Raid(含电池)</w:t>
            </w:r>
            <w:r>
              <w:rPr>
                <w:rFonts w:hint="eastAsia" w:hAnsi="宋体" w:cs="宋体"/>
                <w:szCs w:val="21"/>
              </w:rPr>
              <w:t>，支持RAID 0、1、5、10、50、6、60；</w:t>
            </w:r>
          </w:p>
          <w:p w14:paraId="1909D6CA">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5.</w:t>
            </w:r>
            <w:r>
              <w:rPr>
                <w:rFonts w:hint="eastAsia" w:hAnsi="宋体" w:cs="宋体"/>
                <w:szCs w:val="21"/>
              </w:rPr>
              <w:t>≥2块</w:t>
            </w:r>
            <w:r>
              <w:rPr>
                <w:rFonts w:hAnsi="宋体" w:cs="宋体"/>
                <w:color w:val="000000"/>
                <w:szCs w:val="21"/>
              </w:rPr>
              <w:t xml:space="preserve">960G SATA SSD 3.5 </w:t>
            </w:r>
            <w:r>
              <w:rPr>
                <w:rFonts w:hint="eastAsia" w:hAnsi="宋体" w:cs="宋体"/>
                <w:color w:val="000000"/>
                <w:szCs w:val="21"/>
              </w:rPr>
              <w:t>英寸</w:t>
            </w:r>
            <w:r>
              <w:rPr>
                <w:rFonts w:hAnsi="宋体" w:cs="宋体"/>
                <w:color w:val="000000"/>
                <w:szCs w:val="21"/>
              </w:rPr>
              <w:t>，</w:t>
            </w:r>
            <w:r>
              <w:rPr>
                <w:rFonts w:hint="eastAsia" w:hAnsi="宋体" w:cs="宋体"/>
                <w:color w:val="000000"/>
                <w:szCs w:val="21"/>
              </w:rPr>
              <w:t>≥2块</w:t>
            </w:r>
            <w:r>
              <w:rPr>
                <w:rFonts w:hAnsi="宋体" w:cs="宋体"/>
                <w:color w:val="000000"/>
                <w:szCs w:val="21"/>
              </w:rPr>
              <w:t>3.84G NVMe</w:t>
            </w:r>
            <w:r>
              <w:rPr>
                <w:rFonts w:hint="eastAsia" w:hAnsi="宋体" w:cs="宋体"/>
                <w:color w:val="000000"/>
                <w:szCs w:val="21"/>
              </w:rPr>
              <w:t xml:space="preserve"> SSD 3.5英寸</w:t>
            </w:r>
            <w:r>
              <w:rPr>
                <w:rFonts w:hAnsi="宋体" w:cs="宋体"/>
                <w:color w:val="000000"/>
                <w:szCs w:val="21"/>
              </w:rPr>
              <w:t>；</w:t>
            </w:r>
            <w:r>
              <w:rPr>
                <w:rFonts w:hAnsi="宋体" w:cs="宋体"/>
                <w:color w:val="000000"/>
                <w:szCs w:val="21"/>
              </w:rPr>
              <w:br w:type="textWrapping"/>
            </w:r>
            <w:r>
              <w:rPr>
                <w:rFonts w:hint="eastAsia" w:hAnsi="宋体" w:cs="宋体"/>
                <w:szCs w:val="21"/>
              </w:rPr>
              <w:t>≥1块</w:t>
            </w:r>
            <w:r>
              <w:rPr>
                <w:rFonts w:hAnsi="宋体" w:cs="宋体"/>
                <w:szCs w:val="21"/>
              </w:rPr>
              <w:t>双口 25G</w:t>
            </w:r>
            <w:r>
              <w:rPr>
                <w:rFonts w:hint="eastAsia" w:hAnsi="宋体" w:cs="宋体"/>
                <w:szCs w:val="21"/>
              </w:rPr>
              <w:t>以太网卡</w:t>
            </w:r>
            <w:r>
              <w:rPr>
                <w:rFonts w:hAnsi="宋体" w:cs="宋体"/>
                <w:szCs w:val="21"/>
              </w:rPr>
              <w:t>(</w:t>
            </w:r>
            <w:r>
              <w:rPr>
                <w:rFonts w:hint="eastAsia" w:hAnsi="宋体" w:cs="宋体"/>
                <w:szCs w:val="21"/>
              </w:rPr>
              <w:t>含</w:t>
            </w:r>
            <w:r>
              <w:rPr>
                <w:rFonts w:hAnsi="宋体" w:cs="宋体"/>
                <w:szCs w:val="21"/>
              </w:rPr>
              <w:t>2个25G模块)</w:t>
            </w:r>
            <w:r>
              <w:rPr>
                <w:rFonts w:hint="eastAsia" w:hAnsi="宋体" w:cs="宋体"/>
                <w:szCs w:val="21"/>
              </w:rPr>
              <w:t>；</w:t>
            </w:r>
            <w:r>
              <w:rPr>
                <w:rFonts w:hint="eastAsia" w:hAnsi="宋体" w:cs="宋体"/>
                <w:color w:val="000000"/>
                <w:szCs w:val="21"/>
              </w:rPr>
              <w:t>≥</w:t>
            </w:r>
            <w:r>
              <w:rPr>
                <w:rFonts w:hAnsi="宋体" w:cs="宋体"/>
                <w:color w:val="000000"/>
                <w:szCs w:val="21"/>
              </w:rPr>
              <w:t>2x 1300W 电源</w:t>
            </w:r>
            <w:r>
              <w:rPr>
                <w:rFonts w:hint="eastAsia" w:hAnsi="宋体" w:cs="宋体"/>
                <w:color w:val="000000"/>
                <w:szCs w:val="21"/>
              </w:rPr>
              <w:t>，配套电源线；</w:t>
            </w:r>
          </w:p>
          <w:p w14:paraId="3C319343">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6.</w:t>
            </w:r>
            <w:r>
              <w:rPr>
                <w:rFonts w:hint="eastAsia" w:hAnsi="宋体" w:cs="宋体"/>
                <w:color w:val="000000"/>
                <w:szCs w:val="21"/>
              </w:rPr>
              <w:t>≥</w:t>
            </w:r>
            <w:r>
              <w:rPr>
                <w:rFonts w:hAnsi="宋体" w:cs="宋体"/>
                <w:color w:val="000000"/>
                <w:szCs w:val="21"/>
              </w:rPr>
              <w:t>3年7*24小时售后服务，含3年硬盘不返还</w:t>
            </w:r>
            <w:r>
              <w:rPr>
                <w:rFonts w:hint="eastAsia" w:hAnsi="宋体" w:cs="宋体"/>
                <w:color w:val="000000"/>
                <w:szCs w:val="21"/>
              </w:rPr>
              <w:t>；</w:t>
            </w:r>
          </w:p>
          <w:p w14:paraId="07D87497">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7.</w:t>
            </w:r>
            <w:r>
              <w:rPr>
                <w:rFonts w:hint="eastAsia" w:hAnsi="宋体" w:cs="宋体"/>
                <w:szCs w:val="21"/>
              </w:rPr>
              <w:t>安装正版国产操作系统</w:t>
            </w:r>
          </w:p>
        </w:tc>
        <w:tc>
          <w:tcPr>
            <w:tcW w:w="257" w:type="pct"/>
            <w:gridSpan w:val="2"/>
            <w:tcBorders>
              <w:top w:val="nil"/>
              <w:left w:val="nil"/>
              <w:bottom w:val="nil"/>
              <w:right w:val="single" w:color="auto" w:sz="4" w:space="0"/>
            </w:tcBorders>
            <w:shd w:val="clear" w:color="000000" w:fill="FFFFFF"/>
            <w:vAlign w:val="center"/>
          </w:tcPr>
          <w:p w14:paraId="14DCC74D">
            <w:pPr>
              <w:widowControl/>
              <w:spacing w:line="360" w:lineRule="auto"/>
              <w:jc w:val="center"/>
              <w:rPr>
                <w:rFonts w:hint="eastAsia" w:hAnsi="宋体" w:cs="宋体"/>
                <w:color w:val="000000"/>
                <w:szCs w:val="21"/>
              </w:rPr>
            </w:pPr>
            <w:r>
              <w:rPr>
                <w:rFonts w:hAnsi="宋体" w:cs="宋体"/>
                <w:color w:val="000000"/>
                <w:szCs w:val="21"/>
              </w:rPr>
              <w:t>1</w:t>
            </w:r>
          </w:p>
        </w:tc>
        <w:tc>
          <w:tcPr>
            <w:tcW w:w="303" w:type="pct"/>
            <w:gridSpan w:val="2"/>
            <w:tcBorders>
              <w:top w:val="nil"/>
              <w:left w:val="nil"/>
              <w:bottom w:val="single" w:color="auto" w:sz="4" w:space="0"/>
              <w:right w:val="single" w:color="auto" w:sz="4" w:space="0"/>
            </w:tcBorders>
            <w:shd w:val="clear" w:color="000000" w:fill="FFFFFF"/>
            <w:noWrap/>
            <w:vAlign w:val="center"/>
          </w:tcPr>
          <w:p w14:paraId="058CCE88">
            <w:pPr>
              <w:widowControl/>
              <w:spacing w:line="360" w:lineRule="auto"/>
              <w:jc w:val="center"/>
              <w:rPr>
                <w:rFonts w:hint="eastAsia" w:hAnsi="宋体" w:cs="宋体"/>
                <w:color w:val="000000"/>
                <w:szCs w:val="21"/>
              </w:rPr>
            </w:pPr>
            <w:r>
              <w:rPr>
                <w:rFonts w:hAnsi="宋体" w:cs="宋体"/>
                <w:color w:val="000000"/>
                <w:szCs w:val="21"/>
              </w:rPr>
              <w:t>台</w:t>
            </w:r>
          </w:p>
        </w:tc>
        <w:tc>
          <w:tcPr>
            <w:tcW w:w="265" w:type="pct"/>
            <w:gridSpan w:val="2"/>
            <w:tcBorders>
              <w:top w:val="nil"/>
              <w:left w:val="nil"/>
              <w:bottom w:val="nil"/>
              <w:right w:val="single" w:color="auto" w:sz="4" w:space="0"/>
            </w:tcBorders>
            <w:shd w:val="clear" w:color="000000" w:fill="FFFFFF"/>
            <w:vAlign w:val="center"/>
          </w:tcPr>
          <w:p w14:paraId="3B5728AD">
            <w:pPr>
              <w:widowControl/>
              <w:spacing w:line="360" w:lineRule="auto"/>
              <w:jc w:val="center"/>
              <w:rPr>
                <w:rFonts w:hint="eastAsia" w:hAnsi="宋体" w:cs="宋体"/>
                <w:color w:val="FF0000"/>
                <w:szCs w:val="21"/>
              </w:rPr>
            </w:pPr>
          </w:p>
        </w:tc>
      </w:tr>
      <w:tr w14:paraId="04778BE6">
        <w:tblPrEx>
          <w:tblCellMar>
            <w:top w:w="0" w:type="dxa"/>
            <w:left w:w="108" w:type="dxa"/>
            <w:bottom w:w="0" w:type="dxa"/>
            <w:right w:w="108" w:type="dxa"/>
          </w:tblCellMar>
        </w:tblPrEx>
        <w:trPr>
          <w:gridAfter w:val="3"/>
          <w:wAfter w:w="125" w:type="pct"/>
          <w:trHeight w:val="20" w:hRule="atLeast"/>
        </w:trPr>
        <w:tc>
          <w:tcPr>
            <w:tcW w:w="326" w:type="pct"/>
            <w:tcBorders>
              <w:top w:val="single" w:color="auto" w:sz="4" w:space="0"/>
              <w:left w:val="single" w:color="auto" w:sz="4" w:space="0"/>
              <w:bottom w:val="nil"/>
              <w:right w:val="single" w:color="auto" w:sz="4" w:space="0"/>
            </w:tcBorders>
            <w:shd w:val="clear" w:color="000000" w:fill="FFFFFF"/>
            <w:vAlign w:val="center"/>
          </w:tcPr>
          <w:p w14:paraId="69087038">
            <w:pPr>
              <w:widowControl/>
              <w:spacing w:line="360" w:lineRule="auto"/>
              <w:jc w:val="center"/>
              <w:rPr>
                <w:rFonts w:hint="eastAsia" w:hAnsi="宋体" w:cs="宋体"/>
                <w:color w:val="000000"/>
                <w:szCs w:val="21"/>
              </w:rPr>
            </w:pPr>
            <w:r>
              <w:rPr>
                <w:rFonts w:hAnsi="宋体" w:cs="宋体"/>
                <w:color w:val="000000"/>
                <w:szCs w:val="21"/>
              </w:rPr>
              <w:t>3</w:t>
            </w:r>
          </w:p>
        </w:tc>
        <w:tc>
          <w:tcPr>
            <w:tcW w:w="491" w:type="pct"/>
            <w:tcBorders>
              <w:top w:val="single" w:color="auto" w:sz="4" w:space="0"/>
              <w:left w:val="nil"/>
              <w:bottom w:val="nil"/>
              <w:right w:val="single" w:color="auto" w:sz="4" w:space="0"/>
            </w:tcBorders>
            <w:shd w:val="clear" w:color="000000" w:fill="FFFFFF"/>
            <w:vAlign w:val="center"/>
          </w:tcPr>
          <w:p w14:paraId="59910A0C">
            <w:pPr>
              <w:widowControl/>
              <w:spacing w:line="360" w:lineRule="auto"/>
              <w:jc w:val="center"/>
              <w:rPr>
                <w:rFonts w:hint="eastAsia" w:hAnsi="宋体" w:cs="宋体"/>
                <w:color w:val="000000"/>
                <w:szCs w:val="21"/>
              </w:rPr>
            </w:pPr>
            <w:r>
              <w:rPr>
                <w:rFonts w:hAnsi="宋体" w:cs="宋体"/>
                <w:color w:val="000000"/>
                <w:szCs w:val="21"/>
              </w:rPr>
              <w:t>管理交换机</w:t>
            </w:r>
          </w:p>
        </w:tc>
        <w:tc>
          <w:tcPr>
            <w:tcW w:w="3228" w:type="pct"/>
            <w:tcBorders>
              <w:top w:val="single" w:color="auto" w:sz="4" w:space="0"/>
              <w:left w:val="nil"/>
              <w:bottom w:val="nil"/>
              <w:right w:val="single" w:color="auto" w:sz="4" w:space="0"/>
            </w:tcBorders>
            <w:shd w:val="clear" w:color="auto" w:fill="FFFFFF" w:themeFill="background1"/>
            <w:vAlign w:val="center"/>
          </w:tcPr>
          <w:p w14:paraId="6D4D316A">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1.</w:t>
            </w:r>
            <w:r>
              <w:rPr>
                <w:rFonts w:hAnsi="宋体" w:cs="宋体"/>
                <w:color w:val="000000"/>
                <w:szCs w:val="21"/>
              </w:rPr>
              <w:t>交换容量≥4.8 Tbps</w:t>
            </w:r>
          </w:p>
          <w:p w14:paraId="10CC89EF">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2.</w:t>
            </w:r>
            <w:r>
              <w:rPr>
                <w:rFonts w:hAnsi="宋体" w:cs="宋体"/>
                <w:color w:val="000000"/>
                <w:szCs w:val="21"/>
              </w:rPr>
              <w:t>包转发速率≥2000 Mpps</w:t>
            </w:r>
          </w:p>
          <w:p w14:paraId="54250E34">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3.</w:t>
            </w:r>
            <w:r>
              <w:rPr>
                <w:rFonts w:hAnsi="宋体" w:cs="宋体"/>
                <w:color w:val="000000"/>
                <w:szCs w:val="21"/>
              </w:rPr>
              <w:t>固化下行业务25G SFP28以太网端口≥48个，上行100G QSFP28以太网端口≥8个；所有端口均支持线速转发；</w:t>
            </w:r>
          </w:p>
          <w:p w14:paraId="05F308BB">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4.</w:t>
            </w:r>
            <w:r>
              <w:rPr>
                <w:rFonts w:hAnsi="宋体" w:cs="宋体"/>
                <w:color w:val="000000"/>
                <w:szCs w:val="21"/>
              </w:rPr>
              <w:t>配置4个25G光模块</w:t>
            </w:r>
            <w:r>
              <w:rPr>
                <w:rFonts w:hint="eastAsia" w:hAnsi="宋体" w:cs="宋体"/>
                <w:color w:val="000000"/>
                <w:szCs w:val="21"/>
              </w:rPr>
              <w:t>，</w:t>
            </w:r>
            <w:r>
              <w:rPr>
                <w:rFonts w:hAnsi="宋体" w:cs="宋体"/>
                <w:color w:val="000000"/>
                <w:szCs w:val="21"/>
              </w:rPr>
              <w:t>每个100G QSFP28以太网端口均支持向下兼容40GE速率传输；支持端口一分四，拆分为4*25G/4*10G模式；</w:t>
            </w:r>
            <w:r>
              <w:rPr>
                <w:rFonts w:hAnsi="宋体" w:cs="宋体"/>
                <w:color w:val="000000"/>
                <w:szCs w:val="21"/>
              </w:rPr>
              <w:br w:type="textWrapping"/>
            </w:r>
            <w:r>
              <w:rPr>
                <w:rFonts w:hAnsi="宋体" w:cs="宋体"/>
                <w:color w:val="000000"/>
                <w:szCs w:val="21"/>
              </w:rPr>
              <w:t>端口缓存≥32MB。</w:t>
            </w:r>
          </w:p>
          <w:p w14:paraId="6A16872E">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5.</w:t>
            </w:r>
            <w:r>
              <w:rPr>
                <w:rFonts w:hAnsi="宋体" w:cs="宋体"/>
                <w:color w:val="000000"/>
                <w:szCs w:val="21"/>
              </w:rPr>
              <w:t>符合业界主流机柜的尺寸规范要求，设备高度≤1U（即高度≤44.5mm），设备深度≤400mm</w:t>
            </w:r>
          </w:p>
          <w:p w14:paraId="12BBFAA3">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6.</w:t>
            </w:r>
            <w:r>
              <w:rPr>
                <w:rFonts w:hAnsi="宋体" w:cs="宋体"/>
                <w:color w:val="000000"/>
                <w:szCs w:val="21"/>
              </w:rPr>
              <w:t>设备采用模块化电源，支持1+1冗余备份，支持热插拔；</w:t>
            </w:r>
          </w:p>
        </w:tc>
        <w:tc>
          <w:tcPr>
            <w:tcW w:w="257" w:type="pct"/>
            <w:gridSpan w:val="2"/>
            <w:tcBorders>
              <w:top w:val="single" w:color="auto" w:sz="4" w:space="0"/>
              <w:left w:val="nil"/>
              <w:bottom w:val="nil"/>
              <w:right w:val="single" w:color="auto" w:sz="4" w:space="0"/>
            </w:tcBorders>
            <w:shd w:val="clear" w:color="000000" w:fill="FFFFFF"/>
            <w:vAlign w:val="center"/>
          </w:tcPr>
          <w:p w14:paraId="5B2B1ABD">
            <w:pPr>
              <w:widowControl/>
              <w:spacing w:line="360" w:lineRule="auto"/>
              <w:jc w:val="center"/>
              <w:rPr>
                <w:rFonts w:hint="eastAsia" w:hAnsi="宋体" w:cs="宋体"/>
                <w:color w:val="000000"/>
                <w:szCs w:val="21"/>
              </w:rPr>
            </w:pPr>
            <w:r>
              <w:rPr>
                <w:rFonts w:hAnsi="宋体" w:cs="宋体"/>
                <w:color w:val="000000"/>
                <w:szCs w:val="21"/>
              </w:rPr>
              <w:t>1</w:t>
            </w:r>
          </w:p>
        </w:tc>
        <w:tc>
          <w:tcPr>
            <w:tcW w:w="303" w:type="pct"/>
            <w:gridSpan w:val="2"/>
            <w:tcBorders>
              <w:top w:val="nil"/>
              <w:left w:val="nil"/>
              <w:bottom w:val="nil"/>
              <w:right w:val="single" w:color="auto" w:sz="4" w:space="0"/>
            </w:tcBorders>
            <w:shd w:val="clear" w:color="000000" w:fill="FFFFFF"/>
            <w:noWrap/>
            <w:vAlign w:val="center"/>
          </w:tcPr>
          <w:p w14:paraId="6DF286A1">
            <w:pPr>
              <w:widowControl/>
              <w:spacing w:line="360" w:lineRule="auto"/>
              <w:jc w:val="center"/>
              <w:rPr>
                <w:rFonts w:hint="eastAsia" w:hAnsi="宋体" w:cs="宋体"/>
                <w:color w:val="000000"/>
                <w:szCs w:val="21"/>
              </w:rPr>
            </w:pPr>
            <w:r>
              <w:rPr>
                <w:rFonts w:hAnsi="宋体" w:cs="宋体"/>
                <w:color w:val="000000"/>
                <w:szCs w:val="21"/>
              </w:rPr>
              <w:t>台</w:t>
            </w:r>
          </w:p>
        </w:tc>
        <w:tc>
          <w:tcPr>
            <w:tcW w:w="265" w:type="pct"/>
            <w:gridSpan w:val="2"/>
            <w:tcBorders>
              <w:top w:val="single" w:color="auto" w:sz="4" w:space="0"/>
              <w:left w:val="nil"/>
              <w:bottom w:val="single" w:color="auto" w:sz="4" w:space="0"/>
              <w:right w:val="single" w:color="auto" w:sz="4" w:space="0"/>
            </w:tcBorders>
            <w:shd w:val="clear" w:color="000000" w:fill="FFFFFF"/>
            <w:vAlign w:val="center"/>
          </w:tcPr>
          <w:p w14:paraId="59625379">
            <w:pPr>
              <w:widowControl/>
              <w:spacing w:line="360" w:lineRule="auto"/>
              <w:jc w:val="center"/>
              <w:rPr>
                <w:rFonts w:hint="eastAsia" w:hAnsi="宋体" w:cs="宋体"/>
                <w:color w:val="FF0000"/>
                <w:szCs w:val="21"/>
              </w:rPr>
            </w:pPr>
          </w:p>
        </w:tc>
      </w:tr>
      <w:tr w14:paraId="26203FB4">
        <w:tblPrEx>
          <w:tblCellMar>
            <w:top w:w="0" w:type="dxa"/>
            <w:left w:w="108" w:type="dxa"/>
            <w:bottom w:w="0" w:type="dxa"/>
            <w:right w:w="108" w:type="dxa"/>
          </w:tblCellMar>
        </w:tblPrEx>
        <w:trPr>
          <w:gridAfter w:val="2"/>
          <w:wAfter w:w="120" w:type="pct"/>
          <w:trHeight w:val="20" w:hRule="atLeast"/>
        </w:trPr>
        <w:tc>
          <w:tcPr>
            <w:tcW w:w="4879" w:type="pct"/>
            <w:gridSpan w:val="10"/>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1A7371BA">
            <w:pPr>
              <w:widowControl/>
              <w:spacing w:line="360" w:lineRule="auto"/>
              <w:jc w:val="left"/>
              <w:rPr>
                <w:rFonts w:hint="eastAsia" w:hAnsi="宋体" w:cs="宋体"/>
                <w:b/>
                <w:bCs/>
                <w:color w:val="000000"/>
                <w:szCs w:val="21"/>
              </w:rPr>
            </w:pPr>
            <w:r>
              <w:rPr>
                <w:rFonts w:hAnsi="宋体" w:cs="宋体"/>
                <w:b/>
                <w:bCs/>
                <w:color w:val="000000"/>
                <w:szCs w:val="21"/>
              </w:rPr>
              <w:t>2、平台软件</w:t>
            </w:r>
          </w:p>
        </w:tc>
      </w:tr>
      <w:tr w14:paraId="02FB5C24">
        <w:tblPrEx>
          <w:tblCellMar>
            <w:top w:w="0" w:type="dxa"/>
            <w:left w:w="108" w:type="dxa"/>
            <w:bottom w:w="0" w:type="dxa"/>
            <w:right w:w="108" w:type="dxa"/>
          </w:tblCellMar>
        </w:tblPrEx>
        <w:trPr>
          <w:gridAfter w:val="3"/>
          <w:wAfter w:w="125" w:type="pct"/>
          <w:trHeight w:val="20" w:hRule="atLeast"/>
        </w:trPr>
        <w:tc>
          <w:tcPr>
            <w:tcW w:w="326" w:type="pct"/>
            <w:tcBorders>
              <w:top w:val="nil"/>
              <w:left w:val="single" w:color="auto" w:sz="4" w:space="0"/>
              <w:bottom w:val="nil"/>
              <w:right w:val="single" w:color="auto" w:sz="4" w:space="0"/>
            </w:tcBorders>
            <w:shd w:val="clear" w:color="000000" w:fill="FFFFFF"/>
            <w:vAlign w:val="center"/>
          </w:tcPr>
          <w:p w14:paraId="3EBC806F">
            <w:pPr>
              <w:widowControl/>
              <w:spacing w:line="360" w:lineRule="auto"/>
              <w:jc w:val="center"/>
              <w:rPr>
                <w:rFonts w:hint="eastAsia" w:hAnsi="宋体" w:cs="宋体"/>
                <w:color w:val="000000"/>
                <w:szCs w:val="21"/>
              </w:rPr>
            </w:pPr>
            <w:r>
              <w:rPr>
                <w:rFonts w:hAnsi="宋体" w:cs="宋体"/>
                <w:color w:val="000000"/>
                <w:szCs w:val="21"/>
              </w:rPr>
              <w:t>1</w:t>
            </w:r>
          </w:p>
        </w:tc>
        <w:tc>
          <w:tcPr>
            <w:tcW w:w="491" w:type="pct"/>
            <w:tcBorders>
              <w:top w:val="nil"/>
              <w:left w:val="nil"/>
              <w:bottom w:val="single" w:color="auto" w:sz="4" w:space="0"/>
              <w:right w:val="single" w:color="auto" w:sz="4" w:space="0"/>
            </w:tcBorders>
            <w:shd w:val="clear" w:color="000000" w:fill="FFFFFF"/>
            <w:vAlign w:val="center"/>
          </w:tcPr>
          <w:p w14:paraId="03BA0E45">
            <w:pPr>
              <w:widowControl/>
              <w:spacing w:line="360" w:lineRule="auto"/>
              <w:jc w:val="center"/>
              <w:rPr>
                <w:rFonts w:hint="eastAsia" w:hAnsi="宋体" w:cs="宋体"/>
                <w:color w:val="000000"/>
                <w:szCs w:val="21"/>
              </w:rPr>
            </w:pPr>
            <w:r>
              <w:rPr>
                <w:rFonts w:hAnsi="宋体" w:cs="宋体"/>
                <w:color w:val="000000"/>
                <w:szCs w:val="21"/>
              </w:rPr>
              <w:t>资源管理调度平台</w:t>
            </w:r>
          </w:p>
        </w:tc>
        <w:tc>
          <w:tcPr>
            <w:tcW w:w="3228" w:type="pct"/>
            <w:tcBorders>
              <w:top w:val="nil"/>
              <w:left w:val="nil"/>
              <w:bottom w:val="single" w:color="auto" w:sz="4" w:space="0"/>
              <w:right w:val="single" w:color="auto" w:sz="4" w:space="0"/>
            </w:tcBorders>
            <w:shd w:val="clear" w:color="auto" w:fill="FFFFFF" w:themeFill="background1"/>
            <w:vAlign w:val="center"/>
          </w:tcPr>
          <w:p w14:paraId="5CC230CC">
            <w:pPr>
              <w:widowControl/>
              <w:spacing w:line="360" w:lineRule="auto"/>
              <w:jc w:val="left"/>
              <w:rPr>
                <w:rFonts w:hint="eastAsia" w:hAnsi="宋体" w:cs="宋体"/>
                <w:color w:val="000000"/>
                <w:szCs w:val="21"/>
              </w:rPr>
            </w:pPr>
            <w:r>
              <w:rPr>
                <w:rFonts w:hint="eastAsia" w:hAnsi="宋体" w:cs="宋体"/>
                <w:color w:val="000000"/>
                <w:szCs w:val="21"/>
              </w:rPr>
              <w:t>一、基础算力管理：</w:t>
            </w:r>
          </w:p>
          <w:p w14:paraId="662D0231">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1.</w:t>
            </w:r>
            <w:r>
              <w:rPr>
                <w:rFonts w:hint="eastAsia" w:hAnsi="宋体" w:cs="宋体"/>
                <w:color w:val="000000"/>
                <w:szCs w:val="21"/>
              </w:rPr>
              <w:t>支持集群中各节点的可视化列表查看，方便运维人员查看每个节点或全部节点的状态。可查看HPC和AI节点的详细信息，包括节点基本信息（包括名称、机型，序列号、IP地址、CPU和内存插槽信息、GPU型号和制造商）；硬件部件信息；性能监控信息（CPU使用率、GPU使用情况、网络吞吐、温度、功耗、磁盘吞吐等）；任务负载信息，容器列表；网络信息和告警信息；</w:t>
            </w:r>
          </w:p>
          <w:p w14:paraId="29067051">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2.</w:t>
            </w:r>
            <w:r>
              <w:rPr>
                <w:rFonts w:hint="eastAsia" w:hAnsi="宋体" w:cs="宋体"/>
                <w:color w:val="000000"/>
                <w:szCs w:val="21"/>
              </w:rPr>
              <w:t>支持节点上下线管理，下线的节点不可被任务调度；</w:t>
            </w:r>
          </w:p>
          <w:p w14:paraId="0FCEF3D8">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3.</w:t>
            </w:r>
            <w:r>
              <w:rPr>
                <w:rFonts w:hAnsi="宋体" w:cs="宋体"/>
                <w:color w:val="000000"/>
                <w:szCs w:val="21"/>
              </w:rPr>
              <w:t>▲</w:t>
            </w:r>
            <w:r>
              <w:rPr>
                <w:rFonts w:hint="eastAsia" w:hAnsi="宋体" w:cs="宋体"/>
                <w:color w:val="000000"/>
                <w:szCs w:val="21"/>
              </w:rPr>
              <w:t>支持查看节点硬件信息，包括CPU插槽，型号，制造商，核数；内存插槽。容量，频率，制造商；硬盘容量，介质类型，总线，制造商；GPU插槽，型号，制造商等；</w:t>
            </w:r>
            <w:r>
              <w:rPr>
                <w:rFonts w:hAnsi="宋体" w:cs="宋体"/>
                <w:color w:val="000000"/>
                <w:szCs w:val="21"/>
              </w:rPr>
              <w:t>提供对应系统功能截图，并加盖投标人公章或投标专用章予以佐证。</w:t>
            </w:r>
          </w:p>
          <w:p w14:paraId="65E495C8">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4.</w:t>
            </w:r>
            <w:r>
              <w:rPr>
                <w:rFonts w:hint="eastAsia" w:hAnsi="宋体" w:cs="宋体"/>
                <w:color w:val="000000"/>
                <w:szCs w:val="21"/>
              </w:rPr>
              <w:t>可监控节点上正在运行的负载信息，包括POD名称，类型，状态GPU数量，运行时长；</w:t>
            </w:r>
          </w:p>
          <w:p w14:paraId="7ECA9154">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5.</w:t>
            </w:r>
            <w:r>
              <w:rPr>
                <w:rFonts w:hint="eastAsia" w:hAnsi="宋体" w:cs="宋体"/>
                <w:color w:val="000000"/>
                <w:szCs w:val="21"/>
              </w:rPr>
              <w:t>支持x86系列CPU, 包括Intel, AMD, 海光；</w:t>
            </w:r>
          </w:p>
          <w:p w14:paraId="184E2079">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6.</w:t>
            </w:r>
            <w:r>
              <w:rPr>
                <w:rFonts w:hAnsi="宋体" w:cs="宋体"/>
                <w:color w:val="000000"/>
                <w:szCs w:val="21"/>
              </w:rPr>
              <w:t>▲</w:t>
            </w:r>
            <w:r>
              <w:rPr>
                <w:rFonts w:hint="eastAsia" w:hAnsi="宋体" w:cs="宋体"/>
                <w:color w:val="000000"/>
                <w:szCs w:val="21"/>
              </w:rPr>
              <w:t>支持英伟达全系列GPU, AMD GPU和国产GPU（海光DCU，沐曦，昆仑芯，摩尔线程，天数智芯，燧原）的统一管理与监控；在同一界面上显示纳管的不同类型GPU型号，数量；在资源分配的页面上，可以选择英伟达或者国产的GPU；</w:t>
            </w:r>
            <w:r>
              <w:rPr>
                <w:rFonts w:hAnsi="宋体" w:cs="宋体"/>
                <w:color w:val="000000"/>
                <w:szCs w:val="21"/>
              </w:rPr>
              <w:t>提供对应系统功能截图，并加盖投标人公章或投标专用章予以佐证。</w:t>
            </w:r>
          </w:p>
          <w:p w14:paraId="09626527">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7.</w:t>
            </w:r>
            <w:r>
              <w:rPr>
                <w:rFonts w:hint="eastAsia" w:hAnsi="宋体" w:cs="宋体"/>
                <w:color w:val="000000"/>
                <w:szCs w:val="21"/>
              </w:rPr>
              <w:t>支持根据模型参数和GPU卡类型，自动生成默认任务启动资源推荐；包括自动化配置GPU, CPU, MEM资源</w:t>
            </w:r>
          </w:p>
          <w:p w14:paraId="56072FE6">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8.</w:t>
            </w:r>
            <w:r>
              <w:rPr>
                <w:rFonts w:hint="eastAsia" w:hAnsi="宋体" w:cs="宋体"/>
                <w:color w:val="000000"/>
                <w:szCs w:val="21"/>
              </w:rPr>
              <w:t>支持ROCE/RDMA网络；可监控主机网络接口信息（包括状态，带宽），光模块信息（包括电压，电流，功率，温度），和网卡温度信息；可实时监控主机上IB/RoCE网卡的吞吐和利用率；</w:t>
            </w:r>
          </w:p>
          <w:p w14:paraId="233B6340">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9.</w:t>
            </w:r>
            <w:r>
              <w:rPr>
                <w:rFonts w:hint="eastAsia" w:hAnsi="宋体" w:cs="宋体"/>
                <w:color w:val="000000"/>
                <w:szCs w:val="21"/>
              </w:rPr>
              <w:t>支持集群中所有的网络交换机</w:t>
            </w:r>
            <w:r>
              <w:rPr>
                <w:rFonts w:hAnsi="宋体" w:cs="宋体"/>
                <w:color w:val="000000"/>
                <w:szCs w:val="21"/>
              </w:rPr>
              <w:t>的发现，告警，事件监控，支持交换机和服务器之间的网络连接拓扑展示</w:t>
            </w:r>
            <w:r>
              <w:rPr>
                <w:rFonts w:hint="eastAsia" w:hAnsi="宋体"/>
                <w:color w:val="000000"/>
                <w:szCs w:val="21"/>
              </w:rPr>
              <w:t>；</w:t>
            </w:r>
          </w:p>
          <w:p w14:paraId="30A07C42">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10.</w:t>
            </w:r>
            <w:r>
              <w:rPr>
                <w:rFonts w:hint="eastAsia" w:hAnsi="宋体" w:cs="宋体"/>
                <w:color w:val="000000"/>
                <w:szCs w:val="21"/>
              </w:rPr>
              <w:t>支持GPFS存储，NAS存储，分布式存储；显示存储类型、容量、挂载点等信息；支持设置用户的存储配额；</w:t>
            </w:r>
          </w:p>
          <w:p w14:paraId="144E9356">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11.</w:t>
            </w:r>
            <w:r>
              <w:rPr>
                <w:rFonts w:hint="eastAsia" w:hAnsi="宋体" w:cs="宋体"/>
                <w:color w:val="000000"/>
                <w:szCs w:val="21"/>
              </w:rPr>
              <w:t>支持持久卷管理，支持创建，编辑，删除持久卷，查看持久卷详情；支持推理服务挂载持久卷；</w:t>
            </w:r>
          </w:p>
          <w:p w14:paraId="10FA3E3C">
            <w:pPr>
              <w:pStyle w:val="6"/>
              <w:widowControl/>
              <w:numPr>
                <w:ilvl w:val="0"/>
                <w:numId w:val="1"/>
              </w:numPr>
              <w:spacing w:line="360" w:lineRule="auto"/>
              <w:jc w:val="left"/>
              <w:rPr>
                <w:rFonts w:hint="eastAsia" w:hAnsi="宋体" w:cs="宋体"/>
                <w:color w:val="000000"/>
                <w:szCs w:val="21"/>
              </w:rPr>
            </w:pPr>
            <w:r>
              <w:rPr>
                <w:rFonts w:hint="eastAsia" w:hAnsi="宋体" w:cs="宋体"/>
                <w:color w:val="000000"/>
                <w:szCs w:val="21"/>
              </w:rPr>
              <w:t>集群管理调度：</w:t>
            </w:r>
          </w:p>
          <w:p w14:paraId="02A94A75">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1.</w:t>
            </w:r>
            <w:r>
              <w:rPr>
                <w:rFonts w:hAnsi="宋体" w:cs="宋体"/>
                <w:color w:val="000000"/>
                <w:szCs w:val="21"/>
              </w:rPr>
              <w:t xml:space="preserve"> </w:t>
            </w:r>
            <w:r>
              <w:rPr>
                <w:rFonts w:hAnsi="宋体" w:cs="宋体"/>
                <w:color w:val="000000"/>
                <w:szCs w:val="21"/>
                <w:highlight w:val="none"/>
              </w:rPr>
              <w:t>▲</w:t>
            </w:r>
            <w:r>
              <w:rPr>
                <w:rFonts w:hint="eastAsia" w:hAnsi="宋体" w:cs="宋体"/>
                <w:color w:val="000000"/>
                <w:szCs w:val="21"/>
                <w:highlight w:val="none"/>
              </w:rPr>
              <w:t>支持单卡、多卡到管理，也支持1个或者3个融合节点部署（管理和计算融合部署在同一台服务器）</w:t>
            </w:r>
          </w:p>
          <w:p w14:paraId="55DCBB81">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2.</w:t>
            </w:r>
            <w:r>
              <w:rPr>
                <w:rFonts w:hAnsi="宋体" w:cs="宋体"/>
                <w:color w:val="000000"/>
                <w:szCs w:val="21"/>
              </w:rPr>
              <w:t>▲</w:t>
            </w:r>
            <w:r>
              <w:rPr>
                <w:rFonts w:hint="eastAsia" w:hAnsi="宋体" w:cs="宋体"/>
                <w:color w:val="000000"/>
                <w:szCs w:val="21"/>
              </w:rPr>
              <w:t>可配置 AI 集群的 GPU 调度策略，该策略将作用于使用该集群节点资源的训练、推理等任务。支持gang 调度， 任务优先级，GPU NVLink拓扑调度策略；支持同优先级任务的防饥饿策略，高优先级任务抢占策略， 支持基于GPU温度的调度和容错调度策略：支持基于GPU卡和节点之间网络拓扑的调度，将 AI Pod 调度到网络拓扑更优的节点（如同机架、同交换机、同可用区），降低节点间数据传输时延、提升带宽利用率，保障分布式 AI 任务的计算效率。</w:t>
            </w:r>
            <w:r>
              <w:rPr>
                <w:rFonts w:hAnsi="宋体" w:cs="宋体"/>
                <w:color w:val="000000"/>
                <w:szCs w:val="21"/>
              </w:rPr>
              <w:t>提供对应系统功能截图，并加盖投标人公章或投标专用章予以佐证。</w:t>
            </w:r>
          </w:p>
          <w:p w14:paraId="39548210">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3.</w:t>
            </w:r>
            <w:r>
              <w:rPr>
                <w:rFonts w:hint="eastAsia" w:hAnsi="宋体" w:cs="宋体"/>
                <w:color w:val="000000"/>
                <w:szCs w:val="21"/>
              </w:rPr>
              <w:t>支持GPU资源池隔离，按照GPU卡组建虚拟资源池。</w:t>
            </w:r>
          </w:p>
          <w:p w14:paraId="5A62D30E">
            <w:pPr>
              <w:widowControl/>
              <w:spacing w:line="360" w:lineRule="auto"/>
              <w:jc w:val="left"/>
              <w:rPr>
                <w:rFonts w:hint="eastAsia" w:hAnsi="宋体" w:cs="宋体"/>
                <w:color w:val="000000"/>
                <w:szCs w:val="21"/>
              </w:rPr>
            </w:pPr>
            <w:r>
              <w:rPr>
                <w:rFonts w:hint="eastAsia" w:hAnsi="宋体" w:cs="宋体"/>
                <w:color w:val="000000"/>
                <w:szCs w:val="21"/>
              </w:rPr>
              <w:t>三、数据管理：</w:t>
            </w:r>
          </w:p>
          <w:p w14:paraId="36E86D76">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1.</w:t>
            </w:r>
            <w:r>
              <w:rPr>
                <w:rFonts w:hint="eastAsia" w:hAnsi="宋体" w:cs="宋体"/>
                <w:color w:val="000000"/>
                <w:szCs w:val="21"/>
              </w:rPr>
              <w:t>支持通过浏览器查看个人数据和项目数据的目录和文件，提供HTML5纯浏览器的上传、删除、下载能力，支持新建文件夹，图标视图，支持预览文本和图片，对于文件的编辑，重命名等操作，也可以打开SFTP服务或Notebook 服务进行操作；</w:t>
            </w:r>
          </w:p>
          <w:p w14:paraId="1D4A5C70">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2.</w:t>
            </w:r>
            <w:r>
              <w:rPr>
                <w:rFonts w:hint="eastAsia" w:hAnsi="宋体" w:cs="宋体"/>
                <w:color w:val="000000"/>
                <w:szCs w:val="21"/>
              </w:rPr>
              <w:t>支持通过SFTP服务上传大文件；</w:t>
            </w:r>
          </w:p>
          <w:p w14:paraId="073B5EA4">
            <w:pPr>
              <w:pStyle w:val="6"/>
              <w:widowControl/>
              <w:spacing w:line="360" w:lineRule="auto"/>
              <w:ind w:left="360" w:hanging="360"/>
              <w:jc w:val="left"/>
              <w:rPr>
                <w:rFonts w:hint="eastAsia" w:hAnsi="宋体" w:cs="宋体"/>
                <w:color w:val="000000"/>
                <w:szCs w:val="21"/>
              </w:rPr>
            </w:pPr>
            <w:r>
              <w:rPr>
                <w:rFonts w:hint="eastAsia" w:hAnsi="宋体" w:cs="宋体"/>
                <w:color w:val="000000"/>
                <w:sz w:val="21"/>
                <w:szCs w:val="21"/>
              </w:rPr>
              <w:t>3.</w:t>
            </w:r>
            <w:r>
              <w:rPr>
                <w:rFonts w:hint="eastAsia" w:hAnsi="宋体" w:cs="宋体"/>
                <w:color w:val="000000"/>
                <w:szCs w:val="21"/>
              </w:rPr>
              <w:t>管理用户创建的数据集，支持文本，图片，音频，视频等类型的数据集添加和删除。</w:t>
            </w:r>
          </w:p>
          <w:p w14:paraId="32958AB5">
            <w:pPr>
              <w:widowControl/>
              <w:spacing w:line="360" w:lineRule="auto"/>
              <w:jc w:val="left"/>
              <w:rPr>
                <w:rFonts w:hint="eastAsia" w:hAnsi="宋体" w:cs="宋体"/>
                <w:color w:val="000000"/>
                <w:szCs w:val="21"/>
              </w:rPr>
            </w:pPr>
            <w:r>
              <w:rPr>
                <w:rFonts w:hint="eastAsia" w:hAnsi="宋体" w:cs="宋体"/>
                <w:color w:val="000000"/>
                <w:szCs w:val="21"/>
              </w:rPr>
              <w:t>四、AI开发：</w:t>
            </w:r>
          </w:p>
          <w:p w14:paraId="49880FE5">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1.</w:t>
            </w:r>
            <w:r>
              <w:rPr>
                <w:rFonts w:hAnsi="宋体" w:cs="宋体"/>
                <w:color w:val="000000"/>
                <w:szCs w:val="21"/>
              </w:rPr>
              <w:t>▲</w:t>
            </w:r>
            <w:r>
              <w:rPr>
                <w:rFonts w:hint="eastAsia" w:hAnsi="宋体" w:cs="宋体"/>
                <w:color w:val="000000"/>
                <w:szCs w:val="21"/>
              </w:rPr>
              <w:t>兼容全系CUDA版本，支持多种国产GPU算子库和运行时环境，以容器镜像的方式集成到系统中；</w:t>
            </w:r>
            <w:r>
              <w:rPr>
                <w:rFonts w:hAnsi="宋体" w:cs="宋体"/>
                <w:color w:val="000000"/>
                <w:szCs w:val="21"/>
              </w:rPr>
              <w:t>提供对应系统功能截图，并加盖投标人公章或投标专用章予以佐证。</w:t>
            </w:r>
          </w:p>
          <w:p w14:paraId="54A9B4DF">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2.</w:t>
            </w:r>
            <w:r>
              <w:rPr>
                <w:rFonts w:hint="eastAsia" w:hAnsi="宋体" w:cs="宋体"/>
                <w:color w:val="000000"/>
                <w:szCs w:val="21"/>
              </w:rPr>
              <w:t>具有镜像管理功能，支持私有镜像仓库，集中化管理用户的镜像。能够提供新建项目、设置用户权限等功能。支持用户对本地镜像的编辑，镜像推送，删除等操作；</w:t>
            </w:r>
          </w:p>
          <w:p w14:paraId="76E70713">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3.</w:t>
            </w:r>
            <w:r>
              <w:rPr>
                <w:rFonts w:hAnsi="宋体" w:cs="宋体"/>
                <w:color w:val="000000"/>
                <w:szCs w:val="21"/>
              </w:rPr>
              <w:t>▲</w:t>
            </w:r>
            <w:r>
              <w:rPr>
                <w:rFonts w:hint="eastAsia" w:hAnsi="宋体" w:cs="宋体"/>
                <w:color w:val="000000"/>
                <w:szCs w:val="21"/>
              </w:rPr>
              <w:t>支持镜像安全扫描。可查看当前版本或者手动更新Trivy 扫描器漏洞库，可手动开关镜像扫描动作，可查看扫描结果。</w:t>
            </w:r>
            <w:r>
              <w:rPr>
                <w:rFonts w:hAnsi="宋体" w:cs="宋体"/>
                <w:color w:val="000000"/>
                <w:szCs w:val="21"/>
              </w:rPr>
              <w:t>提供对应系统功能截图，并加盖投标人公章或投标专用章予以佐证。</w:t>
            </w:r>
          </w:p>
          <w:p w14:paraId="7110C28F">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4.</w:t>
            </w:r>
            <w:r>
              <w:rPr>
                <w:rFonts w:hint="eastAsia" w:hAnsi="宋体" w:cs="宋体"/>
                <w:color w:val="000000"/>
                <w:szCs w:val="21"/>
              </w:rPr>
              <w:t>支持本地上传和外部下载（对接hugging face或者魔塔社区）模型，支持模型版本管理，导出，编辑，共享，删除；支持模型结合推理引擎部署；可上传开源DeepSeek, Qwen3, ChatGLM, LLAMA, Taiyi, Yolo, RestNet模型</w:t>
            </w:r>
          </w:p>
          <w:p w14:paraId="2B5FCFCC">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5.</w:t>
            </w:r>
            <w:r>
              <w:rPr>
                <w:rFonts w:hint="eastAsia" w:hAnsi="宋体" w:cs="宋体"/>
                <w:color w:val="000000"/>
                <w:szCs w:val="21"/>
              </w:rPr>
              <w:t>集成</w:t>
            </w:r>
            <w:r>
              <w:rPr>
                <w:rFonts w:hAnsi="宋体" w:cs="宋体"/>
                <w:color w:val="000000"/>
                <w:szCs w:val="21"/>
              </w:rPr>
              <w:t>Jupyter开发环境，支持用户直接登陆容器，具调试各类作业；支持挂载PVC, 支持配置服务端口，支持配置自动关闭时间；支持Jupyter三种模式</w:t>
            </w:r>
            <w:r>
              <w:rPr>
                <w:rFonts w:ascii="Times New Roman"/>
                <w:color w:val="000000"/>
                <w:szCs w:val="21"/>
              </w:rPr>
              <w:t>​</w:t>
            </w:r>
            <w:r>
              <w:rPr>
                <w:rFonts w:hAnsi="宋体" w:cs="宋体"/>
                <w:color w:val="000000"/>
                <w:szCs w:val="21"/>
              </w:rPr>
              <w:t>：临时模式、直接模式、沙盒模式；可设定资源释放时间；</w:t>
            </w:r>
          </w:p>
          <w:p w14:paraId="3A12458D">
            <w:pPr>
              <w:widowControl/>
              <w:spacing w:line="360" w:lineRule="auto"/>
              <w:jc w:val="left"/>
              <w:rPr>
                <w:rFonts w:hint="eastAsia" w:hAnsi="宋体" w:cs="宋体"/>
                <w:color w:val="000000"/>
                <w:szCs w:val="21"/>
              </w:rPr>
            </w:pPr>
            <w:r>
              <w:rPr>
                <w:rFonts w:hint="eastAsia" w:hAnsi="宋体" w:cs="宋体"/>
                <w:color w:val="000000"/>
                <w:szCs w:val="21"/>
              </w:rPr>
              <w:t>五、AI微调：</w:t>
            </w:r>
          </w:p>
          <w:p w14:paraId="20A531A1">
            <w:pPr>
              <w:pStyle w:val="6"/>
              <w:widowControl/>
              <w:numPr>
                <w:ilvl w:val="1"/>
                <w:numId w:val="0"/>
              </w:numPr>
              <w:spacing w:line="360" w:lineRule="auto"/>
              <w:ind w:left="440" w:hanging="440"/>
              <w:jc w:val="left"/>
              <w:rPr>
                <w:rFonts w:hint="eastAsia" w:hAnsi="宋体" w:cs="宋体"/>
                <w:color w:val="000000"/>
                <w:szCs w:val="21"/>
              </w:rPr>
            </w:pPr>
            <w:r>
              <w:rPr>
                <w:rFonts w:hint="eastAsia" w:hAnsi="宋体" w:cs="宋体"/>
                <w:color w:val="000000"/>
                <w:sz w:val="21"/>
                <w:szCs w:val="21"/>
              </w:rPr>
              <w:t>1.</w:t>
            </w:r>
            <w:r>
              <w:rPr>
                <w:rFonts w:hint="eastAsia" w:hAnsi="宋体" w:cs="宋体"/>
                <w:color w:val="000000"/>
                <w:szCs w:val="21"/>
              </w:rPr>
              <w:t>提供用户对大语言模型（包括DeepSeek蒸馏模型，Qwen3,  LLAMA， QWEN）进行微调功能，支持主流的SFT任务；支持业界最常用的Full/LoRA微调方法。支持通过页面创建/查看/删除微调任务，支持微调任务的启动和停止；支持查询微调任务运行状态。微调任务也支持性能监控，日志下载，容错断点续训保护，日志查看金和SSH登录容器；</w:t>
            </w:r>
          </w:p>
          <w:p w14:paraId="78988AE5">
            <w:pPr>
              <w:pStyle w:val="6"/>
              <w:widowControl/>
              <w:numPr>
                <w:ilvl w:val="1"/>
                <w:numId w:val="0"/>
              </w:numPr>
              <w:spacing w:line="360" w:lineRule="auto"/>
              <w:ind w:left="440" w:hanging="440"/>
              <w:jc w:val="left"/>
              <w:rPr>
                <w:rFonts w:hint="eastAsia" w:hAnsi="宋体" w:cs="宋体"/>
                <w:color w:val="000000"/>
                <w:szCs w:val="21"/>
              </w:rPr>
            </w:pPr>
            <w:r>
              <w:rPr>
                <w:rFonts w:hint="eastAsia" w:hAnsi="宋体" w:cs="宋体"/>
                <w:color w:val="000000"/>
                <w:sz w:val="21"/>
                <w:szCs w:val="21"/>
              </w:rPr>
              <w:t>2.</w:t>
            </w:r>
            <w:r>
              <w:rPr>
                <w:rFonts w:hint="eastAsia" w:hAnsi="宋体" w:cs="宋体"/>
                <w:color w:val="000000"/>
                <w:szCs w:val="21"/>
              </w:rPr>
              <w:t>GRPO微调：提供DeepSeek提出的强化微调算法GRPO。支持用户对大语言模型（包括DeepSeek蒸馏模型，Qwen3,  LLAMA， QWEN）进行强化学习微调，支持GRPO特有的微调参数并内置5种通用性较强的奖励函数，支持通过页面修改奖励函数的参数和权重，强化学习微调任务支持性能监控，日志下载，容错断点续训保护，日志查看金和SSH登录容器；</w:t>
            </w:r>
          </w:p>
          <w:p w14:paraId="76BB2307">
            <w:pPr>
              <w:widowControl/>
              <w:spacing w:line="360" w:lineRule="auto"/>
              <w:jc w:val="left"/>
              <w:rPr>
                <w:rFonts w:hint="eastAsia" w:hAnsi="宋体" w:cs="宋体"/>
                <w:color w:val="000000"/>
                <w:szCs w:val="21"/>
              </w:rPr>
            </w:pPr>
            <w:r>
              <w:rPr>
                <w:rFonts w:hint="eastAsia" w:hAnsi="宋体" w:cs="宋体"/>
                <w:color w:val="000000"/>
                <w:szCs w:val="21"/>
              </w:rPr>
              <w:t>六、AI推理：</w:t>
            </w:r>
          </w:p>
          <w:p w14:paraId="2D017CC0">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1.</w:t>
            </w:r>
            <w:r>
              <w:rPr>
                <w:rFonts w:hint="eastAsia" w:hAnsi="宋体" w:cs="宋体"/>
                <w:color w:val="000000"/>
                <w:szCs w:val="21"/>
              </w:rPr>
              <w:t>支持AI模型的部署和监控，支持Triton， SGLang，vLLM和用户自定义通用推理加速框架；支持使用PVC持久卷挂载；支持DeepSeek、Qwen等大模型的分布式部署和单机部署；支持Deepseek v4部署</w:t>
            </w:r>
          </w:p>
          <w:p w14:paraId="4D2204CB">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2.</w:t>
            </w:r>
            <w:r>
              <w:rPr>
                <w:rFonts w:hint="eastAsia" w:hAnsi="宋体" w:cs="宋体"/>
                <w:color w:val="000000"/>
                <w:szCs w:val="21"/>
              </w:rPr>
              <w:t>支持推理任务停止，编辑，复制，删除；推理引擎支持多副本，每个副本是一个推理服务（多机多卡），流量平均分配；</w:t>
            </w:r>
          </w:p>
          <w:p w14:paraId="357FAA84">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3.</w:t>
            </w:r>
            <w:r>
              <w:rPr>
                <w:rFonts w:hint="eastAsia" w:hAnsi="宋体" w:cs="宋体"/>
                <w:color w:val="000000"/>
                <w:szCs w:val="21"/>
              </w:rPr>
              <w:t>所有实例的信息详情，包括名称，状态，优先级，提交时间，运行程序，资源分配等；可视化监控每个实例的资源消耗，包括CPU、内存、加速卡的实时监控，提供页面化的实时动态趋势图展示，支持1/2/4/6/12/24小时监控；支持日志下载；</w:t>
            </w:r>
          </w:p>
          <w:p w14:paraId="3F61E99D">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4.</w:t>
            </w:r>
            <w:r>
              <w:rPr>
                <w:rFonts w:hAnsi="宋体" w:cs="宋体"/>
                <w:color w:val="000000"/>
                <w:szCs w:val="21"/>
              </w:rPr>
              <w:t>▲</w:t>
            </w:r>
            <w:r>
              <w:rPr>
                <w:rFonts w:hint="eastAsia" w:hAnsi="宋体" w:cs="宋体"/>
                <w:color w:val="000000"/>
                <w:szCs w:val="21"/>
              </w:rPr>
              <w:t>提供统一的</w:t>
            </w:r>
            <w:r>
              <w:rPr>
                <w:rFonts w:hAnsi="宋体" w:cs="宋体"/>
                <w:color w:val="000000"/>
                <w:szCs w:val="21"/>
              </w:rPr>
              <w:t>OpenAI兼容接口，实现各类大模型接口的标准化调用；支持密钥鉴权机制，保障接口访问安全；API网关支持按照服务名的多模型路由和按照流量比例分配的路由策略</w:t>
            </w:r>
            <w:r>
              <w:rPr>
                <w:rFonts w:ascii="Times New Roman"/>
                <w:color w:val="000000"/>
                <w:szCs w:val="21"/>
              </w:rPr>
              <w:t>​</w:t>
            </w:r>
            <w:r>
              <w:rPr>
                <w:rFonts w:hAnsi="宋体" w:cs="宋体"/>
                <w:color w:val="000000"/>
                <w:szCs w:val="21"/>
              </w:rPr>
              <w:t>；提供对应系统功能截图，并加盖投标人公章或投标专用章予以佐证。</w:t>
            </w:r>
          </w:p>
          <w:p w14:paraId="053BDADE">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5.</w:t>
            </w:r>
            <w:r>
              <w:rPr>
                <w:rFonts w:hint="eastAsia" w:hAnsi="宋体" w:cs="宋体"/>
                <w:color w:val="000000"/>
                <w:szCs w:val="21"/>
              </w:rPr>
              <w:t>监控API网关的性能指标，包括输入输出总Token数，输入输出吞吐率，1小时到30天的历史趋势等。也可以从模型视图，服务视图，消费者视图不同角度展示输入输出的token分布；</w:t>
            </w:r>
          </w:p>
          <w:p w14:paraId="6B54488A">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6.</w:t>
            </w:r>
            <w:r>
              <w:rPr>
                <w:rFonts w:hint="eastAsia" w:hAnsi="宋体" w:cs="宋体"/>
                <w:color w:val="000000"/>
                <w:szCs w:val="21"/>
              </w:rPr>
              <w:t>支持API Key的创建、编辑、删除操作；</w:t>
            </w:r>
          </w:p>
          <w:p w14:paraId="30857A03">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7.</w:t>
            </w:r>
            <w:r>
              <w:rPr>
                <w:rFonts w:hAnsi="宋体" w:cs="宋体"/>
                <w:color w:val="000000"/>
                <w:szCs w:val="21"/>
              </w:rPr>
              <w:t>▲</w:t>
            </w:r>
            <w:r>
              <w:rPr>
                <w:rFonts w:hint="eastAsia" w:hAnsi="宋体" w:cs="宋体"/>
                <w:color w:val="000000"/>
                <w:szCs w:val="21"/>
              </w:rPr>
              <w:t>支持可定制查看推理服务性能相关监控指标，包括实时显示当前的首token延时，生成token延时，排队请求数，吞吐量，端到端响应时间，当前请求数，输入和输出token总数；图形化显示吞吐量，生成token延时， QPS每秒请求量，缓存命中率， 首词元延迟， 端到端响应时间的1小时、24小时、7天，30天的历史曲线；</w:t>
            </w:r>
            <w:r>
              <w:rPr>
                <w:rFonts w:hAnsi="宋体" w:cs="宋体"/>
                <w:color w:val="000000"/>
                <w:szCs w:val="21"/>
              </w:rPr>
              <w:t>提供对应系统功能截图，并加盖投标人公章或投标专用章予以佐证。</w:t>
            </w:r>
          </w:p>
          <w:p w14:paraId="6E6AA764">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8.</w:t>
            </w:r>
            <w:r>
              <w:rPr>
                <w:rFonts w:hint="eastAsia" w:hAnsi="宋体" w:cs="宋体"/>
                <w:color w:val="000000"/>
                <w:szCs w:val="21"/>
              </w:rPr>
              <w:t>提供对推理服务的API进行图形化对话框；</w:t>
            </w:r>
          </w:p>
          <w:p w14:paraId="2AACE62F">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9.</w:t>
            </w:r>
            <w:r>
              <w:rPr>
                <w:rFonts w:hint="eastAsia" w:hAnsi="宋体" w:cs="宋体"/>
                <w:color w:val="000000"/>
                <w:szCs w:val="21"/>
              </w:rPr>
              <w:t>公有模型汇集主流大模型，可查看模型详情，包括模型名称，大小，支持GPU类型，最大上下文长度，发布日期，许可协议；可直接发起模型部署，匹配性能优化镜像，选择则魔方匹配最佳算力资源，实现最佳性能的部署方式；</w:t>
            </w:r>
          </w:p>
          <w:p w14:paraId="60080E5F">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10.</w:t>
            </w:r>
            <w:r>
              <w:rPr>
                <w:rFonts w:hint="eastAsia" w:hAnsi="宋体" w:cs="宋体"/>
                <w:color w:val="000000"/>
                <w:szCs w:val="21"/>
              </w:rPr>
              <w:t>可创建性能测试任务，测试模型的输出性能，包括测试数据集，输入输出长度，并发数测试，性能输出以界面形式展示；</w:t>
            </w:r>
          </w:p>
          <w:p w14:paraId="5C10F176">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11.</w:t>
            </w:r>
            <w:r>
              <w:rPr>
                <w:rFonts w:hint="eastAsia" w:hAnsi="宋体" w:cs="宋体"/>
                <w:color w:val="000000"/>
                <w:szCs w:val="21"/>
              </w:rPr>
              <w:t>可创建能力测试任务，测试模型能力得分：可设置测试数据集，输出模型得分；</w:t>
            </w:r>
          </w:p>
          <w:p w14:paraId="69317A77">
            <w:pPr>
              <w:widowControl/>
              <w:spacing w:line="360" w:lineRule="auto"/>
              <w:jc w:val="left"/>
              <w:rPr>
                <w:rFonts w:hint="eastAsia" w:hAnsi="宋体" w:cs="宋体"/>
                <w:color w:val="000000"/>
                <w:szCs w:val="21"/>
              </w:rPr>
            </w:pPr>
            <w:r>
              <w:rPr>
                <w:rFonts w:hint="eastAsia" w:hAnsi="宋体" w:cs="宋体"/>
                <w:color w:val="000000"/>
                <w:szCs w:val="21"/>
              </w:rPr>
              <w:t>七、运维管理：</w:t>
            </w:r>
          </w:p>
          <w:p w14:paraId="4F07B0D4">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1.</w:t>
            </w:r>
            <w:r>
              <w:rPr>
                <w:rFonts w:hint="eastAsia" w:hAnsi="宋体" w:cs="宋体"/>
                <w:color w:val="000000"/>
                <w:szCs w:val="21"/>
              </w:rPr>
              <w:t>支持企业级操作系统Rocky,Ubuntu, kylin；</w:t>
            </w:r>
          </w:p>
          <w:p w14:paraId="35D5438B">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2.</w:t>
            </w:r>
            <w:r>
              <w:rPr>
                <w:rFonts w:hint="eastAsia" w:hAnsi="宋体" w:cs="宋体"/>
                <w:color w:val="000000"/>
                <w:szCs w:val="21"/>
              </w:rPr>
              <w:t>支持https方式的web登录，支持IP地址或者DNS解析登录；</w:t>
            </w:r>
          </w:p>
          <w:p w14:paraId="2FA5E500">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3.</w:t>
            </w:r>
            <w:r>
              <w:rPr>
                <w:rFonts w:hint="eastAsia" w:hAnsi="宋体" w:cs="宋体"/>
                <w:color w:val="000000"/>
                <w:szCs w:val="21"/>
              </w:rPr>
              <w:t>管理节点和计算节点全部容器化部署，微服务架构便于扩展；</w:t>
            </w:r>
          </w:p>
          <w:p w14:paraId="215D1FDA">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4.</w:t>
            </w:r>
            <w:r>
              <w:rPr>
                <w:rFonts w:hint="eastAsia" w:hAnsi="宋体" w:cs="宋体"/>
                <w:color w:val="000000"/>
                <w:szCs w:val="21"/>
              </w:rPr>
              <w:t>支持单节点，2-4节点部署模式；支持管理与GPU计算节点混合部署；支持管理节点单节点或者多节点高可用模式；支持本地存储或者外部存储；支持以太网，RoCE，IB网络；</w:t>
            </w:r>
          </w:p>
          <w:p w14:paraId="5088DEC7">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5.</w:t>
            </w:r>
            <w:r>
              <w:rPr>
                <w:rFonts w:hint="eastAsia" w:hAnsi="宋体" w:cs="宋体"/>
                <w:color w:val="000000"/>
                <w:szCs w:val="21"/>
              </w:rPr>
              <w:t>支持数据发送到Grafana 视图，可自定义展示内容，包括GPU报警，每一块卡的GPU利用率，GPU温度，GPU功耗，GPU显存利用率；</w:t>
            </w:r>
          </w:p>
          <w:p w14:paraId="1CAA2C10">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6.</w:t>
            </w:r>
            <w:r>
              <w:rPr>
                <w:rFonts w:hAnsi="宋体" w:cs="宋体"/>
                <w:color w:val="000000"/>
                <w:szCs w:val="21"/>
              </w:rPr>
              <w:t>▲</w:t>
            </w:r>
            <w:r>
              <w:rPr>
                <w:rFonts w:hint="eastAsia" w:hAnsi="宋体" w:cs="宋体"/>
                <w:color w:val="000000"/>
                <w:szCs w:val="21"/>
              </w:rPr>
              <w:t>支持多维度的GPU卡概况和状态的统计和监控（按集群，节点类型，GPU型号等）；</w:t>
            </w:r>
            <w:r>
              <w:rPr>
                <w:rFonts w:hAnsi="宋体" w:cs="宋体"/>
                <w:color w:val="000000"/>
                <w:szCs w:val="21"/>
              </w:rPr>
              <w:t>提供对应系统功能截图，并加盖投标人公章或投标专用章予以佐证。</w:t>
            </w:r>
          </w:p>
          <w:p w14:paraId="55D0679B">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7.</w:t>
            </w:r>
            <w:r>
              <w:rPr>
                <w:rFonts w:hAnsi="宋体" w:cs="宋体"/>
                <w:color w:val="000000"/>
                <w:szCs w:val="21"/>
              </w:rPr>
              <w:t>▲</w:t>
            </w:r>
            <w:r>
              <w:rPr>
                <w:rFonts w:hint="eastAsia" w:hAnsi="宋体" w:cs="宋体"/>
                <w:color w:val="000000"/>
                <w:szCs w:val="21"/>
              </w:rPr>
              <w:t>GPU热点图，支持按使用率，温度，功耗等指标展示； 精确到单机单卡的监控，指标包括GPU算力使用率和显存使用率，温度、PCIe链路带宽等； 可查看制定GPU的详情，包括摘要，监控，虚拟化，负载，警报等"。</w:t>
            </w:r>
            <w:r>
              <w:rPr>
                <w:rFonts w:hAnsi="宋体" w:cs="宋体"/>
                <w:color w:val="000000"/>
                <w:szCs w:val="21"/>
              </w:rPr>
              <w:t>提供对应系统功能截图，并加盖投标人公章或投标专用章予以佐证。</w:t>
            </w:r>
          </w:p>
          <w:p w14:paraId="323D6E74">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8.</w:t>
            </w:r>
            <w:r>
              <w:rPr>
                <w:rFonts w:hint="eastAsia" w:hAnsi="宋体" w:cs="宋体"/>
                <w:color w:val="000000"/>
                <w:szCs w:val="21"/>
              </w:rPr>
              <w:t>告警页面展示硬件，OS， k8s和任务的告警采集，展现等；事件日志提供了已检测到的管理状况（资源事件）的历史记录以及用户操作（审核事件）的审核跟踪；并支持报警信息全部或者部分导出为XLSX，CSV，JSON格式的文件；告警信息能够在页面通过配置邮件服务器方式进行报送；支持可信证书和服务器证书的管理；</w:t>
            </w:r>
          </w:p>
          <w:p w14:paraId="093AA6F6">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9.</w:t>
            </w:r>
            <w:r>
              <w:rPr>
                <w:rFonts w:hAnsi="宋体" w:cs="宋体"/>
                <w:color w:val="000000"/>
                <w:szCs w:val="21"/>
              </w:rPr>
              <w:t>▲</w:t>
            </w:r>
            <w:r>
              <w:rPr>
                <w:rFonts w:hint="eastAsia" w:hAnsi="宋体" w:cs="宋体"/>
                <w:color w:val="000000"/>
                <w:szCs w:val="21"/>
              </w:rPr>
              <w:t>支持管理员全面查看并分析平台上所有任务（包括训练、推理及工具类任务）的运行状态与资源占用情况。系统提供任务所消耗的详细资源信息，如 Pod 数量、CPU 核数、内存大小、GPU 卡数量，以及排队时长或运行时长。基于这些数据，管理员可执行停止或删除操作，灵活调整任务优先级，从而更高效、合理地分配集群资源。</w:t>
            </w:r>
            <w:r>
              <w:rPr>
                <w:rFonts w:hAnsi="宋体" w:cs="宋体"/>
                <w:color w:val="000000"/>
                <w:szCs w:val="21"/>
              </w:rPr>
              <w:t>提供对应系统功能截图，并加盖投标人公章或投标专用章予以佐证。</w:t>
            </w:r>
          </w:p>
          <w:p w14:paraId="1B0C75F6">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rPr>
              <w:t>10.</w:t>
            </w:r>
            <w:r>
              <w:rPr>
                <w:rFonts w:hint="eastAsia" w:hAnsi="宋体" w:cs="宋体"/>
                <w:color w:val="000000"/>
                <w:szCs w:val="21"/>
              </w:rPr>
              <w:t>支持登录界面的自定义LOGO和标题，主持主页面的LOGO变更；</w:t>
            </w:r>
          </w:p>
          <w:p w14:paraId="60054624">
            <w:pPr>
              <w:widowControl/>
              <w:spacing w:line="360" w:lineRule="auto"/>
              <w:jc w:val="left"/>
              <w:rPr>
                <w:rFonts w:hint="eastAsia" w:hAnsi="宋体" w:cs="宋体"/>
                <w:color w:val="000000"/>
                <w:szCs w:val="21"/>
              </w:rPr>
            </w:pPr>
            <w:bookmarkStart w:id="0" w:name="OLE_LINK17"/>
            <w:r>
              <w:rPr>
                <w:rFonts w:hint="eastAsia" w:hAnsi="宋体" w:cs="宋体"/>
                <w:color w:val="000000"/>
                <w:szCs w:val="21"/>
              </w:rPr>
              <w:t>八、</w:t>
            </w:r>
            <w:r>
              <w:rPr>
                <w:rFonts w:hint="eastAsia" w:hAnsi="宋体" w:cs="宋体"/>
                <w:color w:val="000000"/>
                <w:szCs w:val="21"/>
                <w:lang w:eastAsia="zh-CN"/>
              </w:rPr>
              <w:t>产品要求</w:t>
            </w:r>
            <w:r>
              <w:rPr>
                <w:rFonts w:hint="eastAsia" w:hAnsi="宋体" w:cs="宋体"/>
                <w:color w:val="000000"/>
                <w:szCs w:val="21"/>
              </w:rPr>
              <w:t>：</w:t>
            </w:r>
          </w:p>
          <w:p w14:paraId="78148C4F">
            <w:pPr>
              <w:pStyle w:val="6"/>
              <w:widowControl/>
              <w:spacing w:line="360" w:lineRule="auto"/>
              <w:ind w:left="440" w:hanging="440"/>
              <w:jc w:val="left"/>
              <w:rPr>
                <w:rFonts w:hint="eastAsia" w:hAnsi="宋体" w:cs="宋体"/>
                <w:color w:val="000000"/>
                <w:szCs w:val="21"/>
                <w:highlight w:val="none"/>
              </w:rPr>
            </w:pPr>
            <w:r>
              <w:rPr>
                <w:rFonts w:hint="eastAsia" w:hAnsi="宋体" w:cs="宋体"/>
                <w:color w:val="000000"/>
                <w:sz w:val="21"/>
                <w:szCs w:val="21"/>
                <w:highlight w:val="none"/>
              </w:rPr>
              <w:t>1.</w:t>
            </w:r>
            <w:r>
              <w:rPr>
                <w:rFonts w:hAnsi="宋体" w:cs="宋体"/>
                <w:color w:val="000000"/>
                <w:szCs w:val="21"/>
                <w:highlight w:val="none"/>
              </w:rPr>
              <w:t>▲</w:t>
            </w:r>
            <w:r>
              <w:rPr>
                <w:rFonts w:hint="eastAsia" w:hAnsi="宋体" w:cs="宋体"/>
                <w:color w:val="000000"/>
                <w:szCs w:val="21"/>
                <w:highlight w:val="none"/>
              </w:rPr>
              <w:t>提供相关软著；</w:t>
            </w:r>
          </w:p>
          <w:bookmarkEnd w:id="0"/>
          <w:p w14:paraId="5708D3A6">
            <w:pPr>
              <w:pStyle w:val="6"/>
              <w:widowControl/>
              <w:spacing w:line="360" w:lineRule="auto"/>
              <w:ind w:left="440" w:hanging="440"/>
              <w:jc w:val="left"/>
              <w:rPr>
                <w:rFonts w:hint="eastAsia" w:hAnsi="宋体" w:cs="宋体"/>
                <w:color w:val="000000"/>
                <w:szCs w:val="21"/>
                <w:highlight w:val="none"/>
              </w:rPr>
            </w:pPr>
            <w:r>
              <w:rPr>
                <w:rFonts w:hint="eastAsia" w:hAnsi="宋体" w:cs="宋体"/>
                <w:color w:val="000000"/>
                <w:sz w:val="21"/>
                <w:szCs w:val="21"/>
                <w:highlight w:val="none"/>
              </w:rPr>
              <w:t>2.</w:t>
            </w:r>
            <w:r>
              <w:rPr>
                <w:rFonts w:hAnsi="宋体" w:cs="宋体"/>
                <w:color w:val="000000"/>
                <w:szCs w:val="21"/>
                <w:highlight w:val="none"/>
              </w:rPr>
              <w:t xml:space="preserve"> ▲</w:t>
            </w:r>
            <w:r>
              <w:rPr>
                <w:rFonts w:hint="eastAsia" w:hAnsi="宋体" w:cs="宋体"/>
                <w:color w:val="000000"/>
                <w:szCs w:val="21"/>
                <w:highlight w:val="none"/>
              </w:rPr>
              <w:t>提供三家以上的国产GPU兼容性认证证书；</w:t>
            </w:r>
          </w:p>
          <w:p w14:paraId="13930E95">
            <w:pPr>
              <w:pStyle w:val="6"/>
              <w:widowControl/>
              <w:spacing w:line="360" w:lineRule="auto"/>
              <w:ind w:left="440" w:hanging="440"/>
              <w:jc w:val="left"/>
              <w:rPr>
                <w:rFonts w:hint="eastAsia" w:hAnsi="宋体" w:cs="宋体"/>
                <w:color w:val="000000"/>
                <w:szCs w:val="21"/>
              </w:rPr>
            </w:pPr>
            <w:r>
              <w:rPr>
                <w:rFonts w:hint="eastAsia" w:hAnsi="宋体" w:cs="宋体"/>
                <w:color w:val="000000"/>
                <w:sz w:val="21"/>
                <w:szCs w:val="21"/>
                <w:highlight w:val="none"/>
              </w:rPr>
              <w:t>3.</w:t>
            </w:r>
            <w:r>
              <w:rPr>
                <w:rFonts w:hAnsi="宋体" w:cs="宋体"/>
                <w:color w:val="000000"/>
                <w:szCs w:val="21"/>
                <w:highlight w:val="none"/>
              </w:rPr>
              <w:t>▲</w:t>
            </w:r>
            <w:r>
              <w:rPr>
                <w:rFonts w:hint="eastAsia" w:hAnsi="宋体" w:cs="宋体"/>
                <w:color w:val="000000"/>
                <w:szCs w:val="21"/>
                <w:highlight w:val="none"/>
              </w:rPr>
              <w:t>提供软件产品相关专利，需提供国家知识产权局（https://www.cnipa.gov.cn/）的查验结果截图。</w:t>
            </w:r>
          </w:p>
        </w:tc>
        <w:tc>
          <w:tcPr>
            <w:tcW w:w="257" w:type="pct"/>
            <w:gridSpan w:val="2"/>
            <w:tcBorders>
              <w:top w:val="nil"/>
              <w:left w:val="nil"/>
              <w:bottom w:val="single" w:color="auto" w:sz="4" w:space="0"/>
              <w:right w:val="single" w:color="auto" w:sz="4" w:space="0"/>
            </w:tcBorders>
            <w:shd w:val="clear" w:color="000000" w:fill="FFFFFF"/>
            <w:vAlign w:val="center"/>
          </w:tcPr>
          <w:p w14:paraId="7D6671E1">
            <w:pPr>
              <w:widowControl/>
              <w:spacing w:line="360" w:lineRule="auto"/>
              <w:jc w:val="center"/>
              <w:rPr>
                <w:rFonts w:hint="eastAsia" w:hAnsi="宋体" w:cs="宋体"/>
                <w:color w:val="000000"/>
                <w:szCs w:val="21"/>
              </w:rPr>
            </w:pPr>
            <w:r>
              <w:rPr>
                <w:rFonts w:hAnsi="宋体" w:cs="宋体"/>
                <w:color w:val="000000"/>
                <w:szCs w:val="21"/>
              </w:rPr>
              <w:t>1</w:t>
            </w:r>
          </w:p>
        </w:tc>
        <w:tc>
          <w:tcPr>
            <w:tcW w:w="303" w:type="pct"/>
            <w:gridSpan w:val="2"/>
            <w:tcBorders>
              <w:top w:val="nil"/>
              <w:left w:val="nil"/>
              <w:bottom w:val="single" w:color="auto" w:sz="4" w:space="0"/>
              <w:right w:val="single" w:color="auto" w:sz="4" w:space="0"/>
            </w:tcBorders>
            <w:shd w:val="clear" w:color="000000" w:fill="FFFFFF"/>
            <w:noWrap/>
            <w:vAlign w:val="center"/>
          </w:tcPr>
          <w:p w14:paraId="22A199E2">
            <w:pPr>
              <w:widowControl/>
              <w:spacing w:line="360" w:lineRule="auto"/>
              <w:jc w:val="center"/>
              <w:rPr>
                <w:rFonts w:hint="eastAsia" w:hAnsi="宋体" w:cs="宋体"/>
                <w:color w:val="000000"/>
                <w:szCs w:val="21"/>
              </w:rPr>
            </w:pPr>
            <w:r>
              <w:rPr>
                <w:rFonts w:hAnsi="宋体" w:cs="宋体"/>
                <w:color w:val="000000"/>
                <w:szCs w:val="21"/>
              </w:rPr>
              <w:t>套</w:t>
            </w:r>
          </w:p>
        </w:tc>
        <w:tc>
          <w:tcPr>
            <w:tcW w:w="265" w:type="pct"/>
            <w:gridSpan w:val="2"/>
            <w:tcBorders>
              <w:top w:val="nil"/>
              <w:left w:val="nil"/>
              <w:bottom w:val="single" w:color="auto" w:sz="4" w:space="0"/>
              <w:right w:val="single" w:color="auto" w:sz="4" w:space="0"/>
            </w:tcBorders>
            <w:shd w:val="clear" w:color="000000" w:fill="FFFFFF"/>
            <w:vAlign w:val="center"/>
          </w:tcPr>
          <w:p w14:paraId="45E45019">
            <w:pPr>
              <w:widowControl/>
              <w:spacing w:line="360" w:lineRule="auto"/>
              <w:jc w:val="center"/>
              <w:rPr>
                <w:rFonts w:hint="eastAsia" w:hAnsi="宋体" w:cs="宋体"/>
                <w:color w:val="FF0000"/>
                <w:szCs w:val="21"/>
              </w:rPr>
            </w:pPr>
          </w:p>
        </w:tc>
      </w:tr>
      <w:tr w14:paraId="3F15B4FC">
        <w:tblPrEx>
          <w:tblCellMar>
            <w:top w:w="0" w:type="dxa"/>
            <w:left w:w="108" w:type="dxa"/>
            <w:bottom w:w="0" w:type="dxa"/>
            <w:right w:w="108" w:type="dxa"/>
          </w:tblCellMar>
        </w:tblPrEx>
        <w:trPr>
          <w:gridAfter w:val="3"/>
          <w:wAfter w:w="125" w:type="pct"/>
          <w:trHeight w:val="312" w:hRule="atLeast"/>
        </w:trPr>
        <w:tc>
          <w:tcPr>
            <w:tcW w:w="326" w:type="pct"/>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6F00B1B9">
            <w:pPr>
              <w:widowControl/>
              <w:spacing w:line="360" w:lineRule="auto"/>
              <w:jc w:val="center"/>
              <w:rPr>
                <w:rFonts w:hint="eastAsia" w:hAnsi="宋体" w:cs="宋体"/>
                <w:color w:val="000000"/>
                <w:szCs w:val="21"/>
              </w:rPr>
            </w:pPr>
            <w:r>
              <w:rPr>
                <w:rFonts w:hAnsi="宋体" w:cs="宋体"/>
                <w:color w:val="000000"/>
                <w:szCs w:val="21"/>
              </w:rPr>
              <w:t>2</w:t>
            </w:r>
          </w:p>
        </w:tc>
        <w:tc>
          <w:tcPr>
            <w:tcW w:w="491" w:type="pct"/>
            <w:vMerge w:val="restart"/>
            <w:tcBorders>
              <w:top w:val="nil"/>
              <w:left w:val="single" w:color="auto" w:sz="4" w:space="0"/>
              <w:bottom w:val="single" w:color="000000" w:sz="4" w:space="0"/>
              <w:right w:val="single" w:color="auto" w:sz="4" w:space="0"/>
            </w:tcBorders>
            <w:shd w:val="clear" w:color="000000" w:fill="FFFFFF"/>
            <w:vAlign w:val="center"/>
          </w:tcPr>
          <w:p w14:paraId="3B5C76F3">
            <w:pPr>
              <w:widowControl/>
              <w:spacing w:line="360" w:lineRule="auto"/>
              <w:jc w:val="center"/>
              <w:rPr>
                <w:rFonts w:hint="eastAsia" w:hAnsi="宋体" w:cs="宋体"/>
                <w:color w:val="000000"/>
                <w:szCs w:val="21"/>
              </w:rPr>
            </w:pPr>
            <w:r>
              <w:rPr>
                <w:rFonts w:hAnsi="宋体" w:cs="宋体"/>
                <w:color w:val="000000"/>
                <w:szCs w:val="21"/>
              </w:rPr>
              <w:t>办公智能体</w:t>
            </w:r>
          </w:p>
        </w:tc>
        <w:tc>
          <w:tcPr>
            <w:tcW w:w="3228" w:type="pct"/>
            <w:vMerge w:val="restart"/>
            <w:tcBorders>
              <w:top w:val="nil"/>
              <w:left w:val="single" w:color="auto" w:sz="4" w:space="0"/>
              <w:bottom w:val="single" w:color="000000" w:sz="4" w:space="0"/>
              <w:right w:val="single" w:color="auto" w:sz="4" w:space="0"/>
            </w:tcBorders>
            <w:shd w:val="clear" w:color="auto" w:fill="FFFFFF" w:themeFill="background1"/>
            <w:vAlign w:val="center"/>
          </w:tcPr>
          <w:p w14:paraId="4BB1523F">
            <w:pPr>
              <w:widowControl/>
              <w:spacing w:line="360" w:lineRule="auto"/>
              <w:jc w:val="left"/>
              <w:rPr>
                <w:rFonts w:hint="eastAsia" w:hAnsi="宋体" w:cs="宋体"/>
                <w:color w:val="000000"/>
                <w:szCs w:val="21"/>
              </w:rPr>
            </w:pPr>
            <w:r>
              <w:rPr>
                <w:rFonts w:hint="eastAsia" w:hAnsi="宋体" w:cs="宋体"/>
                <w:color w:val="000000"/>
                <w:szCs w:val="21"/>
              </w:rPr>
              <w:t>智能体需要至少具备以下功能：</w:t>
            </w:r>
          </w:p>
          <w:p w14:paraId="41F08B09">
            <w:pPr>
              <w:widowControl/>
              <w:spacing w:line="360" w:lineRule="auto"/>
              <w:jc w:val="left"/>
              <w:rPr>
                <w:rFonts w:hint="eastAsia" w:hAnsi="宋体" w:cs="宋体"/>
                <w:color w:val="000000"/>
                <w:szCs w:val="21"/>
              </w:rPr>
            </w:pPr>
            <w:r>
              <w:rPr>
                <w:rFonts w:hAnsi="宋体" w:cs="宋体"/>
                <w:color w:val="000000"/>
                <w:szCs w:val="21"/>
              </w:rPr>
              <w:t>一、▲基础能力：多模态内容识别能力：系统能够从文字、图片不同模态的数据中提取、分析和理解信息，以识别和理解内容，提供对应系统功能截图，并加盖投标人公章或投标专用章予以佐证。</w:t>
            </w:r>
          </w:p>
          <w:p w14:paraId="0E113D33">
            <w:pPr>
              <w:widowControl/>
              <w:spacing w:line="360" w:lineRule="auto"/>
              <w:jc w:val="left"/>
              <w:rPr>
                <w:rFonts w:hint="eastAsia" w:hAnsi="宋体" w:cs="宋体"/>
                <w:color w:val="000000"/>
                <w:szCs w:val="21"/>
              </w:rPr>
            </w:pPr>
            <w:r>
              <w:rPr>
                <w:rFonts w:hAnsi="宋体" w:cs="宋体"/>
                <w:color w:val="000000"/>
                <w:szCs w:val="21"/>
              </w:rPr>
              <w:t>二、通用问答：</w:t>
            </w:r>
          </w:p>
          <w:p w14:paraId="350967CB">
            <w:pPr>
              <w:widowControl/>
              <w:spacing w:line="360" w:lineRule="auto"/>
              <w:jc w:val="left"/>
              <w:rPr>
                <w:rFonts w:hint="eastAsia" w:hAnsi="宋体" w:cs="宋体"/>
                <w:color w:val="000000"/>
                <w:szCs w:val="21"/>
              </w:rPr>
            </w:pPr>
            <w:r>
              <w:rPr>
                <w:rFonts w:hAnsi="宋体" w:cs="宋体"/>
                <w:color w:val="000000"/>
                <w:szCs w:val="21"/>
              </w:rPr>
              <w:t>1、基础问答能力：支持基于大模型的智能问答功能，支持同时开启深度思考检索功能，以丰富问答效果</w:t>
            </w:r>
          </w:p>
          <w:p w14:paraId="236EB8E0">
            <w:pPr>
              <w:widowControl/>
              <w:spacing w:line="360" w:lineRule="auto"/>
              <w:jc w:val="left"/>
              <w:rPr>
                <w:rFonts w:hint="eastAsia" w:hAnsi="宋体" w:cs="宋体"/>
                <w:color w:val="000000"/>
                <w:szCs w:val="21"/>
              </w:rPr>
            </w:pPr>
            <w:r>
              <w:rPr>
                <w:rFonts w:hAnsi="宋体" w:cs="宋体"/>
                <w:color w:val="000000"/>
                <w:szCs w:val="21"/>
              </w:rPr>
              <w:t>2、深度思考：问答支持深度思考功能，支持展示推理过程</w:t>
            </w:r>
            <w:r>
              <w:rPr>
                <w:rFonts w:hint="eastAsia" w:hAnsi="宋体" w:cs="宋体"/>
                <w:color w:val="000000"/>
                <w:szCs w:val="21"/>
              </w:rPr>
              <w:t>；</w:t>
            </w:r>
          </w:p>
          <w:p w14:paraId="1F729251">
            <w:pPr>
              <w:widowControl/>
              <w:spacing w:line="360" w:lineRule="auto"/>
              <w:jc w:val="left"/>
              <w:rPr>
                <w:rFonts w:hint="eastAsia" w:hAnsi="宋体" w:cs="宋体"/>
                <w:color w:val="000000"/>
                <w:szCs w:val="21"/>
              </w:rPr>
            </w:pPr>
            <w:r>
              <w:rPr>
                <w:rFonts w:hAnsi="宋体" w:cs="宋体"/>
                <w:color w:val="000000"/>
                <w:szCs w:val="21"/>
              </w:rPr>
              <w:t>3、▲高级智能模式：问答应支持高级智能模式，支持处理开放式、多步骤任务：多源信息检索，信息收集，生活策划攻略等任务。支持用户查看智能体的规划，并根据实际情况进行调整，以帮助智能体更好地理解用户需求。执行过程可视化，并支持导出html格式。提供对应系统功能截图，并加盖投标人公章或投标专用章予以佐证。</w:t>
            </w:r>
          </w:p>
          <w:p w14:paraId="2146BC0A">
            <w:pPr>
              <w:widowControl/>
              <w:spacing w:line="360" w:lineRule="auto"/>
              <w:jc w:val="left"/>
              <w:rPr>
                <w:rFonts w:hint="eastAsia" w:hAnsi="宋体" w:cs="宋体"/>
                <w:color w:val="000000"/>
                <w:szCs w:val="21"/>
              </w:rPr>
            </w:pPr>
            <w:r>
              <w:rPr>
                <w:rFonts w:hAnsi="宋体" w:cs="宋体"/>
                <w:color w:val="000000"/>
                <w:szCs w:val="21"/>
              </w:rPr>
              <w:t>三、文稿创作：</w:t>
            </w:r>
          </w:p>
          <w:p w14:paraId="3597563E">
            <w:pPr>
              <w:widowControl/>
              <w:spacing w:line="360" w:lineRule="auto"/>
              <w:jc w:val="left"/>
              <w:rPr>
                <w:rFonts w:hint="eastAsia" w:hAnsi="宋体" w:cs="宋体"/>
                <w:color w:val="000000"/>
                <w:szCs w:val="21"/>
              </w:rPr>
            </w:pPr>
            <w:r>
              <w:rPr>
                <w:rFonts w:hAnsi="宋体" w:cs="宋体"/>
                <w:color w:val="000000"/>
                <w:szCs w:val="21"/>
              </w:rPr>
              <w:t>1、▲文稿支持类型：基于关键词即可生成专业文档，同时支持上传文件进行内容仿写。提供对应系统功能截图，并加盖投标人公章或投标专用章予以佐证。</w:t>
            </w:r>
          </w:p>
          <w:p w14:paraId="7111F375">
            <w:pPr>
              <w:widowControl/>
              <w:spacing w:line="360" w:lineRule="auto"/>
              <w:jc w:val="left"/>
              <w:rPr>
                <w:rFonts w:hint="eastAsia" w:hAnsi="宋体" w:cs="宋体"/>
                <w:color w:val="000000"/>
                <w:szCs w:val="21"/>
              </w:rPr>
            </w:pPr>
            <w:r>
              <w:rPr>
                <w:rFonts w:hAnsi="宋体" w:cs="宋体"/>
                <w:color w:val="000000"/>
                <w:szCs w:val="21"/>
              </w:rPr>
              <w:t>2、扩写：支持文稿扩写，按照提示填写原始内容即可自动扩写，支持自定义扩写篇幅</w:t>
            </w:r>
            <w:r>
              <w:rPr>
                <w:rFonts w:hint="eastAsia" w:hAnsi="宋体" w:cs="宋体"/>
                <w:color w:val="000000"/>
                <w:szCs w:val="21"/>
              </w:rPr>
              <w:t>；</w:t>
            </w:r>
          </w:p>
          <w:p w14:paraId="036C2EA4">
            <w:pPr>
              <w:widowControl/>
              <w:spacing w:line="360" w:lineRule="auto"/>
              <w:jc w:val="left"/>
              <w:rPr>
                <w:rFonts w:hint="eastAsia" w:hAnsi="宋体" w:cs="宋体"/>
                <w:color w:val="000000"/>
                <w:szCs w:val="21"/>
              </w:rPr>
            </w:pPr>
            <w:r>
              <w:rPr>
                <w:rFonts w:hAnsi="宋体" w:cs="宋体"/>
                <w:color w:val="000000"/>
                <w:szCs w:val="21"/>
              </w:rPr>
              <w:t>3、续写：支持文稿续写，能够延续已有文本内容，保持风格一致，拓展文章篇幅</w:t>
            </w:r>
            <w:r>
              <w:rPr>
                <w:rFonts w:hint="eastAsia" w:hAnsi="宋体" w:cs="宋体"/>
                <w:color w:val="000000"/>
                <w:szCs w:val="21"/>
              </w:rPr>
              <w:t>；</w:t>
            </w:r>
          </w:p>
          <w:p w14:paraId="4241DD16">
            <w:pPr>
              <w:widowControl/>
              <w:spacing w:line="360" w:lineRule="auto"/>
              <w:jc w:val="left"/>
              <w:rPr>
                <w:rFonts w:hint="eastAsia" w:hAnsi="宋体" w:cs="宋体"/>
                <w:color w:val="000000"/>
                <w:szCs w:val="21"/>
              </w:rPr>
            </w:pPr>
            <w:r>
              <w:rPr>
                <w:rFonts w:hAnsi="宋体" w:cs="宋体"/>
                <w:color w:val="000000"/>
                <w:szCs w:val="21"/>
              </w:rPr>
              <w:t>4、仿写：支持文稿仿写，支持参考样本文本，创作出具有相似风格的新主题内容</w:t>
            </w:r>
            <w:r>
              <w:rPr>
                <w:rFonts w:hint="eastAsia" w:hAnsi="宋体" w:cs="宋体"/>
                <w:color w:val="000000"/>
                <w:szCs w:val="21"/>
              </w:rPr>
              <w:t>；</w:t>
            </w:r>
          </w:p>
          <w:p w14:paraId="5B634448">
            <w:pPr>
              <w:widowControl/>
              <w:spacing w:line="360" w:lineRule="auto"/>
              <w:jc w:val="left"/>
              <w:rPr>
                <w:rFonts w:hint="eastAsia" w:hAnsi="宋体" w:cs="宋体"/>
                <w:color w:val="000000"/>
                <w:szCs w:val="21"/>
              </w:rPr>
            </w:pPr>
            <w:r>
              <w:rPr>
                <w:rFonts w:hAnsi="宋体" w:cs="宋体"/>
                <w:color w:val="000000"/>
                <w:szCs w:val="21"/>
              </w:rPr>
              <w:t>5、润色：支持文稿润色，支持基于原始文本，定向润色素材内容</w:t>
            </w:r>
            <w:r>
              <w:rPr>
                <w:rFonts w:hint="eastAsia" w:hAnsi="宋体" w:cs="宋体"/>
                <w:color w:val="000000"/>
                <w:szCs w:val="21"/>
              </w:rPr>
              <w:t>；</w:t>
            </w:r>
          </w:p>
          <w:p w14:paraId="3D9DA750">
            <w:pPr>
              <w:widowControl/>
              <w:spacing w:line="360" w:lineRule="auto"/>
              <w:jc w:val="left"/>
              <w:rPr>
                <w:rFonts w:hint="eastAsia" w:hAnsi="宋体" w:cs="宋体"/>
                <w:color w:val="000000"/>
                <w:szCs w:val="21"/>
              </w:rPr>
            </w:pPr>
            <w:r>
              <w:rPr>
                <w:rFonts w:hAnsi="宋体" w:cs="宋体"/>
                <w:color w:val="000000"/>
                <w:szCs w:val="21"/>
              </w:rPr>
              <w:t>6、▲高级智能模式：文档创作应支持高级智能模式，支持基于多源信息进行报告、文章的生成，执行过程可视，并自动生成报告或文章，支持html格式导出；</w:t>
            </w:r>
            <w:bookmarkStart w:id="1" w:name="OLE_LINK20"/>
            <w:r>
              <w:rPr>
                <w:rFonts w:hAnsi="宋体" w:cs="宋体"/>
                <w:color w:val="000000"/>
                <w:szCs w:val="21"/>
              </w:rPr>
              <w:t>提供对应系统功能截图，并加盖投标人公章或投标专用章予以佐证。</w:t>
            </w:r>
            <w:bookmarkEnd w:id="1"/>
          </w:p>
          <w:p w14:paraId="276262DC">
            <w:pPr>
              <w:widowControl/>
              <w:spacing w:line="360" w:lineRule="auto"/>
              <w:jc w:val="left"/>
              <w:rPr>
                <w:rFonts w:hint="eastAsia" w:hAnsi="宋体" w:cs="宋体"/>
                <w:color w:val="000000"/>
                <w:szCs w:val="21"/>
              </w:rPr>
            </w:pPr>
            <w:r>
              <w:rPr>
                <w:rFonts w:hAnsi="宋体" w:cs="宋体"/>
                <w:color w:val="000000"/>
                <w:szCs w:val="21"/>
              </w:rPr>
              <w:t>四、文档解析：</w:t>
            </w:r>
          </w:p>
          <w:p w14:paraId="48E47D84">
            <w:pPr>
              <w:widowControl/>
              <w:spacing w:line="360" w:lineRule="auto"/>
              <w:jc w:val="left"/>
              <w:rPr>
                <w:rFonts w:hint="eastAsia" w:hAnsi="宋体" w:cs="宋体"/>
                <w:color w:val="000000"/>
                <w:szCs w:val="21"/>
              </w:rPr>
            </w:pPr>
            <w:r>
              <w:rPr>
                <w:rFonts w:hAnsi="宋体" w:cs="宋体"/>
                <w:color w:val="000000"/>
                <w:szCs w:val="21"/>
              </w:rPr>
              <w:t>1、知识总结问答：支持上传本地文档快速总结摘要，支持基于本地文档进行知识问答</w:t>
            </w:r>
            <w:r>
              <w:rPr>
                <w:rFonts w:hint="eastAsia" w:hAnsi="宋体" w:cs="宋体"/>
                <w:color w:val="000000"/>
                <w:szCs w:val="21"/>
              </w:rPr>
              <w:t>；</w:t>
            </w:r>
          </w:p>
          <w:p w14:paraId="5D1B85CD">
            <w:pPr>
              <w:widowControl/>
              <w:spacing w:line="360" w:lineRule="auto"/>
              <w:jc w:val="left"/>
              <w:rPr>
                <w:rFonts w:hint="eastAsia" w:hAnsi="宋体" w:cs="宋体"/>
                <w:color w:val="000000"/>
                <w:szCs w:val="21"/>
              </w:rPr>
            </w:pPr>
            <w:r>
              <w:rPr>
                <w:rFonts w:hAnsi="宋体" w:cs="宋体"/>
                <w:color w:val="000000"/>
                <w:szCs w:val="21"/>
              </w:rPr>
              <w:t>2、▲多文档对比分析：支持批量上传多个文档，并针对文档内容进行对比分析；提供对应系统功能截图，并加盖投标人公章或投标专用章予以佐证。</w:t>
            </w:r>
          </w:p>
          <w:p w14:paraId="3326D783">
            <w:pPr>
              <w:widowControl/>
              <w:spacing w:line="360" w:lineRule="auto"/>
              <w:jc w:val="left"/>
              <w:rPr>
                <w:rFonts w:hint="eastAsia" w:hAnsi="宋体" w:cs="宋体"/>
                <w:color w:val="000000"/>
                <w:szCs w:val="21"/>
                <w:highlight w:val="none"/>
              </w:rPr>
            </w:pPr>
            <w:r>
              <w:rPr>
                <w:rFonts w:hAnsi="宋体" w:cs="宋体"/>
                <w:color w:val="000000"/>
                <w:szCs w:val="21"/>
                <w:highlight w:val="none"/>
              </w:rPr>
              <w:t>3、▲文档分类：支持上传doc、docx、txt、pdf，支持单次上传文档数量不少于5个，支持解析单文档大小不小于50M；提供对应系统功能截图，并加盖投标人公章或投标专用章予以佐证。</w:t>
            </w:r>
          </w:p>
          <w:p w14:paraId="77240B73">
            <w:pPr>
              <w:widowControl/>
              <w:spacing w:line="360" w:lineRule="auto"/>
              <w:jc w:val="left"/>
              <w:rPr>
                <w:rFonts w:hint="eastAsia" w:hAnsi="宋体" w:cs="宋体"/>
                <w:color w:val="000000"/>
                <w:szCs w:val="21"/>
              </w:rPr>
            </w:pPr>
            <w:r>
              <w:rPr>
                <w:rFonts w:hAnsi="宋体" w:cs="宋体"/>
                <w:color w:val="000000"/>
                <w:szCs w:val="21"/>
              </w:rPr>
              <w:t>4、▲长文档支持能力：支持长文档阅读和解析，不低于5万字；提供承诺函并加盖投标人公章或投标专用章予以佐证。</w:t>
            </w:r>
          </w:p>
          <w:p w14:paraId="0C5EEB0C">
            <w:pPr>
              <w:widowControl/>
              <w:spacing w:line="360" w:lineRule="auto"/>
              <w:jc w:val="left"/>
              <w:rPr>
                <w:rFonts w:hint="eastAsia" w:hAnsi="宋体" w:cs="宋体"/>
                <w:color w:val="000000"/>
                <w:szCs w:val="21"/>
              </w:rPr>
            </w:pPr>
            <w:r>
              <w:rPr>
                <w:rFonts w:hAnsi="宋体" w:cs="宋体"/>
                <w:color w:val="000000"/>
                <w:szCs w:val="21"/>
              </w:rPr>
              <w:t>五、知识问答：</w:t>
            </w:r>
          </w:p>
          <w:p w14:paraId="6AC45609">
            <w:pPr>
              <w:widowControl/>
              <w:spacing w:line="360" w:lineRule="auto"/>
              <w:jc w:val="left"/>
              <w:rPr>
                <w:rFonts w:hint="eastAsia" w:hAnsi="宋体" w:cs="宋体"/>
                <w:color w:val="000000"/>
                <w:szCs w:val="21"/>
              </w:rPr>
            </w:pPr>
            <w:r>
              <w:rPr>
                <w:rFonts w:hAnsi="宋体" w:cs="宋体"/>
                <w:color w:val="000000"/>
                <w:szCs w:val="21"/>
              </w:rPr>
              <w:t>1、知识库本地文档导入：应支持导入本地文档建设本地知识库，支持格式应包括txt、doc、docx、pdf、pptx、markdown、csv、xlsx</w:t>
            </w:r>
          </w:p>
          <w:p w14:paraId="1A3C573F">
            <w:pPr>
              <w:widowControl/>
              <w:spacing w:line="360" w:lineRule="auto"/>
              <w:jc w:val="left"/>
              <w:rPr>
                <w:rFonts w:hint="eastAsia" w:hAnsi="宋体" w:cs="宋体"/>
                <w:color w:val="000000"/>
                <w:szCs w:val="21"/>
              </w:rPr>
            </w:pPr>
            <w:r>
              <w:rPr>
                <w:rFonts w:hAnsi="宋体" w:cs="宋体"/>
                <w:color w:val="000000"/>
                <w:szCs w:val="21"/>
              </w:rPr>
              <w:t>2、▲知识库API导入：应支持通过API接口直接进行现有知识的导入与更新；提供对应系统功能截图，并加盖投标人公章或投标专用章予以佐证。</w:t>
            </w:r>
          </w:p>
          <w:p w14:paraId="5B31B0E4">
            <w:pPr>
              <w:widowControl/>
              <w:spacing w:line="360" w:lineRule="auto"/>
              <w:jc w:val="left"/>
              <w:rPr>
                <w:rFonts w:hint="eastAsia" w:hAnsi="宋体" w:cs="宋体"/>
                <w:color w:val="000000"/>
                <w:szCs w:val="21"/>
              </w:rPr>
            </w:pPr>
            <w:r>
              <w:rPr>
                <w:rFonts w:hAnsi="宋体" w:cs="宋体"/>
                <w:color w:val="000000"/>
                <w:szCs w:val="21"/>
              </w:rPr>
              <w:t>3、▲知识切片：应支持自动对知识库文档进行切片，支持用户编辑分片，提升问答准确率；提供对应系统功能截图，并加盖投标人公章或投标专用章予以佐证。</w:t>
            </w:r>
          </w:p>
          <w:p w14:paraId="228BA2EF">
            <w:pPr>
              <w:widowControl/>
              <w:spacing w:line="360" w:lineRule="auto"/>
              <w:jc w:val="left"/>
              <w:rPr>
                <w:rFonts w:hint="eastAsia" w:hAnsi="宋体" w:cs="宋体"/>
                <w:color w:val="000000"/>
                <w:szCs w:val="21"/>
              </w:rPr>
            </w:pPr>
            <w:r>
              <w:rPr>
                <w:rFonts w:hAnsi="宋体" w:cs="宋体"/>
                <w:color w:val="000000"/>
                <w:szCs w:val="21"/>
              </w:rPr>
              <w:t>4、知识解析：应支持用户自定义解析策略，包括按文档图片解析、文档表格解析，以便依据实际文档情况调整策略，从而获取更优效果。</w:t>
            </w:r>
          </w:p>
          <w:p w14:paraId="51D075EB">
            <w:pPr>
              <w:widowControl/>
              <w:spacing w:line="360" w:lineRule="auto"/>
              <w:jc w:val="left"/>
              <w:rPr>
                <w:rFonts w:hint="eastAsia" w:hAnsi="宋体" w:cs="宋体"/>
                <w:color w:val="000000"/>
                <w:szCs w:val="21"/>
              </w:rPr>
            </w:pPr>
            <w:r>
              <w:rPr>
                <w:rFonts w:hAnsi="宋体" w:cs="宋体"/>
                <w:color w:val="000000"/>
                <w:szCs w:val="21"/>
              </w:rPr>
              <w:t>六、多语言互译：</w:t>
            </w:r>
          </w:p>
          <w:p w14:paraId="2CEFFD23">
            <w:pPr>
              <w:widowControl/>
              <w:spacing w:line="360" w:lineRule="auto"/>
              <w:jc w:val="left"/>
              <w:rPr>
                <w:rFonts w:hint="eastAsia" w:hAnsi="宋体" w:cs="宋体"/>
                <w:color w:val="000000"/>
                <w:szCs w:val="21"/>
              </w:rPr>
            </w:pPr>
            <w:r>
              <w:rPr>
                <w:rFonts w:hAnsi="宋体" w:cs="宋体"/>
                <w:color w:val="000000"/>
                <w:szCs w:val="21"/>
              </w:rPr>
              <w:t>1、长文本翻译：应支持不少于2000字超长文本的相互翻译</w:t>
            </w:r>
          </w:p>
          <w:p w14:paraId="17E22F2D">
            <w:pPr>
              <w:widowControl/>
              <w:spacing w:line="360" w:lineRule="auto"/>
              <w:jc w:val="left"/>
              <w:rPr>
                <w:rFonts w:hint="eastAsia" w:hAnsi="宋体" w:cs="宋体"/>
                <w:color w:val="000000"/>
                <w:szCs w:val="21"/>
              </w:rPr>
            </w:pPr>
            <w:r>
              <w:rPr>
                <w:rFonts w:hAnsi="宋体" w:cs="宋体"/>
                <w:color w:val="000000"/>
                <w:szCs w:val="21"/>
              </w:rPr>
              <w:t>2、多语种翻译：应支持常见不少于14种语言的相互翻译，包括：中文（简体）、中文（繁体）、英语、法语、德语、葡萄牙语、意大利语、西班牙语、俄语、日语、韩语、泰语、越南语、阿拉伯语；</w:t>
            </w:r>
          </w:p>
          <w:p w14:paraId="429B5E75">
            <w:pPr>
              <w:widowControl/>
              <w:spacing w:line="360" w:lineRule="auto"/>
              <w:jc w:val="left"/>
              <w:rPr>
                <w:rFonts w:hint="eastAsia" w:hAnsi="宋体" w:cs="宋体"/>
                <w:color w:val="000000"/>
                <w:szCs w:val="21"/>
              </w:rPr>
            </w:pPr>
            <w:r>
              <w:rPr>
                <w:rFonts w:hAnsi="宋体" w:cs="宋体"/>
                <w:color w:val="000000"/>
                <w:szCs w:val="21"/>
              </w:rPr>
              <w:t>3、▲多模态内容支持：应支持对文本、图片等多模态形式的内容进行翻译；提供对应系统功能截图，并加盖投标人公章或投标专用章予以佐证。</w:t>
            </w:r>
          </w:p>
          <w:p w14:paraId="6FF43FF3">
            <w:pPr>
              <w:widowControl/>
              <w:spacing w:line="360" w:lineRule="auto"/>
              <w:jc w:val="left"/>
              <w:rPr>
                <w:rFonts w:hint="eastAsia" w:hAnsi="宋体" w:cs="宋体"/>
                <w:color w:val="000000"/>
                <w:szCs w:val="21"/>
              </w:rPr>
            </w:pPr>
            <w:r>
              <w:rPr>
                <w:rFonts w:hAnsi="宋体" w:cs="宋体"/>
                <w:color w:val="000000"/>
                <w:szCs w:val="21"/>
              </w:rPr>
              <w:t>4、多语种识别：系统应支持自动检测输入内容的语言类型</w:t>
            </w:r>
            <w:r>
              <w:rPr>
                <w:rFonts w:hint="eastAsia" w:hAnsi="宋体" w:cs="宋体"/>
                <w:color w:val="000000"/>
                <w:szCs w:val="21"/>
              </w:rPr>
              <w:t>；</w:t>
            </w:r>
          </w:p>
          <w:p w14:paraId="60A4085D">
            <w:pPr>
              <w:widowControl/>
              <w:spacing w:line="360" w:lineRule="auto"/>
              <w:jc w:val="left"/>
              <w:rPr>
                <w:rFonts w:hint="eastAsia" w:hAnsi="宋体" w:cs="宋体"/>
                <w:color w:val="000000"/>
                <w:szCs w:val="21"/>
              </w:rPr>
            </w:pPr>
            <w:r>
              <w:rPr>
                <w:rFonts w:hAnsi="宋体" w:cs="宋体"/>
                <w:color w:val="000000"/>
                <w:szCs w:val="21"/>
              </w:rPr>
              <w:t>七、图片生成：应支持自定义图像比例、风格等参数，快速生成图片</w:t>
            </w:r>
            <w:r>
              <w:rPr>
                <w:rFonts w:hint="eastAsia" w:hAnsi="宋体" w:cs="宋体"/>
                <w:color w:val="000000"/>
                <w:szCs w:val="21"/>
              </w:rPr>
              <w:t>；</w:t>
            </w:r>
          </w:p>
          <w:p w14:paraId="30B74F86">
            <w:pPr>
              <w:widowControl/>
              <w:spacing w:line="360" w:lineRule="auto"/>
              <w:jc w:val="left"/>
              <w:rPr>
                <w:rFonts w:hint="eastAsia" w:hAnsi="宋体" w:cs="宋体"/>
                <w:color w:val="000000"/>
                <w:szCs w:val="21"/>
              </w:rPr>
            </w:pPr>
            <w:r>
              <w:rPr>
                <w:rFonts w:hAnsi="宋体" w:cs="宋体"/>
                <w:color w:val="000000"/>
                <w:szCs w:val="21"/>
              </w:rPr>
              <w:t>八、会话管理：</w:t>
            </w:r>
          </w:p>
          <w:p w14:paraId="676F377D">
            <w:pPr>
              <w:widowControl/>
              <w:spacing w:line="360" w:lineRule="auto"/>
              <w:jc w:val="left"/>
              <w:rPr>
                <w:rFonts w:hint="eastAsia" w:hAnsi="宋体" w:cs="宋体"/>
                <w:color w:val="000000"/>
                <w:szCs w:val="21"/>
              </w:rPr>
            </w:pPr>
            <w:r>
              <w:rPr>
                <w:rFonts w:hAnsi="宋体" w:cs="宋体"/>
                <w:color w:val="000000"/>
                <w:szCs w:val="21"/>
              </w:rPr>
              <w:t>1、历史会话管理：应支持按照账号维度记录历史会话</w:t>
            </w:r>
            <w:r>
              <w:rPr>
                <w:rFonts w:hint="eastAsia" w:hAnsi="宋体" w:cs="宋体"/>
                <w:color w:val="000000"/>
                <w:szCs w:val="21"/>
              </w:rPr>
              <w:t>；</w:t>
            </w:r>
          </w:p>
          <w:p w14:paraId="700E7594">
            <w:pPr>
              <w:widowControl/>
              <w:spacing w:line="360" w:lineRule="auto"/>
              <w:jc w:val="left"/>
              <w:rPr>
                <w:rFonts w:hint="eastAsia" w:hAnsi="宋体" w:cs="宋体"/>
                <w:color w:val="000000"/>
                <w:szCs w:val="21"/>
              </w:rPr>
            </w:pPr>
            <w:r>
              <w:rPr>
                <w:rFonts w:hAnsi="宋体" w:cs="宋体"/>
                <w:color w:val="000000"/>
                <w:szCs w:val="21"/>
              </w:rPr>
              <w:t>2、历史会话管理：应支持对历史对话进行管理，涵盖查看、重命名、删除、搜索等操作</w:t>
            </w:r>
            <w:r>
              <w:rPr>
                <w:rFonts w:hint="eastAsia" w:hAnsi="宋体" w:cs="宋体"/>
                <w:color w:val="000000"/>
                <w:szCs w:val="21"/>
              </w:rPr>
              <w:t>；</w:t>
            </w:r>
          </w:p>
          <w:p w14:paraId="1A62853D">
            <w:pPr>
              <w:widowControl/>
              <w:spacing w:line="360" w:lineRule="auto"/>
              <w:jc w:val="left"/>
              <w:rPr>
                <w:rFonts w:hint="eastAsia" w:hAnsi="宋体" w:cs="宋体"/>
                <w:color w:val="000000"/>
                <w:szCs w:val="21"/>
              </w:rPr>
            </w:pPr>
            <w:r>
              <w:rPr>
                <w:rFonts w:hint="eastAsia" w:hAnsi="宋体" w:cs="宋体"/>
                <w:color w:val="000000"/>
                <w:szCs w:val="21"/>
              </w:rPr>
              <w:t>九</w:t>
            </w:r>
            <w:r>
              <w:rPr>
                <w:rFonts w:hAnsi="宋体" w:cs="宋体"/>
                <w:color w:val="000000"/>
                <w:szCs w:val="21"/>
              </w:rPr>
              <w:t>、AI控制台：</w:t>
            </w:r>
          </w:p>
          <w:p w14:paraId="05497263">
            <w:pPr>
              <w:widowControl/>
              <w:spacing w:line="360" w:lineRule="auto"/>
              <w:jc w:val="left"/>
              <w:rPr>
                <w:rFonts w:hint="eastAsia" w:hAnsi="宋体" w:cs="宋体"/>
                <w:color w:val="000000"/>
                <w:szCs w:val="21"/>
              </w:rPr>
            </w:pPr>
            <w:r>
              <w:rPr>
                <w:rFonts w:hAnsi="宋体" w:cs="宋体"/>
                <w:color w:val="000000"/>
                <w:szCs w:val="21"/>
              </w:rPr>
              <w:t>1、智能体编排：平台应支持智能体无代码配置、组装与在线调试，并提供详细的调试信息/创建工作流Agent，以便支持将特定业务逻辑的工作流直接发布成智能体</w:t>
            </w:r>
            <w:r>
              <w:rPr>
                <w:rFonts w:hint="eastAsia" w:hAnsi="宋体" w:cs="宋体"/>
                <w:color w:val="000000"/>
                <w:szCs w:val="21"/>
              </w:rPr>
              <w:t>；</w:t>
            </w:r>
          </w:p>
          <w:p w14:paraId="1ABD02B3">
            <w:pPr>
              <w:widowControl/>
              <w:spacing w:line="360" w:lineRule="auto"/>
              <w:jc w:val="left"/>
              <w:rPr>
                <w:rFonts w:hint="eastAsia" w:hAnsi="宋体" w:cs="宋体"/>
                <w:color w:val="000000"/>
                <w:szCs w:val="21"/>
              </w:rPr>
            </w:pPr>
            <w:r>
              <w:rPr>
                <w:rFonts w:hAnsi="宋体" w:cs="宋体"/>
                <w:color w:val="000000"/>
                <w:szCs w:val="21"/>
              </w:rPr>
              <w:t>2、提示词管理：平台应支持创建提示词，保存并创建提示词</w:t>
            </w:r>
            <w:r>
              <w:rPr>
                <w:rFonts w:hint="eastAsia" w:hAnsi="宋体" w:cs="宋体"/>
                <w:color w:val="000000"/>
                <w:szCs w:val="21"/>
              </w:rPr>
              <w:t>；</w:t>
            </w:r>
          </w:p>
          <w:p w14:paraId="405C0B16">
            <w:pPr>
              <w:widowControl/>
              <w:spacing w:line="360" w:lineRule="auto"/>
              <w:jc w:val="left"/>
              <w:rPr>
                <w:rFonts w:hint="eastAsia" w:hAnsi="宋体" w:cs="宋体"/>
                <w:color w:val="000000"/>
                <w:szCs w:val="21"/>
              </w:rPr>
            </w:pPr>
            <w:r>
              <w:rPr>
                <w:rFonts w:hAnsi="宋体" w:cs="宋体"/>
                <w:color w:val="000000"/>
                <w:szCs w:val="21"/>
              </w:rPr>
              <w:t>3、插件管理：平台应支持创建插件以调用工具，支持插件管理，包括配置、验证、发布、下线等；平台应支持接入多类插件，例如卡片、文本条、统计图等</w:t>
            </w:r>
            <w:r>
              <w:rPr>
                <w:rFonts w:hint="eastAsia" w:hAnsi="宋体" w:cs="宋体"/>
                <w:color w:val="000000"/>
                <w:szCs w:val="21"/>
              </w:rPr>
              <w:t>；</w:t>
            </w:r>
          </w:p>
          <w:p w14:paraId="54DDABE0">
            <w:pPr>
              <w:widowControl/>
              <w:spacing w:line="360" w:lineRule="auto"/>
              <w:jc w:val="left"/>
              <w:rPr>
                <w:rFonts w:hint="eastAsia" w:hAnsi="宋体" w:cs="宋体"/>
                <w:color w:val="000000"/>
                <w:szCs w:val="21"/>
              </w:rPr>
            </w:pPr>
            <w:r>
              <w:rPr>
                <w:rFonts w:hAnsi="宋体" w:cs="宋体"/>
                <w:color w:val="000000"/>
                <w:szCs w:val="21"/>
              </w:rPr>
              <w:t>4、工作流管理：平台应支持通过托拉拽方式配置工作流，支持在线测试、发布、下线、复制等；平台应支持多种工作流节点组件，包括大模型节点、插件节点、知识库节点、代码节点、选择器节点、意图分类器节点、消息节点、问答节点、SQL查询节点、记忆变量节点、循环节点等</w:t>
            </w:r>
            <w:r>
              <w:rPr>
                <w:rFonts w:hint="eastAsia" w:hAnsi="宋体" w:cs="宋体"/>
                <w:color w:val="000000"/>
                <w:szCs w:val="21"/>
              </w:rPr>
              <w:t>；</w:t>
            </w:r>
          </w:p>
          <w:p w14:paraId="2E82F6C6">
            <w:pPr>
              <w:widowControl/>
              <w:spacing w:line="360" w:lineRule="auto"/>
              <w:jc w:val="left"/>
              <w:rPr>
                <w:rFonts w:hint="eastAsia" w:hAnsi="宋体" w:cs="宋体"/>
                <w:color w:val="000000"/>
                <w:szCs w:val="21"/>
              </w:rPr>
            </w:pPr>
            <w:r>
              <w:rPr>
                <w:rFonts w:hAnsi="宋体" w:cs="宋体"/>
                <w:color w:val="000000"/>
                <w:szCs w:val="21"/>
              </w:rPr>
              <w:t>十、智能体评估：</w:t>
            </w:r>
          </w:p>
          <w:p w14:paraId="7A97915A">
            <w:pPr>
              <w:widowControl/>
              <w:spacing w:line="360" w:lineRule="auto"/>
              <w:jc w:val="left"/>
              <w:rPr>
                <w:rFonts w:hint="eastAsia" w:hAnsi="宋体" w:cs="宋体"/>
                <w:color w:val="000000"/>
                <w:szCs w:val="21"/>
              </w:rPr>
            </w:pPr>
            <w:r>
              <w:rPr>
                <w:rFonts w:hAnsi="宋体" w:cs="宋体"/>
                <w:color w:val="000000"/>
                <w:szCs w:val="21"/>
              </w:rPr>
              <w:t>1、智能体评估：</w:t>
            </w:r>
          </w:p>
          <w:p w14:paraId="7C161157">
            <w:pPr>
              <w:widowControl/>
              <w:spacing w:line="360" w:lineRule="auto"/>
              <w:jc w:val="left"/>
              <w:rPr>
                <w:rFonts w:hint="eastAsia" w:hAnsi="宋体" w:cs="宋体"/>
                <w:color w:val="000000"/>
                <w:szCs w:val="21"/>
              </w:rPr>
            </w:pPr>
            <w:r>
              <w:rPr>
                <w:rFonts w:hAnsi="宋体" w:cs="宋体"/>
                <w:color w:val="000000"/>
                <w:szCs w:val="21"/>
              </w:rPr>
              <w:t>（1）▲平台应支持单/多个智能体评估任务的创建与管理，可在线查看评估报告、评估明细；提供对应系统功能截图，并加盖投标人公章或投标专用章予以佐证</w:t>
            </w:r>
            <w:r>
              <w:rPr>
                <w:rFonts w:hint="eastAsia" w:hAnsi="宋体" w:cs="宋体"/>
                <w:color w:val="000000"/>
                <w:szCs w:val="21"/>
              </w:rPr>
              <w:t>。</w:t>
            </w:r>
          </w:p>
          <w:p w14:paraId="59FBBA7E">
            <w:pPr>
              <w:widowControl/>
              <w:spacing w:line="360" w:lineRule="auto"/>
              <w:jc w:val="left"/>
              <w:rPr>
                <w:rFonts w:hint="eastAsia" w:hAnsi="宋体" w:cs="宋体"/>
                <w:color w:val="000000"/>
                <w:szCs w:val="21"/>
              </w:rPr>
            </w:pPr>
            <w:r>
              <w:rPr>
                <w:rFonts w:hAnsi="宋体" w:cs="宋体"/>
                <w:color w:val="000000"/>
                <w:szCs w:val="21"/>
              </w:rPr>
              <w:t>（2）平台应支持多种评估方式，包括自动评估、专家评估</w:t>
            </w:r>
            <w:r>
              <w:rPr>
                <w:rFonts w:hint="eastAsia" w:hAnsi="宋体" w:cs="宋体"/>
                <w:color w:val="000000"/>
                <w:szCs w:val="21"/>
              </w:rPr>
              <w:t>；</w:t>
            </w:r>
          </w:p>
          <w:p w14:paraId="1B73BDD6">
            <w:pPr>
              <w:widowControl/>
              <w:spacing w:line="360" w:lineRule="auto"/>
              <w:jc w:val="left"/>
              <w:rPr>
                <w:rFonts w:hint="eastAsia" w:hAnsi="宋体" w:cs="宋体"/>
                <w:color w:val="000000"/>
                <w:szCs w:val="21"/>
              </w:rPr>
            </w:pPr>
            <w:r>
              <w:rPr>
                <w:rFonts w:hAnsi="宋体" w:cs="宋体"/>
                <w:color w:val="000000"/>
                <w:szCs w:val="21"/>
              </w:rPr>
              <w:t>2、▲智能体部署：平台创作智能体应支持API调用、SDK网页部署、H5等多种部署模式；提供对应系统功能截图，并加盖投标人公章或投标专用章予以佐证。</w:t>
            </w:r>
          </w:p>
          <w:p w14:paraId="3E80617A">
            <w:pPr>
              <w:widowControl/>
              <w:spacing w:line="360" w:lineRule="auto"/>
              <w:jc w:val="left"/>
              <w:rPr>
                <w:rFonts w:hint="eastAsia" w:hAnsi="宋体" w:cs="宋体"/>
                <w:color w:val="000000"/>
                <w:szCs w:val="21"/>
              </w:rPr>
            </w:pPr>
            <w:r>
              <w:rPr>
                <w:rFonts w:hAnsi="宋体" w:cs="宋体"/>
                <w:color w:val="000000"/>
                <w:szCs w:val="21"/>
              </w:rPr>
              <w:t>十</w:t>
            </w:r>
            <w:r>
              <w:rPr>
                <w:rFonts w:hint="eastAsia" w:hAnsi="宋体" w:cs="宋体"/>
                <w:color w:val="000000"/>
                <w:szCs w:val="21"/>
              </w:rPr>
              <w:t>一</w:t>
            </w:r>
            <w:r>
              <w:rPr>
                <w:rFonts w:hAnsi="宋体" w:cs="宋体"/>
                <w:color w:val="000000"/>
                <w:szCs w:val="21"/>
              </w:rPr>
              <w:t>、运营管理：</w:t>
            </w:r>
          </w:p>
          <w:p w14:paraId="13CC9C38">
            <w:pPr>
              <w:widowControl/>
              <w:spacing w:line="360" w:lineRule="auto"/>
              <w:jc w:val="left"/>
              <w:rPr>
                <w:rFonts w:hint="eastAsia" w:hAnsi="宋体" w:cs="宋体"/>
                <w:color w:val="000000"/>
                <w:szCs w:val="21"/>
              </w:rPr>
            </w:pPr>
            <w:r>
              <w:rPr>
                <w:rFonts w:hAnsi="宋体" w:cs="宋体"/>
                <w:color w:val="000000"/>
                <w:szCs w:val="21"/>
              </w:rPr>
              <w:t>1、▲智能体看板：支持智能体多项指标的监测分析，包括：调用量、算力消耗、活跃用户数、会话数、平均首响时间、好评率、新增用户数、用户留存率、触发技能排名；提供对应系统功能截图，并加盖投标人公章或投标专用章予以佐证。</w:t>
            </w:r>
          </w:p>
          <w:p w14:paraId="3D3028E9">
            <w:pPr>
              <w:widowControl/>
              <w:spacing w:line="360" w:lineRule="auto"/>
              <w:jc w:val="left"/>
              <w:rPr>
                <w:rFonts w:hint="eastAsia" w:hAnsi="宋体" w:cs="宋体"/>
                <w:color w:val="000000"/>
                <w:szCs w:val="21"/>
              </w:rPr>
            </w:pPr>
            <w:r>
              <w:rPr>
                <w:rFonts w:hAnsi="宋体" w:cs="宋体"/>
                <w:color w:val="000000"/>
                <w:szCs w:val="21"/>
              </w:rPr>
              <w:t>2、智能体日志：支持智能体请求明细日志查询与导出</w:t>
            </w:r>
            <w:r>
              <w:rPr>
                <w:rFonts w:hint="eastAsia" w:hAnsi="宋体" w:cs="宋体"/>
                <w:color w:val="000000"/>
                <w:szCs w:val="21"/>
              </w:rPr>
              <w:t>。</w:t>
            </w:r>
          </w:p>
          <w:p w14:paraId="33240A34">
            <w:pPr>
              <w:widowControl/>
              <w:spacing w:line="360" w:lineRule="auto"/>
              <w:jc w:val="left"/>
              <w:rPr>
                <w:rFonts w:hint="eastAsia" w:hAnsi="宋体" w:cs="宋体"/>
                <w:color w:val="000000"/>
                <w:szCs w:val="21"/>
              </w:rPr>
            </w:pPr>
            <w:r>
              <w:rPr>
                <w:rFonts w:hAnsi="宋体" w:cs="宋体"/>
                <w:color w:val="000000"/>
                <w:szCs w:val="21"/>
              </w:rPr>
              <w:t>十</w:t>
            </w:r>
            <w:r>
              <w:rPr>
                <w:rFonts w:hint="eastAsia" w:hAnsi="宋体" w:cs="宋体"/>
                <w:color w:val="000000"/>
                <w:szCs w:val="21"/>
              </w:rPr>
              <w:t>二</w:t>
            </w:r>
            <w:r>
              <w:rPr>
                <w:rFonts w:hAnsi="宋体" w:cs="宋体"/>
                <w:color w:val="000000"/>
                <w:szCs w:val="21"/>
              </w:rPr>
              <w:t>、账号体系：</w:t>
            </w:r>
          </w:p>
          <w:p w14:paraId="7DC45DA4">
            <w:pPr>
              <w:widowControl/>
              <w:spacing w:line="360" w:lineRule="auto"/>
              <w:jc w:val="left"/>
              <w:rPr>
                <w:rFonts w:hint="eastAsia" w:hAnsi="宋体" w:cs="宋体"/>
                <w:color w:val="000000"/>
                <w:szCs w:val="21"/>
              </w:rPr>
            </w:pPr>
            <w:r>
              <w:rPr>
                <w:rFonts w:hAnsi="宋体" w:cs="宋体"/>
                <w:color w:val="000000"/>
                <w:szCs w:val="21"/>
              </w:rPr>
              <w:t>1、账号数据隔离：应支持多租户使用，账号间数据隔离，确保数据安全</w:t>
            </w:r>
            <w:r>
              <w:rPr>
                <w:rFonts w:hint="eastAsia" w:hAnsi="宋体" w:cs="宋体"/>
                <w:color w:val="000000"/>
                <w:szCs w:val="21"/>
              </w:rPr>
              <w:t>；</w:t>
            </w:r>
          </w:p>
          <w:p w14:paraId="6C10B2D1">
            <w:pPr>
              <w:widowControl/>
              <w:spacing w:line="360" w:lineRule="auto"/>
              <w:jc w:val="left"/>
              <w:rPr>
                <w:rFonts w:hint="eastAsia" w:hAnsi="宋体" w:cs="宋体"/>
                <w:color w:val="000000"/>
                <w:szCs w:val="21"/>
              </w:rPr>
            </w:pPr>
            <w:r>
              <w:rPr>
                <w:rFonts w:hAnsi="宋体" w:cs="宋体"/>
                <w:color w:val="000000"/>
                <w:szCs w:val="21"/>
              </w:rPr>
              <w:t>2、AD域对接：平台应支持对接企业现有AD域</w:t>
            </w:r>
          </w:p>
          <w:p w14:paraId="00CAFA59">
            <w:pPr>
              <w:widowControl/>
              <w:spacing w:line="360" w:lineRule="auto"/>
              <w:jc w:val="left"/>
              <w:rPr>
                <w:rFonts w:hint="eastAsia" w:hAnsi="宋体" w:cs="宋体"/>
                <w:color w:val="000000"/>
                <w:szCs w:val="21"/>
              </w:rPr>
            </w:pPr>
            <w:r>
              <w:rPr>
                <w:rFonts w:hAnsi="宋体" w:cs="宋体"/>
                <w:color w:val="000000"/>
                <w:szCs w:val="21"/>
              </w:rPr>
              <w:t>3、密码管理：平台应支持用户自定义用户密码，密码找回，密码重置</w:t>
            </w:r>
            <w:r>
              <w:rPr>
                <w:rFonts w:hint="eastAsia" w:hAnsi="宋体" w:cs="宋体"/>
                <w:color w:val="000000"/>
                <w:szCs w:val="21"/>
              </w:rPr>
              <w:t>；</w:t>
            </w:r>
          </w:p>
          <w:p w14:paraId="5B176617">
            <w:pPr>
              <w:widowControl/>
              <w:spacing w:line="360" w:lineRule="auto"/>
              <w:jc w:val="left"/>
              <w:rPr>
                <w:rFonts w:hint="eastAsia" w:hAnsi="宋体" w:cs="宋体"/>
                <w:color w:val="000000"/>
                <w:szCs w:val="21"/>
              </w:rPr>
            </w:pPr>
            <w:r>
              <w:rPr>
                <w:rFonts w:hAnsi="宋体" w:cs="宋体"/>
                <w:color w:val="000000"/>
                <w:szCs w:val="21"/>
              </w:rPr>
              <w:t>4、账号注销：平台应支持账号注销</w:t>
            </w:r>
            <w:r>
              <w:rPr>
                <w:rFonts w:hint="eastAsia" w:hAnsi="宋体" w:cs="宋体"/>
                <w:color w:val="000000"/>
                <w:szCs w:val="21"/>
              </w:rPr>
              <w:t>；</w:t>
            </w:r>
          </w:p>
          <w:p w14:paraId="2A4B688D">
            <w:pPr>
              <w:widowControl/>
              <w:spacing w:line="360" w:lineRule="auto"/>
              <w:jc w:val="left"/>
              <w:rPr>
                <w:rFonts w:hint="eastAsia" w:hAnsi="宋体" w:cs="宋体"/>
                <w:color w:val="000000"/>
                <w:szCs w:val="21"/>
              </w:rPr>
            </w:pPr>
            <w:r>
              <w:rPr>
                <w:rFonts w:hAnsi="宋体" w:cs="宋体"/>
                <w:color w:val="000000"/>
                <w:szCs w:val="21"/>
              </w:rPr>
              <w:t>十</w:t>
            </w:r>
            <w:r>
              <w:rPr>
                <w:rFonts w:hint="eastAsia" w:hAnsi="宋体" w:cs="宋体"/>
                <w:color w:val="000000"/>
                <w:szCs w:val="21"/>
              </w:rPr>
              <w:t>三</w:t>
            </w:r>
            <w:r>
              <w:rPr>
                <w:rFonts w:hAnsi="宋体" w:cs="宋体"/>
                <w:color w:val="000000"/>
                <w:szCs w:val="21"/>
              </w:rPr>
              <w:t>、</w:t>
            </w:r>
            <w:r>
              <w:rPr>
                <w:rFonts w:hAnsi="宋体" w:cs="宋体"/>
                <w:color w:val="000000"/>
                <w:szCs w:val="21"/>
                <w:highlight w:val="none"/>
              </w:rPr>
              <w:t xml:space="preserve">▲售后服务：提供3年质保服务， </w:t>
            </w:r>
            <w:r>
              <w:rPr>
                <w:rFonts w:hint="eastAsia" w:hAnsi="宋体" w:cs="宋体"/>
                <w:color w:val="000000"/>
                <w:szCs w:val="21"/>
                <w:highlight w:val="none"/>
              </w:rPr>
              <w:t>包含</w:t>
            </w:r>
            <w:r>
              <w:rPr>
                <w:rFonts w:hAnsi="宋体" w:cs="宋体"/>
                <w:color w:val="000000"/>
                <w:szCs w:val="21"/>
                <w:highlight w:val="none"/>
              </w:rPr>
              <w:t>7*24热线服务台</w:t>
            </w:r>
            <w:r>
              <w:rPr>
                <w:rFonts w:hint="eastAsia" w:hAnsi="宋体" w:cs="宋体"/>
                <w:color w:val="000000"/>
                <w:szCs w:val="21"/>
                <w:highlight w:val="none"/>
              </w:rPr>
              <w:t>服务，5*8专家服务。</w:t>
            </w:r>
          </w:p>
          <w:p w14:paraId="521C2F40">
            <w:pPr>
              <w:widowControl/>
              <w:spacing w:line="360" w:lineRule="auto"/>
              <w:jc w:val="left"/>
              <w:rPr>
                <w:rFonts w:hint="eastAsia" w:hAnsi="宋体" w:cs="宋体"/>
                <w:color w:val="000000"/>
                <w:szCs w:val="21"/>
                <w:highlight w:val="none"/>
              </w:rPr>
            </w:pPr>
            <w:r>
              <w:rPr>
                <w:rFonts w:hint="eastAsia" w:hAnsi="宋体" w:cs="宋体"/>
                <w:color w:val="000000"/>
                <w:szCs w:val="21"/>
                <w:highlight w:val="none"/>
              </w:rPr>
              <w:t>十四、</w:t>
            </w:r>
            <w:r>
              <w:rPr>
                <w:rFonts w:hint="eastAsia" w:hAnsi="宋体" w:cs="宋体"/>
                <w:color w:val="000000"/>
                <w:szCs w:val="21"/>
                <w:highlight w:val="none"/>
                <w:lang w:eastAsia="zh-CN"/>
              </w:rPr>
              <w:t>产品要求</w:t>
            </w:r>
            <w:r>
              <w:rPr>
                <w:rFonts w:hint="eastAsia" w:hAnsi="宋体" w:cs="宋体"/>
                <w:color w:val="000000"/>
                <w:szCs w:val="21"/>
                <w:highlight w:val="none"/>
              </w:rPr>
              <w:t>：</w:t>
            </w:r>
          </w:p>
          <w:p w14:paraId="3E8CDF6B">
            <w:pPr>
              <w:widowControl/>
              <w:spacing w:line="360" w:lineRule="auto"/>
              <w:jc w:val="left"/>
              <w:rPr>
                <w:rFonts w:hint="eastAsia" w:hAnsi="宋体" w:cs="宋体"/>
                <w:color w:val="000000"/>
                <w:szCs w:val="21"/>
                <w:highlight w:val="none"/>
              </w:rPr>
            </w:pPr>
            <w:r>
              <w:rPr>
                <w:rFonts w:hint="eastAsia" w:hAnsi="宋体" w:cs="宋体"/>
                <w:color w:val="000000"/>
                <w:szCs w:val="21"/>
                <w:highlight w:val="none"/>
              </w:rPr>
              <w:t>1、</w:t>
            </w:r>
            <w:r>
              <w:rPr>
                <w:rFonts w:hAnsi="宋体" w:cs="宋体"/>
                <w:color w:val="000000"/>
                <w:szCs w:val="21"/>
                <w:highlight w:val="none"/>
              </w:rPr>
              <w:t>▲</w:t>
            </w:r>
            <w:r>
              <w:rPr>
                <w:rFonts w:hint="eastAsia" w:hAnsi="宋体" w:cs="宋体"/>
                <w:color w:val="000000"/>
                <w:szCs w:val="21"/>
                <w:highlight w:val="none"/>
              </w:rPr>
              <w:t>提供相关软著；</w:t>
            </w:r>
          </w:p>
          <w:p w14:paraId="4C62583B">
            <w:pPr>
              <w:widowControl/>
              <w:spacing w:line="360" w:lineRule="auto"/>
              <w:jc w:val="left"/>
              <w:rPr>
                <w:rFonts w:hint="eastAsia" w:hAnsi="宋体" w:cs="宋体"/>
                <w:color w:val="000000"/>
                <w:szCs w:val="21"/>
              </w:rPr>
            </w:pPr>
            <w:r>
              <w:rPr>
                <w:rFonts w:hint="eastAsia" w:hAnsi="宋体"/>
                <w:szCs w:val="21"/>
                <w:highlight w:val="none"/>
              </w:rPr>
              <w:t>2、</w:t>
            </w:r>
            <w:r>
              <w:rPr>
                <w:rFonts w:hAnsi="宋体" w:cs="宋体"/>
                <w:color w:val="000000"/>
                <w:szCs w:val="21"/>
                <w:highlight w:val="none"/>
              </w:rPr>
              <w:t>▲</w:t>
            </w:r>
            <w:r>
              <w:rPr>
                <w:rFonts w:hint="eastAsia" w:hAnsi="宋体"/>
                <w:szCs w:val="21"/>
                <w:highlight w:val="none"/>
              </w:rPr>
              <w:t>提供</w:t>
            </w:r>
            <w:r>
              <w:rPr>
                <w:rFonts w:hAnsi="宋体" w:cs="宋体"/>
                <w:color w:val="000000"/>
                <w:szCs w:val="21"/>
                <w:highlight w:val="none"/>
              </w:rPr>
              <w:t>智能体即服务(AaaS)能力检验证书</w:t>
            </w:r>
            <w:r>
              <w:rPr>
                <w:rFonts w:hint="eastAsia" w:hAnsi="宋体" w:cs="宋体"/>
                <w:color w:val="000000"/>
                <w:szCs w:val="21"/>
                <w:highlight w:val="none"/>
              </w:rPr>
              <w:t>；</w:t>
            </w:r>
          </w:p>
        </w:tc>
        <w:tc>
          <w:tcPr>
            <w:tcW w:w="257" w:type="pct"/>
            <w:gridSpan w:val="2"/>
            <w:vMerge w:val="restart"/>
            <w:tcBorders>
              <w:top w:val="nil"/>
              <w:left w:val="single" w:color="auto" w:sz="4" w:space="0"/>
              <w:bottom w:val="single" w:color="000000" w:sz="4" w:space="0"/>
              <w:right w:val="single" w:color="auto" w:sz="4" w:space="0"/>
            </w:tcBorders>
            <w:shd w:val="clear" w:color="000000" w:fill="FFFFFF"/>
            <w:vAlign w:val="center"/>
          </w:tcPr>
          <w:p w14:paraId="7E44F998">
            <w:pPr>
              <w:widowControl/>
              <w:spacing w:line="360" w:lineRule="auto"/>
              <w:jc w:val="center"/>
              <w:rPr>
                <w:rFonts w:hint="eastAsia" w:hAnsi="宋体" w:cs="宋体"/>
                <w:color w:val="000000"/>
                <w:szCs w:val="21"/>
              </w:rPr>
            </w:pPr>
            <w:r>
              <w:rPr>
                <w:rFonts w:hAnsi="宋体" w:cs="宋体"/>
                <w:color w:val="000000"/>
                <w:szCs w:val="21"/>
              </w:rPr>
              <w:t>1</w:t>
            </w:r>
          </w:p>
        </w:tc>
        <w:tc>
          <w:tcPr>
            <w:tcW w:w="303" w:type="pct"/>
            <w:gridSpan w:val="2"/>
            <w:vMerge w:val="restart"/>
            <w:tcBorders>
              <w:top w:val="nil"/>
              <w:left w:val="single" w:color="auto" w:sz="4" w:space="0"/>
              <w:bottom w:val="single" w:color="000000" w:sz="4" w:space="0"/>
              <w:right w:val="single" w:color="auto" w:sz="4" w:space="0"/>
            </w:tcBorders>
            <w:shd w:val="clear" w:color="000000" w:fill="FFFFFF"/>
            <w:noWrap/>
            <w:vAlign w:val="center"/>
          </w:tcPr>
          <w:p w14:paraId="10D9EA23">
            <w:pPr>
              <w:widowControl/>
              <w:spacing w:line="360" w:lineRule="auto"/>
              <w:jc w:val="center"/>
              <w:rPr>
                <w:rFonts w:hint="eastAsia" w:hAnsi="宋体" w:cs="宋体"/>
                <w:color w:val="000000"/>
                <w:szCs w:val="21"/>
              </w:rPr>
            </w:pPr>
            <w:r>
              <w:rPr>
                <w:rFonts w:hAnsi="宋体" w:cs="宋体"/>
                <w:color w:val="000000"/>
                <w:szCs w:val="21"/>
              </w:rPr>
              <w:t>套</w:t>
            </w:r>
          </w:p>
        </w:tc>
        <w:tc>
          <w:tcPr>
            <w:tcW w:w="265" w:type="pct"/>
            <w:gridSpan w:val="2"/>
            <w:vMerge w:val="restart"/>
            <w:tcBorders>
              <w:top w:val="nil"/>
              <w:left w:val="single" w:color="auto" w:sz="4" w:space="0"/>
              <w:bottom w:val="single" w:color="000000" w:sz="4" w:space="0"/>
              <w:right w:val="single" w:color="auto" w:sz="4" w:space="0"/>
            </w:tcBorders>
            <w:shd w:val="clear" w:color="000000" w:fill="FFFFFF"/>
            <w:vAlign w:val="center"/>
          </w:tcPr>
          <w:p w14:paraId="4AA64F83">
            <w:pPr>
              <w:widowControl/>
              <w:spacing w:line="360" w:lineRule="auto"/>
              <w:jc w:val="center"/>
              <w:rPr>
                <w:rFonts w:hint="eastAsia" w:hAnsi="宋体" w:cs="宋体"/>
                <w:color w:val="FF0000"/>
                <w:szCs w:val="21"/>
              </w:rPr>
            </w:pPr>
          </w:p>
        </w:tc>
      </w:tr>
      <w:tr w14:paraId="28E27827">
        <w:tblPrEx>
          <w:tblCellMar>
            <w:top w:w="0" w:type="dxa"/>
            <w:left w:w="108" w:type="dxa"/>
            <w:bottom w:w="0" w:type="dxa"/>
            <w:right w:w="108" w:type="dxa"/>
          </w:tblCellMar>
        </w:tblPrEx>
        <w:trPr>
          <w:trHeight w:val="20" w:hRule="atLeast"/>
        </w:trPr>
        <w:tc>
          <w:tcPr>
            <w:tcW w:w="326" w:type="pct"/>
            <w:vMerge w:val="continue"/>
            <w:tcBorders>
              <w:top w:val="single" w:color="auto" w:sz="4" w:space="0"/>
              <w:left w:val="single" w:color="auto" w:sz="4" w:space="0"/>
              <w:bottom w:val="single" w:color="000000" w:sz="4" w:space="0"/>
              <w:right w:val="single" w:color="auto" w:sz="4" w:space="0"/>
            </w:tcBorders>
            <w:vAlign w:val="center"/>
          </w:tcPr>
          <w:p w14:paraId="2559BBBC">
            <w:pPr>
              <w:widowControl/>
              <w:spacing w:line="360" w:lineRule="auto"/>
              <w:jc w:val="left"/>
              <w:rPr>
                <w:rFonts w:hint="eastAsia" w:hAnsi="宋体" w:cs="宋体"/>
                <w:color w:val="000000"/>
                <w:szCs w:val="21"/>
              </w:rPr>
            </w:pPr>
          </w:p>
        </w:tc>
        <w:tc>
          <w:tcPr>
            <w:tcW w:w="491" w:type="pct"/>
            <w:vMerge w:val="continue"/>
            <w:tcBorders>
              <w:top w:val="nil"/>
              <w:left w:val="single" w:color="auto" w:sz="4" w:space="0"/>
              <w:bottom w:val="single" w:color="000000" w:sz="4" w:space="0"/>
              <w:right w:val="single" w:color="auto" w:sz="4" w:space="0"/>
            </w:tcBorders>
            <w:vAlign w:val="center"/>
          </w:tcPr>
          <w:p w14:paraId="258F4E22">
            <w:pPr>
              <w:widowControl/>
              <w:spacing w:line="360" w:lineRule="auto"/>
              <w:jc w:val="left"/>
              <w:rPr>
                <w:rFonts w:hint="eastAsia" w:hAnsi="宋体" w:cs="宋体"/>
                <w:color w:val="000000"/>
                <w:szCs w:val="21"/>
              </w:rPr>
            </w:pPr>
          </w:p>
        </w:tc>
        <w:tc>
          <w:tcPr>
            <w:tcW w:w="3229" w:type="pct"/>
            <w:gridSpan w:val="2"/>
            <w:vMerge w:val="continue"/>
            <w:tcBorders>
              <w:top w:val="nil"/>
              <w:left w:val="single" w:color="auto" w:sz="4" w:space="0"/>
              <w:bottom w:val="single" w:color="000000" w:sz="4" w:space="0"/>
              <w:right w:val="single" w:color="auto" w:sz="4" w:space="0"/>
            </w:tcBorders>
            <w:shd w:val="clear" w:color="auto" w:fill="FFFFFF" w:themeFill="background1"/>
            <w:vAlign w:val="center"/>
          </w:tcPr>
          <w:p w14:paraId="0E5EAE85">
            <w:pPr>
              <w:widowControl/>
              <w:spacing w:line="360" w:lineRule="auto"/>
              <w:jc w:val="left"/>
              <w:rPr>
                <w:rFonts w:hint="eastAsia" w:hAnsi="宋体" w:cs="宋体"/>
                <w:color w:val="000000"/>
                <w:szCs w:val="21"/>
              </w:rPr>
            </w:pPr>
          </w:p>
        </w:tc>
        <w:tc>
          <w:tcPr>
            <w:tcW w:w="257" w:type="pct"/>
            <w:gridSpan w:val="2"/>
            <w:vMerge w:val="continue"/>
            <w:tcBorders>
              <w:top w:val="nil"/>
              <w:left w:val="single" w:color="auto" w:sz="4" w:space="0"/>
              <w:bottom w:val="single" w:color="000000" w:sz="4" w:space="0"/>
              <w:right w:val="single" w:color="auto" w:sz="4" w:space="0"/>
            </w:tcBorders>
            <w:vAlign w:val="center"/>
          </w:tcPr>
          <w:p w14:paraId="10E34032">
            <w:pPr>
              <w:widowControl/>
              <w:spacing w:line="360" w:lineRule="auto"/>
              <w:jc w:val="left"/>
              <w:rPr>
                <w:rFonts w:hint="eastAsia" w:hAnsi="宋体" w:cs="宋体"/>
                <w:color w:val="000000"/>
                <w:szCs w:val="21"/>
              </w:rPr>
            </w:pPr>
          </w:p>
        </w:tc>
        <w:tc>
          <w:tcPr>
            <w:tcW w:w="304" w:type="pct"/>
            <w:gridSpan w:val="2"/>
            <w:vMerge w:val="continue"/>
            <w:tcBorders>
              <w:top w:val="nil"/>
              <w:left w:val="single" w:color="auto" w:sz="4" w:space="0"/>
              <w:bottom w:val="single" w:color="000000" w:sz="4" w:space="0"/>
              <w:right w:val="single" w:color="auto" w:sz="4" w:space="0"/>
            </w:tcBorders>
            <w:vAlign w:val="center"/>
          </w:tcPr>
          <w:p w14:paraId="134C9D39">
            <w:pPr>
              <w:widowControl/>
              <w:spacing w:line="360" w:lineRule="auto"/>
              <w:jc w:val="left"/>
              <w:rPr>
                <w:rFonts w:hint="eastAsia" w:hAnsi="宋体" w:cs="宋体"/>
                <w:color w:val="000000"/>
                <w:szCs w:val="21"/>
              </w:rPr>
            </w:pPr>
          </w:p>
        </w:tc>
        <w:tc>
          <w:tcPr>
            <w:tcW w:w="270" w:type="pct"/>
            <w:gridSpan w:val="3"/>
            <w:vMerge w:val="continue"/>
            <w:tcBorders>
              <w:top w:val="nil"/>
              <w:left w:val="single" w:color="auto" w:sz="4" w:space="0"/>
              <w:bottom w:val="single" w:color="000000" w:sz="4" w:space="0"/>
              <w:right w:val="single" w:color="auto" w:sz="4" w:space="0"/>
            </w:tcBorders>
            <w:vAlign w:val="center"/>
          </w:tcPr>
          <w:p w14:paraId="5BC40F91">
            <w:pPr>
              <w:widowControl/>
              <w:spacing w:line="360" w:lineRule="auto"/>
              <w:jc w:val="left"/>
              <w:rPr>
                <w:rFonts w:hint="eastAsia" w:hAnsi="宋体" w:cs="宋体"/>
                <w:color w:val="FF0000"/>
                <w:szCs w:val="21"/>
              </w:rPr>
            </w:pPr>
          </w:p>
        </w:tc>
        <w:tc>
          <w:tcPr>
            <w:tcW w:w="119" w:type="pct"/>
            <w:tcBorders>
              <w:top w:val="nil"/>
              <w:left w:val="nil"/>
              <w:bottom w:val="nil"/>
              <w:right w:val="nil"/>
            </w:tcBorders>
            <w:noWrap/>
            <w:vAlign w:val="center"/>
          </w:tcPr>
          <w:p w14:paraId="168A46F4">
            <w:pPr>
              <w:widowControl/>
              <w:spacing w:line="360" w:lineRule="auto"/>
              <w:jc w:val="center"/>
              <w:rPr>
                <w:rFonts w:hint="eastAsia" w:hAnsi="宋体" w:cs="宋体"/>
                <w:color w:val="FF0000"/>
                <w:szCs w:val="21"/>
              </w:rPr>
            </w:pPr>
          </w:p>
        </w:tc>
      </w:tr>
      <w:tr w14:paraId="2EC0A42D">
        <w:tblPrEx>
          <w:tblCellMar>
            <w:top w:w="0" w:type="dxa"/>
            <w:left w:w="108" w:type="dxa"/>
            <w:bottom w:w="0" w:type="dxa"/>
            <w:right w:w="108" w:type="dxa"/>
          </w:tblCellMar>
        </w:tblPrEx>
        <w:trPr>
          <w:trHeight w:val="20" w:hRule="atLeast"/>
        </w:trPr>
        <w:tc>
          <w:tcPr>
            <w:tcW w:w="326" w:type="pct"/>
            <w:vMerge w:val="continue"/>
            <w:tcBorders>
              <w:top w:val="single" w:color="auto" w:sz="4" w:space="0"/>
              <w:left w:val="single" w:color="auto" w:sz="4" w:space="0"/>
              <w:bottom w:val="single" w:color="000000" w:sz="4" w:space="0"/>
              <w:right w:val="single" w:color="auto" w:sz="4" w:space="0"/>
            </w:tcBorders>
            <w:vAlign w:val="center"/>
          </w:tcPr>
          <w:p w14:paraId="65ED07B4">
            <w:pPr>
              <w:widowControl/>
              <w:spacing w:line="360" w:lineRule="auto"/>
              <w:jc w:val="left"/>
              <w:rPr>
                <w:rFonts w:hint="eastAsia" w:hAnsi="宋体" w:cs="宋体"/>
                <w:color w:val="000000"/>
                <w:szCs w:val="21"/>
              </w:rPr>
            </w:pPr>
          </w:p>
        </w:tc>
        <w:tc>
          <w:tcPr>
            <w:tcW w:w="491" w:type="pct"/>
            <w:vMerge w:val="continue"/>
            <w:tcBorders>
              <w:top w:val="nil"/>
              <w:left w:val="single" w:color="auto" w:sz="4" w:space="0"/>
              <w:bottom w:val="single" w:color="000000" w:sz="4" w:space="0"/>
              <w:right w:val="single" w:color="auto" w:sz="4" w:space="0"/>
            </w:tcBorders>
            <w:vAlign w:val="center"/>
          </w:tcPr>
          <w:p w14:paraId="74F48748">
            <w:pPr>
              <w:widowControl/>
              <w:spacing w:line="360" w:lineRule="auto"/>
              <w:jc w:val="left"/>
              <w:rPr>
                <w:rFonts w:hint="eastAsia" w:hAnsi="宋体" w:cs="宋体"/>
                <w:color w:val="000000"/>
                <w:szCs w:val="21"/>
              </w:rPr>
            </w:pPr>
          </w:p>
        </w:tc>
        <w:tc>
          <w:tcPr>
            <w:tcW w:w="3229" w:type="pct"/>
            <w:gridSpan w:val="2"/>
            <w:vMerge w:val="continue"/>
            <w:tcBorders>
              <w:top w:val="nil"/>
              <w:left w:val="single" w:color="auto" w:sz="4" w:space="0"/>
              <w:bottom w:val="single" w:color="000000" w:sz="4" w:space="0"/>
              <w:right w:val="single" w:color="auto" w:sz="4" w:space="0"/>
            </w:tcBorders>
            <w:shd w:val="clear" w:color="auto" w:fill="FFFFFF" w:themeFill="background1"/>
            <w:vAlign w:val="center"/>
          </w:tcPr>
          <w:p w14:paraId="4BEB393F">
            <w:pPr>
              <w:widowControl/>
              <w:spacing w:line="360" w:lineRule="auto"/>
              <w:jc w:val="left"/>
              <w:rPr>
                <w:rFonts w:hint="eastAsia" w:hAnsi="宋体" w:cs="宋体"/>
                <w:color w:val="000000"/>
                <w:szCs w:val="21"/>
              </w:rPr>
            </w:pPr>
          </w:p>
        </w:tc>
        <w:tc>
          <w:tcPr>
            <w:tcW w:w="257" w:type="pct"/>
            <w:gridSpan w:val="2"/>
            <w:vMerge w:val="continue"/>
            <w:tcBorders>
              <w:top w:val="nil"/>
              <w:left w:val="single" w:color="auto" w:sz="4" w:space="0"/>
              <w:bottom w:val="single" w:color="000000" w:sz="4" w:space="0"/>
              <w:right w:val="single" w:color="auto" w:sz="4" w:space="0"/>
            </w:tcBorders>
            <w:vAlign w:val="center"/>
          </w:tcPr>
          <w:p w14:paraId="0109E27B">
            <w:pPr>
              <w:widowControl/>
              <w:spacing w:line="360" w:lineRule="auto"/>
              <w:jc w:val="left"/>
              <w:rPr>
                <w:rFonts w:hint="eastAsia" w:hAnsi="宋体" w:cs="宋体"/>
                <w:color w:val="000000"/>
                <w:szCs w:val="21"/>
              </w:rPr>
            </w:pPr>
          </w:p>
        </w:tc>
        <w:tc>
          <w:tcPr>
            <w:tcW w:w="304" w:type="pct"/>
            <w:gridSpan w:val="2"/>
            <w:vMerge w:val="continue"/>
            <w:tcBorders>
              <w:top w:val="nil"/>
              <w:left w:val="single" w:color="auto" w:sz="4" w:space="0"/>
              <w:bottom w:val="single" w:color="000000" w:sz="4" w:space="0"/>
              <w:right w:val="single" w:color="auto" w:sz="4" w:space="0"/>
            </w:tcBorders>
            <w:vAlign w:val="center"/>
          </w:tcPr>
          <w:p w14:paraId="3FC6F05D">
            <w:pPr>
              <w:widowControl/>
              <w:spacing w:line="360" w:lineRule="auto"/>
              <w:jc w:val="left"/>
              <w:rPr>
                <w:rFonts w:hint="eastAsia" w:hAnsi="宋体" w:cs="宋体"/>
                <w:color w:val="000000"/>
                <w:szCs w:val="21"/>
              </w:rPr>
            </w:pPr>
          </w:p>
        </w:tc>
        <w:tc>
          <w:tcPr>
            <w:tcW w:w="270" w:type="pct"/>
            <w:gridSpan w:val="3"/>
            <w:vMerge w:val="continue"/>
            <w:tcBorders>
              <w:top w:val="nil"/>
              <w:left w:val="single" w:color="auto" w:sz="4" w:space="0"/>
              <w:bottom w:val="single" w:color="000000" w:sz="4" w:space="0"/>
              <w:right w:val="single" w:color="auto" w:sz="4" w:space="0"/>
            </w:tcBorders>
            <w:vAlign w:val="center"/>
          </w:tcPr>
          <w:p w14:paraId="614D075D">
            <w:pPr>
              <w:widowControl/>
              <w:spacing w:line="360" w:lineRule="auto"/>
              <w:jc w:val="left"/>
              <w:rPr>
                <w:rFonts w:hint="eastAsia" w:hAnsi="宋体" w:cs="宋体"/>
                <w:color w:val="FF0000"/>
                <w:szCs w:val="21"/>
              </w:rPr>
            </w:pPr>
          </w:p>
        </w:tc>
        <w:tc>
          <w:tcPr>
            <w:tcW w:w="119" w:type="pct"/>
            <w:tcBorders>
              <w:top w:val="nil"/>
              <w:left w:val="nil"/>
              <w:bottom w:val="nil"/>
              <w:right w:val="nil"/>
            </w:tcBorders>
            <w:noWrap/>
            <w:vAlign w:val="center"/>
          </w:tcPr>
          <w:p w14:paraId="1F98606D">
            <w:pPr>
              <w:widowControl/>
              <w:spacing w:line="360" w:lineRule="auto"/>
              <w:jc w:val="left"/>
              <w:rPr>
                <w:rFonts w:hint="eastAsia" w:hAnsi="宋体"/>
                <w:szCs w:val="21"/>
              </w:rPr>
            </w:pPr>
          </w:p>
        </w:tc>
      </w:tr>
      <w:tr w14:paraId="253C975B">
        <w:tblPrEx>
          <w:tblCellMar>
            <w:top w:w="0" w:type="dxa"/>
            <w:left w:w="108" w:type="dxa"/>
            <w:bottom w:w="0" w:type="dxa"/>
            <w:right w:w="108" w:type="dxa"/>
          </w:tblCellMar>
        </w:tblPrEx>
        <w:trPr>
          <w:trHeight w:val="20" w:hRule="atLeast"/>
        </w:trPr>
        <w:tc>
          <w:tcPr>
            <w:tcW w:w="4880" w:type="pct"/>
            <w:gridSpan w:val="11"/>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09583D">
            <w:pPr>
              <w:widowControl/>
              <w:spacing w:line="360" w:lineRule="auto"/>
              <w:jc w:val="center"/>
              <w:rPr>
                <w:rFonts w:hint="eastAsia" w:hAnsi="宋体" w:cs="宋体"/>
                <w:b/>
                <w:bCs/>
                <w:color w:val="000000"/>
                <w:szCs w:val="21"/>
              </w:rPr>
            </w:pPr>
            <w:r>
              <w:rPr>
                <w:rFonts w:hint="eastAsia" w:hAnsi="宋体" w:cs="宋体"/>
                <w:b/>
                <w:bCs/>
                <w:color w:val="000000"/>
                <w:szCs w:val="21"/>
              </w:rPr>
              <w:t>二</w:t>
            </w:r>
            <w:r>
              <w:rPr>
                <w:rFonts w:hAnsi="宋体" w:cs="宋体"/>
                <w:b/>
                <w:bCs/>
                <w:color w:val="000000"/>
                <w:szCs w:val="21"/>
              </w:rPr>
              <w:t>、实施部署服务</w:t>
            </w:r>
          </w:p>
        </w:tc>
        <w:tc>
          <w:tcPr>
            <w:tcW w:w="119" w:type="pct"/>
            <w:vAlign w:val="center"/>
          </w:tcPr>
          <w:p w14:paraId="553015B6">
            <w:pPr>
              <w:widowControl/>
              <w:spacing w:line="360" w:lineRule="auto"/>
              <w:jc w:val="left"/>
              <w:rPr>
                <w:rFonts w:hint="eastAsia" w:hAnsi="宋体"/>
                <w:szCs w:val="21"/>
              </w:rPr>
            </w:pPr>
          </w:p>
        </w:tc>
      </w:tr>
      <w:tr w14:paraId="25BB397A">
        <w:tblPrEx>
          <w:tblCellMar>
            <w:top w:w="0" w:type="dxa"/>
            <w:left w:w="108" w:type="dxa"/>
            <w:bottom w:w="0" w:type="dxa"/>
            <w:right w:w="108" w:type="dxa"/>
          </w:tblCellMar>
        </w:tblPrEx>
        <w:trPr>
          <w:trHeight w:val="20" w:hRule="atLeast"/>
        </w:trPr>
        <w:tc>
          <w:tcPr>
            <w:tcW w:w="326" w:type="pct"/>
            <w:tcBorders>
              <w:top w:val="nil"/>
              <w:left w:val="single" w:color="auto" w:sz="4" w:space="0"/>
              <w:bottom w:val="single" w:color="auto" w:sz="4" w:space="0"/>
              <w:right w:val="single" w:color="auto" w:sz="4" w:space="0"/>
            </w:tcBorders>
            <w:shd w:val="clear" w:color="000000" w:fill="FFFFFF"/>
            <w:noWrap/>
            <w:vAlign w:val="center"/>
          </w:tcPr>
          <w:p w14:paraId="301DEFA2">
            <w:pPr>
              <w:widowControl/>
              <w:spacing w:line="360" w:lineRule="auto"/>
              <w:jc w:val="center"/>
              <w:rPr>
                <w:rFonts w:hint="eastAsia" w:hAnsi="宋体" w:cs="宋体"/>
                <w:color w:val="000000"/>
                <w:szCs w:val="21"/>
              </w:rPr>
            </w:pPr>
            <w:r>
              <w:rPr>
                <w:rFonts w:hAnsi="宋体" w:cs="宋体"/>
                <w:color w:val="000000"/>
                <w:szCs w:val="21"/>
              </w:rPr>
              <w:t>1</w:t>
            </w:r>
          </w:p>
        </w:tc>
        <w:tc>
          <w:tcPr>
            <w:tcW w:w="491" w:type="pct"/>
            <w:tcBorders>
              <w:top w:val="nil"/>
              <w:left w:val="nil"/>
              <w:bottom w:val="single" w:color="auto" w:sz="4" w:space="0"/>
              <w:right w:val="single" w:color="auto" w:sz="4" w:space="0"/>
            </w:tcBorders>
            <w:shd w:val="clear" w:color="000000" w:fill="FFFFFF"/>
            <w:vAlign w:val="center"/>
          </w:tcPr>
          <w:p w14:paraId="70196EC9">
            <w:pPr>
              <w:widowControl/>
              <w:spacing w:line="360" w:lineRule="auto"/>
              <w:jc w:val="center"/>
              <w:rPr>
                <w:rFonts w:hint="eastAsia" w:hAnsi="宋体" w:cs="宋体"/>
                <w:color w:val="000000"/>
                <w:szCs w:val="21"/>
              </w:rPr>
            </w:pPr>
            <w:r>
              <w:rPr>
                <w:rFonts w:hAnsi="宋体" w:cs="宋体"/>
                <w:color w:val="000000"/>
                <w:szCs w:val="21"/>
              </w:rPr>
              <w:t>平台部署实施</w:t>
            </w:r>
          </w:p>
        </w:tc>
        <w:tc>
          <w:tcPr>
            <w:tcW w:w="3229" w:type="pct"/>
            <w:gridSpan w:val="2"/>
            <w:tcBorders>
              <w:top w:val="nil"/>
              <w:left w:val="nil"/>
              <w:bottom w:val="single" w:color="auto" w:sz="4" w:space="0"/>
              <w:right w:val="single" w:color="auto" w:sz="4" w:space="0"/>
            </w:tcBorders>
            <w:shd w:val="clear" w:color="auto" w:fill="FFFFFF" w:themeFill="background1"/>
            <w:vAlign w:val="center"/>
          </w:tcPr>
          <w:p w14:paraId="3111CD5B">
            <w:pPr>
              <w:widowControl/>
              <w:spacing w:line="360" w:lineRule="auto"/>
              <w:jc w:val="left"/>
              <w:rPr>
                <w:rFonts w:hint="eastAsia" w:hAnsi="宋体" w:cs="宋体"/>
                <w:szCs w:val="21"/>
              </w:rPr>
            </w:pPr>
            <w:r>
              <w:rPr>
                <w:rFonts w:hAnsi="宋体" w:cs="宋体"/>
                <w:szCs w:val="21"/>
              </w:rPr>
              <w:t>包含：</w:t>
            </w:r>
            <w:r>
              <w:rPr>
                <w:rFonts w:hint="eastAsia" w:hAnsi="宋体" w:cs="宋体"/>
                <w:szCs w:val="21"/>
              </w:rPr>
              <w:t>硬件软件的部署及培训</w:t>
            </w:r>
            <w:r>
              <w:rPr>
                <w:rFonts w:hAnsi="宋体" w:cs="宋体"/>
                <w:szCs w:val="21"/>
              </w:rPr>
              <w:br w:type="textWrapping"/>
            </w:r>
            <w:r>
              <w:rPr>
                <w:rFonts w:hAnsi="宋体" w:cs="宋体"/>
                <w:szCs w:val="21"/>
              </w:rPr>
              <w:t>1、部署办公智能体</w:t>
            </w:r>
            <w:r>
              <w:rPr>
                <w:rFonts w:hAnsi="宋体" w:cs="宋体"/>
                <w:szCs w:val="21"/>
              </w:rPr>
              <w:br w:type="textWrapping"/>
            </w:r>
            <w:r>
              <w:rPr>
                <w:rFonts w:hAnsi="宋体" w:cs="宋体"/>
                <w:szCs w:val="21"/>
              </w:rPr>
              <w:t>2、部署知识库平台</w:t>
            </w:r>
            <w:r>
              <w:rPr>
                <w:rFonts w:hAnsi="宋体" w:cs="宋体"/>
                <w:szCs w:val="21"/>
              </w:rPr>
              <w:br w:type="textWrapping"/>
            </w:r>
            <w:r>
              <w:rPr>
                <w:rFonts w:hAnsi="宋体" w:cs="宋体"/>
                <w:szCs w:val="21"/>
              </w:rPr>
              <w:t>3、部署向量模型等各类小模型</w:t>
            </w:r>
            <w:r>
              <w:rPr>
                <w:rFonts w:hAnsi="宋体" w:cs="宋体"/>
                <w:szCs w:val="21"/>
              </w:rPr>
              <w:br w:type="textWrapping"/>
            </w:r>
            <w:r>
              <w:rPr>
                <w:rFonts w:hAnsi="宋体" w:cs="宋体"/>
                <w:szCs w:val="21"/>
              </w:rPr>
              <w:t>4、提供产品培训服务，包括</w:t>
            </w:r>
            <w:r>
              <w:rPr>
                <w:rFonts w:hAnsi="宋体" w:cs="宋体"/>
                <w:szCs w:val="21"/>
              </w:rPr>
              <w:br w:type="textWrapping"/>
            </w:r>
            <w:r>
              <w:rPr>
                <w:rFonts w:hAnsi="宋体" w:cs="宋体"/>
                <w:szCs w:val="21"/>
              </w:rPr>
              <w:t>（1）办公智能体平台及开发功能使用培训</w:t>
            </w:r>
            <w:r>
              <w:rPr>
                <w:rFonts w:hAnsi="宋体" w:cs="宋体"/>
                <w:szCs w:val="21"/>
              </w:rPr>
              <w:br w:type="textWrapping"/>
            </w:r>
            <w:r>
              <w:rPr>
                <w:rFonts w:hAnsi="宋体" w:cs="宋体"/>
                <w:szCs w:val="21"/>
              </w:rPr>
              <w:t>（2）知识库知识文档调优培训</w:t>
            </w:r>
            <w:r>
              <w:rPr>
                <w:rFonts w:hAnsi="宋体" w:cs="宋体"/>
                <w:szCs w:val="21"/>
              </w:rPr>
              <w:br w:type="textWrapping"/>
            </w:r>
            <w:r>
              <w:rPr>
                <w:rFonts w:hAnsi="宋体" w:cs="宋体"/>
                <w:szCs w:val="21"/>
              </w:rPr>
              <w:t>5、部署所需模型</w:t>
            </w:r>
          </w:p>
        </w:tc>
        <w:tc>
          <w:tcPr>
            <w:tcW w:w="257" w:type="pct"/>
            <w:gridSpan w:val="2"/>
            <w:tcBorders>
              <w:top w:val="nil"/>
              <w:left w:val="nil"/>
              <w:bottom w:val="single" w:color="auto" w:sz="4" w:space="0"/>
              <w:right w:val="single" w:color="auto" w:sz="4" w:space="0"/>
            </w:tcBorders>
            <w:shd w:val="clear" w:color="000000" w:fill="FFFFFF"/>
            <w:vAlign w:val="center"/>
          </w:tcPr>
          <w:p w14:paraId="5EA1695E">
            <w:pPr>
              <w:widowControl/>
              <w:spacing w:line="360" w:lineRule="auto"/>
              <w:jc w:val="center"/>
              <w:rPr>
                <w:rFonts w:hint="eastAsia" w:hAnsi="宋体" w:cs="宋体"/>
                <w:color w:val="000000"/>
                <w:szCs w:val="21"/>
              </w:rPr>
            </w:pPr>
            <w:r>
              <w:rPr>
                <w:rFonts w:hAnsi="宋体" w:cs="宋体"/>
                <w:color w:val="000000"/>
                <w:szCs w:val="21"/>
              </w:rPr>
              <w:t>1</w:t>
            </w:r>
          </w:p>
        </w:tc>
        <w:tc>
          <w:tcPr>
            <w:tcW w:w="304" w:type="pct"/>
            <w:gridSpan w:val="2"/>
            <w:tcBorders>
              <w:top w:val="nil"/>
              <w:left w:val="nil"/>
              <w:bottom w:val="single" w:color="auto" w:sz="4" w:space="0"/>
              <w:right w:val="single" w:color="auto" w:sz="4" w:space="0"/>
            </w:tcBorders>
            <w:shd w:val="clear" w:color="000000" w:fill="FFFFFF"/>
            <w:noWrap/>
            <w:vAlign w:val="center"/>
          </w:tcPr>
          <w:p w14:paraId="78165D1B">
            <w:pPr>
              <w:widowControl/>
              <w:spacing w:line="360" w:lineRule="auto"/>
              <w:jc w:val="center"/>
              <w:rPr>
                <w:rFonts w:hint="eastAsia" w:hAnsi="宋体" w:cs="宋体"/>
                <w:color w:val="000000"/>
                <w:szCs w:val="21"/>
              </w:rPr>
            </w:pPr>
            <w:r>
              <w:rPr>
                <w:rFonts w:hAnsi="宋体" w:cs="宋体"/>
                <w:color w:val="000000"/>
                <w:szCs w:val="21"/>
              </w:rPr>
              <w:t>项</w:t>
            </w:r>
          </w:p>
        </w:tc>
        <w:tc>
          <w:tcPr>
            <w:tcW w:w="270" w:type="pct"/>
            <w:gridSpan w:val="3"/>
            <w:tcBorders>
              <w:top w:val="nil"/>
              <w:left w:val="nil"/>
              <w:bottom w:val="single" w:color="auto" w:sz="4" w:space="0"/>
              <w:right w:val="single" w:color="auto" w:sz="4" w:space="0"/>
            </w:tcBorders>
            <w:shd w:val="clear" w:color="000000" w:fill="FFFFFF"/>
            <w:vAlign w:val="center"/>
          </w:tcPr>
          <w:p w14:paraId="6C2B840A">
            <w:pPr>
              <w:widowControl/>
              <w:spacing w:line="360" w:lineRule="auto"/>
              <w:jc w:val="left"/>
              <w:rPr>
                <w:rFonts w:hint="eastAsia" w:hAnsi="宋体" w:cs="宋体"/>
                <w:color w:val="FF0000"/>
                <w:szCs w:val="21"/>
              </w:rPr>
            </w:pPr>
          </w:p>
        </w:tc>
        <w:tc>
          <w:tcPr>
            <w:tcW w:w="119" w:type="pct"/>
            <w:vAlign w:val="center"/>
          </w:tcPr>
          <w:p w14:paraId="008839FD">
            <w:pPr>
              <w:widowControl/>
              <w:spacing w:line="360" w:lineRule="auto"/>
              <w:jc w:val="left"/>
              <w:rPr>
                <w:rFonts w:hint="eastAsia" w:hAnsi="宋体"/>
                <w:szCs w:val="21"/>
              </w:rPr>
            </w:pPr>
          </w:p>
        </w:tc>
      </w:tr>
    </w:tbl>
    <w:p w14:paraId="54EE182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840778"/>
    <w:multiLevelType w:val="multilevel"/>
    <w:tmpl w:val="5C840778"/>
    <w:lvl w:ilvl="0" w:tentative="0">
      <w:start w:val="2"/>
      <w:numFmt w:val="japaneseCounting"/>
      <w:lvlText w:val="%1、"/>
      <w:lvlJc w:val="left"/>
      <w:pPr>
        <w:ind w:left="429" w:hanging="429"/>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3D45E0"/>
    <w:rsid w:val="0D3D45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2"/>
    <w:basedOn w:val="1"/>
    <w:next w:val="1"/>
    <w:unhideWhenUsed/>
    <w:qFormat/>
    <w:uiPriority w:val="9"/>
    <w:pPr>
      <w:keepNext/>
      <w:keepLines/>
      <w:spacing w:before="160" w:after="80"/>
      <w:outlineLvl w:val="1"/>
    </w:pPr>
    <w:rPr>
      <w:rFonts w:asciiTheme="majorHAnsi" w:hAnsiTheme="majorHAnsi" w:eastAsiaTheme="majorEastAsia" w:cstheme="majorBidi"/>
      <w:color w:val="2E54A1" w:themeColor="accent1" w:themeShade="BF"/>
      <w:sz w:val="40"/>
      <w:szCs w:val="40"/>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color w:val="993300"/>
    </w:r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2026-09-01T06:49:00Z</dcterms:created>
  <dc:creator>默.</dc:creator>
  <cp:lastModifiedBy>默.</cp:lastModifiedBy>
  <dcterms:modified xsi:type="dcterms:W3CDTF">2026-09-01T06:50:28Z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3A5DBBF3D9524C3BB87EECF72432E6A5_11</vt:lpwstr>
  </property>
  <property fmtid="{D5CDD505-2E9C-101B-9397-08002B2CF9AE}" pid="4" name="KSOTemplateDocerSaveRecord">
    <vt:lpwstr>eyJoZGlkIjoiNjNkY2ZhYjhmY2Y3N2I4NmM4N2NjMGUyYzM2ZDYxZWIiLCJ1c2VySWQiOiI0MjU4NjcyNzgifQ==</vt:lpwstr>
  </property>
</Properties>
</file>