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版本号：DCZX2026-ZCCS-FW104020260703001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工贸领域涉及危险化学品企业安全风险评估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DCZX2026-ZCCS-FW1040</w:t>
      </w:r>
      <w:r>
        <w:br/>
      </w:r>
      <w:r>
        <w:br/>
      </w:r>
      <w:r>
        <w:br/>
      </w:r>
    </w:p>
    <w:p>
      <w:pPr>
        <w:pStyle w:val="null3"/>
        <w:jc w:val="center"/>
        <w:outlineLvl w:val="2"/>
      </w:pPr>
      <w:r>
        <w:rPr>
          <w:rFonts w:ascii="仿宋_GB2312" w:hAnsi="仿宋_GB2312" w:cs="仿宋_GB2312" w:eastAsia="仿宋_GB2312"/>
          <w:sz w:val="28"/>
          <w:b/>
        </w:rPr>
        <w:t>西安高新技术产业开发区应急管理局</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西安高新技术产业开发区应急管理局</w:t>
      </w:r>
      <w:r>
        <w:rPr>
          <w:rFonts w:ascii="仿宋_GB2312" w:hAnsi="仿宋_GB2312" w:cs="仿宋_GB2312" w:eastAsia="仿宋_GB2312"/>
        </w:rPr>
        <w:t>委托，拟对</w:t>
      </w:r>
      <w:r>
        <w:rPr>
          <w:rFonts w:ascii="仿宋_GB2312" w:hAnsi="仿宋_GB2312" w:cs="仿宋_GB2312" w:eastAsia="仿宋_GB2312"/>
        </w:rPr>
        <w:t>工贸领域涉及危险化学品企业安全风险评估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DCZX2026-ZCCS-FW1040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工贸领域涉及危险化学品企业安全风险评估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工贸行业安全生产治本攻坚三年行动要求，对涉及和使用危险化学品的30家重点工业企业开展安全风险评估工作。通过评估，切实查找影响使用危险化学品工业企业安全生产的共性问题、突出问题和深层次问题，研判此类企业存在的系统性风险隐患，提升防范化解重大安全风险能力，推动企业落实安全生产主体责任，协助行业部门制定精准监管方案和计划，做好提升企业本质安全水平和安全管理能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采购包1（工贸领域涉及危险化学品企业安全风险评估）：属于专门面向中小企业采购。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1、法定代表人授权书：法定代表人授权书（法定代表人直接参加磋商，须提供法定代表人身份证明）；</w:t>
      </w:r>
    </w:p>
    <w:p>
      <w:pPr>
        <w:pStyle w:val="null3"/>
      </w:pPr>
      <w:r>
        <w:rPr>
          <w:rFonts w:ascii="仿宋_GB2312" w:hAnsi="仿宋_GB2312" w:cs="仿宋_GB2312" w:eastAsia="仿宋_GB2312"/>
        </w:rPr>
        <w:t>2、中小企业声明函/残疾人福利企业/监狱企业声明函：本项目专门面向中小企业采购，仅限符合《政府采购促进中小企业发展管理办法》的通知(财库〔2020〕46号)条件的中小企业参与，并提供中小企业声明函，残疾人福利企业、监狱企业视同中小企业;</w:t>
      </w:r>
    </w:p>
    <w:p>
      <w:pPr>
        <w:pStyle w:val="null3"/>
      </w:pPr>
      <w:r>
        <w:rPr>
          <w:rFonts w:ascii="仿宋_GB2312" w:hAnsi="仿宋_GB2312" w:cs="仿宋_GB2312" w:eastAsia="仿宋_GB2312"/>
        </w:rPr>
        <w:t>3、联合体磋商：本项目不接受联合体磋商。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西安高新区丝路创智谷六号楼4层402室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杨智森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029-81131111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 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彭宏飞、胡丽珠、潘娟、刘玮哲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和《关于招标代理服务收费有关问题的通知》（发改办价格[2003]857号）规定计取，定额收取人民币陆仟元整。成交供应商在领取成交通知书前，须向采购代理机构一次性支付招标代理服务费。 户名：陕西鼎成项目管理咨询有限公司 开户行：中国民生银行股份有限公司西安高新科技支行 账号：171277297 请成交供应商按照要求将服务费汇入以上指定账户，如因自身 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西安高新技术产业开发区应急管理局</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供应商向采购人提交的产品，采购人对合同约定的全部产品享有完全的知识产权及所有权。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符合国家相关规范、标准及采购人考核要求。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 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工贸行业安全生产治本攻坚三年行动要求，对涉及和使用危险化学品的30家重点工业企业开展安全风险评估工作。通过评估，切实查找影响使用危险化学品工业企业安全生产的共性问题、突出问题和深层次问题，研判此类企业存在的系统性风险隐患，提升防范化解重大安全风险能力，推动企业落实安全生产主体责任，协助行业部门制定精准监管方案和计划，做好提升企业本质安全水平和安全管理能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风险评估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标的名称：风险评估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按照工贸行业安全生产治本攻坚三年行动要求，对涉及和使用危险化学品的</w:t>
            </w:r>
            <w:r>
              <w:rPr>
                <w:rFonts w:ascii="仿宋_GB2312" w:hAnsi="仿宋_GB2312" w:cs="仿宋_GB2312" w:eastAsia="仿宋_GB2312"/>
                <w:sz w:val="24"/>
              </w:rPr>
              <w:t>30家重点工业企业开展安全风险评估工作。通过评估，切实查找影响使用危险化学品工业企业安全生产的共性问题、突出问题和深层次问题，研判此类企业存在的系统性风险隐患，提升防范化解重大安全风险能力，推动企业落实安全生产主体责任，协助行业部门制定精准监管方案和计划，做好提升企业本质安全水平和安全管理能力。</w:t>
            </w:r>
          </w:p>
          <w:p>
            <w:pPr>
              <w:pStyle w:val="null3"/>
              <w:jc w:val="both"/>
            </w:pPr>
            <w:r>
              <w:rPr>
                <w:rFonts w:ascii="仿宋_GB2312" w:hAnsi="仿宋_GB2312" w:cs="仿宋_GB2312" w:eastAsia="仿宋_GB2312"/>
                <w:sz w:val="24"/>
                <w:b/>
              </w:rPr>
              <w:t>二、技术要求</w:t>
            </w:r>
          </w:p>
          <w:p>
            <w:pPr>
              <w:pStyle w:val="null3"/>
              <w:ind w:firstLine="480"/>
              <w:jc w:val="both"/>
            </w:pPr>
            <w:r>
              <w:rPr>
                <w:rFonts w:ascii="仿宋_GB2312" w:hAnsi="仿宋_GB2312" w:cs="仿宋_GB2312" w:eastAsia="仿宋_GB2312"/>
                <w:sz w:val="24"/>
              </w:rPr>
              <w:t>（一）围绕使用危险化学品工业企业开展八个方面的风险评估工作，一是基础管理风险评估，二是工艺与设备设施风险评估，三是作业活动风险评估，四是作业环境和现场风险评估，五是重点监管部门风险评估，六是应急管理风险评估，七是风险辨识、分级与管控，八是评估结论和建议。</w:t>
            </w:r>
          </w:p>
          <w:p>
            <w:pPr>
              <w:pStyle w:val="null3"/>
              <w:ind w:firstLine="480"/>
              <w:jc w:val="both"/>
            </w:pPr>
            <w:r>
              <w:rPr>
                <w:rFonts w:ascii="仿宋_GB2312" w:hAnsi="仿宋_GB2312" w:cs="仿宋_GB2312" w:eastAsia="仿宋_GB2312"/>
                <w:sz w:val="24"/>
              </w:rPr>
              <w:t>（二）以风险评估结果为核心依据，协助行业部门完善风险分级分类监管，针对不同企业提出监管重点、监管频次与监管方式的指导性建议。针对高风险企业，锁定关键风险环节与薄弱点位，建立重点监管清单，实施精准化、常态化监管；针对中低风险企业，侧重指导帮扶与动态监测，避免</w:t>
            </w:r>
            <w:r>
              <w:rPr>
                <w:rFonts w:ascii="仿宋_GB2312" w:hAnsi="仿宋_GB2312" w:cs="仿宋_GB2312" w:eastAsia="仿宋_GB2312"/>
                <w:sz w:val="24"/>
              </w:rPr>
              <w:t>“一刀切”式监管资源浪费。推动监管工作从“粗放式全覆盖”向“精准化靶向监管”升级，全面提升辖区使用危险化学品工业企业的安全生产监管效能。</w:t>
            </w:r>
          </w:p>
          <w:p>
            <w:pPr>
              <w:pStyle w:val="null3"/>
              <w:ind w:firstLine="480"/>
              <w:jc w:val="both"/>
            </w:pPr>
            <w:r>
              <w:rPr>
                <w:rFonts w:ascii="仿宋_GB2312" w:hAnsi="仿宋_GB2312" w:cs="仿宋_GB2312" w:eastAsia="仿宋_GB2312"/>
                <w:sz w:val="24"/>
              </w:rPr>
              <w:t>（三）指导使用危险化学品工业企业对存在问题实施整改提升。</w:t>
            </w:r>
          </w:p>
          <w:p>
            <w:pPr>
              <w:pStyle w:val="null3"/>
              <w:jc w:val="both"/>
            </w:pPr>
            <w:r>
              <w:rPr>
                <w:rFonts w:ascii="仿宋_GB2312" w:hAnsi="仿宋_GB2312" w:cs="仿宋_GB2312" w:eastAsia="仿宋_GB2312"/>
                <w:sz w:val="24"/>
                <w:b/>
              </w:rPr>
              <w:t>三、成果要求</w:t>
            </w:r>
          </w:p>
          <w:p>
            <w:pPr>
              <w:pStyle w:val="null3"/>
              <w:ind w:firstLine="480"/>
              <w:jc w:val="both"/>
            </w:pPr>
            <w:r>
              <w:rPr>
                <w:rFonts w:ascii="仿宋_GB2312" w:hAnsi="仿宋_GB2312" w:cs="仿宋_GB2312" w:eastAsia="仿宋_GB2312"/>
                <w:sz w:val="24"/>
              </w:rPr>
              <w:t>1.各企业风险评估报告（问题描述清晰，并配有图示、数据等说明，要注明所列有关国家法律法规、国家标准、行业标准等）</w:t>
            </w:r>
          </w:p>
          <w:p>
            <w:pPr>
              <w:pStyle w:val="null3"/>
              <w:ind w:firstLine="480"/>
              <w:jc w:val="both"/>
            </w:pPr>
            <w:r>
              <w:rPr>
                <w:rFonts w:ascii="仿宋_GB2312" w:hAnsi="仿宋_GB2312" w:cs="仿宋_GB2312" w:eastAsia="仿宋_GB2312"/>
                <w:sz w:val="24"/>
              </w:rPr>
              <w:t>2.使用危险化学品工业企业自查表（企业自查表所列项除可能导致的火灾爆炸等常见自查内容外，还应根据可能导致的次生灾害的潜在风险进行描述）</w:t>
            </w:r>
          </w:p>
          <w:p>
            <w:pPr>
              <w:pStyle w:val="null3"/>
              <w:ind w:firstLine="480"/>
              <w:jc w:val="both"/>
            </w:pPr>
            <w:r>
              <w:rPr>
                <w:rFonts w:ascii="仿宋_GB2312" w:hAnsi="仿宋_GB2312" w:cs="仿宋_GB2312" w:eastAsia="仿宋_GB2312"/>
                <w:sz w:val="24"/>
              </w:rPr>
              <w:t>3.使用危险化学品工业企业整体风险评估报告（使用危险化学品工业企业对周边环境及企业的影响，行业部门如何利用现有资源分级分类做好监管，属地、行业部门对可能发生的突发事件利用周边资源如何预防和控制）</w:t>
            </w:r>
          </w:p>
          <w:p>
            <w:pPr>
              <w:pStyle w:val="null3"/>
              <w:ind w:firstLine="480"/>
              <w:jc w:val="both"/>
            </w:pPr>
            <w:r>
              <w:rPr>
                <w:rFonts w:ascii="仿宋_GB2312" w:hAnsi="仿宋_GB2312" w:cs="仿宋_GB2312" w:eastAsia="仿宋_GB2312"/>
                <w:sz w:val="24"/>
              </w:rPr>
              <w:t>4.行业部门或属地专项检查表（除对使用危险化学品工业企业专项检查内容外，还应增加可能导致火灾爆炸的潜在风险和火灾爆炸后可能造成次生灾害的风险隐患）</w:t>
            </w:r>
          </w:p>
          <w:p>
            <w:pPr>
              <w:pStyle w:val="null3"/>
              <w:jc w:val="both"/>
            </w:pPr>
            <w:r>
              <w:rPr>
                <w:rFonts w:ascii="仿宋_GB2312" w:hAnsi="仿宋_GB2312" w:cs="仿宋_GB2312" w:eastAsia="仿宋_GB2312"/>
                <w:sz w:val="24"/>
                <w:b/>
              </w:rPr>
              <w:t>四、人员配置要求</w:t>
            </w:r>
          </w:p>
          <w:p>
            <w:pPr>
              <w:pStyle w:val="null3"/>
              <w:ind w:firstLine="480"/>
              <w:jc w:val="both"/>
            </w:pPr>
            <w:r>
              <w:rPr>
                <w:rFonts w:ascii="仿宋_GB2312" w:hAnsi="仿宋_GB2312" w:cs="仿宋_GB2312" w:eastAsia="仿宋_GB2312"/>
                <w:sz w:val="24"/>
              </w:rPr>
              <w:t>企业风险评估工作成立评估工作组，评估组不少于</w:t>
            </w:r>
            <w:r>
              <w:rPr>
                <w:rFonts w:ascii="仿宋_GB2312" w:hAnsi="仿宋_GB2312" w:cs="仿宋_GB2312" w:eastAsia="仿宋_GB2312"/>
                <w:sz w:val="24"/>
              </w:rPr>
              <w:t>3名省市库工贸领域专家（提供承诺函），其中危险化学品领域专家不少于1名。并配备1名技术人员负责评估报告编制工作。</w:t>
            </w:r>
          </w:p>
          <w:p>
            <w:pPr>
              <w:pStyle w:val="null3"/>
              <w:ind w:firstLine="480"/>
              <w:jc w:val="both"/>
            </w:pPr>
            <w:r>
              <w:rPr>
                <w:rFonts w:ascii="仿宋_GB2312" w:hAnsi="仿宋_GB2312" w:cs="仿宋_GB2312" w:eastAsia="仿宋_GB2312"/>
                <w:sz w:val="24"/>
              </w:rPr>
              <w:t>质量验收标准或规范</w:t>
            </w:r>
          </w:p>
          <w:p>
            <w:pPr>
              <w:pStyle w:val="null3"/>
              <w:ind w:firstLine="480"/>
              <w:jc w:val="both"/>
            </w:pPr>
            <w:r>
              <w:rPr>
                <w:rFonts w:ascii="仿宋_GB2312" w:hAnsi="仿宋_GB2312" w:cs="仿宋_GB2312" w:eastAsia="仿宋_GB2312"/>
                <w:sz w:val="24"/>
              </w:rPr>
              <w:t>1.完成30份使用危险化学品工业企业风险评估报告。</w:t>
            </w:r>
          </w:p>
          <w:p>
            <w:pPr>
              <w:pStyle w:val="null3"/>
              <w:ind w:firstLine="480"/>
              <w:jc w:val="both"/>
            </w:pPr>
            <w:r>
              <w:rPr>
                <w:rFonts w:ascii="仿宋_GB2312" w:hAnsi="仿宋_GB2312" w:cs="仿宋_GB2312" w:eastAsia="仿宋_GB2312"/>
                <w:sz w:val="24"/>
              </w:rPr>
              <w:t>2.完成30份使用危险化学品工业企业隐患自查表。</w:t>
            </w:r>
          </w:p>
          <w:p>
            <w:pPr>
              <w:pStyle w:val="null3"/>
              <w:ind w:firstLine="480"/>
              <w:jc w:val="both"/>
            </w:pPr>
            <w:r>
              <w:rPr>
                <w:rFonts w:ascii="仿宋_GB2312" w:hAnsi="仿宋_GB2312" w:cs="仿宋_GB2312" w:eastAsia="仿宋_GB2312"/>
                <w:sz w:val="24"/>
              </w:rPr>
              <w:t>3.编制完成1份使用危险化学品工业企业整体风险评估报告。</w:t>
            </w:r>
          </w:p>
          <w:p>
            <w:pPr>
              <w:pStyle w:val="null3"/>
            </w:pPr>
            <w:r>
              <w:rPr>
                <w:rFonts w:ascii="仿宋_GB2312" w:hAnsi="仿宋_GB2312" w:cs="仿宋_GB2312" w:eastAsia="仿宋_GB2312"/>
                <w:sz w:val="24"/>
              </w:rPr>
              <w:t xml:space="preserve">    4.编制完成1份行业部门、属地专项检查表。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自合同签订之日起至2026年12月11日。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西安市高新区范围内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符合国家相关规范、标准及采购人考核要求。（具体详见3.2.2服务要求及合同）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进度款，服务期结束后，达到付款条件起30个工作日内，支付合同总金额的60.0%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(2)提供2025年度经审计的财务报告（成立时间至提交响应文件截止时间不足一年的可提供成立后任意时段的资产负债表），或响应文件递交截止时间前6个月内银行出具的资信证明或提供《基本资格条件承诺函》； (3)响应文件递交截止时间前一年内已缴纳的至少一个月的纳税证明或完税证明，依法免税的单位应提供相关证明材料或提供《基本资格条件承诺函》； (4)响应文件递交截止时间前一年内已缴存的至少一个月的社会保障资金缴存单据或社保机构开具的社会保险参保缴费情况证明，依法不需要缴纳社会保障资金的单位应提供相关证明材料或提供《基本资格条件承诺函》； (5)提供具有履行合同所必需的设备和专业技术能力的承诺或提供《基本资格条件承诺函》； (6)参加政府采购活动前3年内，在经营活动中没有重大违法记录的书面声明或提供《基本资格条件承诺函》。</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提供2025年度经审计的财务报告（成立时间至提交响应文件截止时间不足一年的可提供成立后任意时段的资产负债表），或响应文件递交截止时间前6个月内银行出具的资信证明或提供《基本资格条件承诺函》。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中小企业声明函/残疾人福利企业/监狱企业声明函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本项目专门面向中小企业采购，仅限符合《政府采购促进中小企业发展管理办法》的通知(财库〔2020〕46号)条件的中小企业参与，并提供中小企业声明函，残疾人福利企业、监狱企业视同中小企业;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1.投标（响应）报价低于全部通过符合性审查供应商投标（响应）报价平均值65%的，即投标（响应）报价〈全部通过符合性审查供应商投标（响应）报价平均值×65%；  2.投标（响应）报价低于通过符合性审查的次低报价供应商投标（响应）报价65%的，即投标（响应）报价〈通过符合性审查的次低报价供应商投标（响应）报价×65%；  3.投标（响应）报价低于采购项目最高限价65%的，即投标（响应）报价〈采购项目最高限价×65%；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技术方案.docx 商务及服务条款偏离表.docx 分项报价表.docx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技术方案.docx 商务及服务条款偏离表.docx 分项报价表.docx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商务及服务条款偏离表.docx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考核（验收）标准和方法</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商务及服务条款偏离表.docx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提出针对于本项目的服务总体计划及目标（①围绕企业开展八个方面的评估和建议技术方案②风险分级分类体系方案等）。 二、评审标准 1、完整性：方案须全面，对评审内容中的各项要求有详细描述及说明； 2、可实施性：切合本项目实际情况，实施步骤清晰、合理； 3、针对性：方案能够紧扣项目实际情况，内容科学合理。 三、赋分标准 评审内容每完全满足一项评审标准得1分，评审内容每有一处缺陷扣0.5分，扣完为止，未提供得0分。 、述缺陷是指: 内容不详细具体、条理不清晰、描述过于简单、与项目特点不匹配、凭空编造、逻辑漏洞、常识性错误、不可能实现的夸大情形、存在不适用项目实际情况的情形等其中的任意一种情形。（下同）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项目关键点的分析和控制策略</w:t>
            </w:r>
          </w:p>
        </w:tc>
        <w:tc>
          <w:tcPr>
            <w:tcW w:type="dxa" w:w="2492"/>
          </w:tcPr>
          <w:p>
            <w:pPr>
              <w:pStyle w:val="null3"/>
            </w:pPr>
            <w:r>
              <w:rPr>
                <w:rFonts w:ascii="仿宋_GB2312" w:hAnsi="仿宋_GB2312" w:cs="仿宋_GB2312" w:eastAsia="仿宋_GB2312"/>
              </w:rPr>
              <w:t>一、评审内容 针对本项目提出关键点的分析和策略控制方案，方案内容包含 ①项目关键点分析②项目具体实施措施（评价依据、标准规范等引用准确）。 二、评审标准 1、完整性：方案须全面，对评审内容中的各项要求有详细描述及说明； 2、可实施性：切合本项目实际情况，实施步骤清晰、合理； 3、针对性：方案能够紧扣项目实际情况，内容科学合理。 三、赋分标准 ①-②项评审内容，每项评审内容每完全满足一项评审标准得1分，每项评审内容每有一处缺陷扣0.5分，扣完为止，未提供得0分。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一、评审内容 针对本项目提出的进度控制方案。 二、评审标准 1、完整性：方案须全面，对评审内容中的各项要求有详细描述及说明； 2、可实施性：切合本项目实际情况，实施步骤清晰、合理； 3、针对性：方案能够紧扣项目实际情况，内容科学合理。 三、赋分标准 评审内容每完全满足一项评审标准得2分，评审内容每有一处缺陷扣0.5分，扣完为止，未提供得0分。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一、评审内容 针对本项目提出的质量控制方案，方案内容包含。 二、评审标准 1、完整性：方案须全面，对评审内容中的各项要求有详细描述及说明； 2、可实施性：切合本项目实际情况，实施步骤清晰、合理； 3、针对性：方案能够紧扣项目实际情况，内容科学合理。 三、赋分标准 评审内容每完全满足一项评审标准得2分，评审内容每有一处缺陷扣0.5分，扣完为止，未提供得0分。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针对本项目服务内容及特点，提出合理化建议（结果答疑、隐患整改指导等）。 二、评审标准 1、完整性：方案须全面，对评审内容中的各项要求有详细描述及说明； 2、可实施性：切合本项目实际情况，实施步骤清晰、合理； 3、针对性：方案能够紧扣项目实际情况，内容科学合理。 三、赋分标准 评审内容每完全满足一项评审标准得2分，评审内容每有一处缺陷扣0.5分，扣完为止，未提供得0分。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成果档案管理</w:t>
            </w:r>
          </w:p>
        </w:tc>
        <w:tc>
          <w:tcPr>
            <w:tcW w:type="dxa" w:w="2492"/>
          </w:tcPr>
          <w:p>
            <w:pPr>
              <w:pStyle w:val="null3"/>
            </w:pPr>
            <w:r>
              <w:rPr>
                <w:rFonts w:ascii="仿宋_GB2312" w:hAnsi="仿宋_GB2312" w:cs="仿宋_GB2312" w:eastAsia="仿宋_GB2312"/>
              </w:rPr>
              <w:t>一、评审内容 针对本项目提供档案管理内容包含①合理的规划编制、审核措施②保管措施和移交措施。 二、评审标准 1、完整性：方案须全面，对评审内容及采购内容及技术要求中成果要求中的各项要求有详细描述及说明； 2、可实施性：切合本项目实际情况，实施步骤清晰、合理； 3、针对性：方案能够紧扣项目实际情况，内容科学合理。 三、评审标准 ①-②项评审内容，每项评审内容每完全满足一项评审标准得1.5分，每项评审内容每有一处缺陷扣0.5分，扣完为止，未提供得0分。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供应商提供针对本项目的专项管理制度文件，包含以下内容。评审时仅判断“有/无”或“是否正确”： 1.内部管理制度；（有成套文件化的过程控制体系，应包含管理手册（纲领）、程序文件（流程）、作业文件（操作细节）和记录（证据）四个层次） 2.安全评价过程控制体系；（应至少包含风险分析、实施评价、报告审核及档案管理） 3.人员岗位职责管理制度；（以项目负责人（组长）、技术负责人、过程控制负责人为核心，并辅以审核、档案等支持岗位，形成一套完整的责任体系） 4.安全检查机制；（明确检查频率、检查方式、记录留存） 5.协助监管机制；（明确监管重点建议、监管频次建议与监管方式建议）。 计分规则： 以上5项要素中，每完整（对要求内容均完整响应）提供1项且内容正确无误，得2分，满分10分。 若某要素中出现以下任一客观错误，该要素不得分： 1.项目名称、单位名称等信息错误； 2.条款明显不符合国家法律法规或行业要求； 3.同一制度中前后表述矛盾或逻辑明显不通。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1.承诺：接受采购人对服务的考核、监督及管理，并对服务质量加以改进，确保服务工作的优质高效得1分。 2.承诺：若人员因事、病不能及时上岗时，请调其他服务人员补充，确保各项服务工作正常进行得1分。 3.承诺：供应商应当对涉及采购人的信息严格保密，未经采购人许可，不得将信息泄露给第三方得1分。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项目组人员组成</w:t>
            </w:r>
          </w:p>
        </w:tc>
        <w:tc>
          <w:tcPr>
            <w:tcW w:type="dxa" w:w="2492"/>
          </w:tcPr>
          <w:p>
            <w:pPr>
              <w:pStyle w:val="null3"/>
            </w:pPr>
            <w:r>
              <w:rPr>
                <w:rFonts w:ascii="仿宋_GB2312" w:hAnsi="仿宋_GB2312" w:cs="仿宋_GB2312" w:eastAsia="仿宋_GB2312"/>
              </w:rPr>
              <w:t>项目拟投入人员中，中级（含中级）及以上职称10人及以上的得10分，7-9人得6分，5-3人得3分,3人以下得1分，未提供不得分； 注：提供加盖公章的相关证明材料复印件，不提供不得分。 提供加盖公章的相关职称证书复印件，人员在投标供应商本单位缴纳的响应文件递交截止时间前6个月内任意一个月的社保证明，不提供本项不得分。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投标供应商提供2023年7月01日至今（以合同签订日期为准）同类项目业绩，每个有效业绩得2分，满分10分；（以合同为准，复印件加盖公章附在响应文件中，否则不作为评审依据）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业主评价</w:t>
            </w:r>
          </w:p>
        </w:tc>
        <w:tc>
          <w:tcPr>
            <w:tcW w:type="dxa" w:w="2492"/>
          </w:tcPr>
          <w:p>
            <w:pPr>
              <w:pStyle w:val="null3"/>
            </w:pPr>
            <w:r>
              <w:rPr>
                <w:rFonts w:ascii="仿宋_GB2312" w:hAnsi="仿宋_GB2312" w:cs="仿宋_GB2312" w:eastAsia="仿宋_GB2312"/>
              </w:rPr>
              <w:t>投标供应商提供2023年7月1日至今同类项目客户履约评价表或满意度调查评价表，客户评价为良及以上或评价得分80分及以上，每提供一份得1分，总分6分。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项目负责人综合能力</w:t>
            </w:r>
          </w:p>
        </w:tc>
        <w:tc>
          <w:tcPr>
            <w:tcW w:type="dxa" w:w="2492"/>
          </w:tcPr>
          <w:p>
            <w:pPr>
              <w:pStyle w:val="null3"/>
            </w:pPr>
            <w:r>
              <w:rPr>
                <w:rFonts w:ascii="仿宋_GB2312" w:hAnsi="仿宋_GB2312" w:cs="仿宋_GB2312" w:eastAsia="仿宋_GB2312"/>
              </w:rPr>
              <w:t>1投标供应商拟派项目负责人具有化工安全专业中级及以上注册安全工程师的得3分； 2投标供应商拟派项目负责人具有本科及以上学历的得3分，具有专科学历的得1分。（以学信网查询截图或相关证书复印件为准） 提供加盖公章的相关证书复印件，项目负责人在投标供应商本单位缴纳的响应文件递交截止时间前6个月内任意一个月的社保证明，不提供本项不得分。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投标供应商拟派项目负责人提供2023年07月01日至今（以合同签订日期为准）同类项目业绩，每个有效业绩得2分，满分6分；（以合同为准，须体现项目负责人姓名，复印件加盖公章附在响应文件中，否则不作为评审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实质性满足磋商文件要求且最后磋商总报价最低的磋商总报价为磋商基准价，其价格分为满分10分。 其它磋商总报价得分=（磋商基准价/最后磋商总报价）*10分。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详见附件：商务及服务条款偏离表.docx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