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版本号：SZCG(2026)0820260825002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课桌凳采购项目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SZCG(2026)08</w:t>
      </w:r>
      <w:r>
        <w:br/>
      </w:r>
      <w:r>
        <w:br/>
      </w:r>
      <w:r>
        <w:br/>
      </w:r>
    </w:p>
    <w:p>
      <w:pPr>
        <w:pStyle w:val="null3"/>
        <w:jc w:val="center"/>
        <w:outlineLvl w:val="2"/>
      </w:pPr>
      <w:r>
        <w:rPr>
          <w:rFonts w:ascii="仿宋_GB2312" w:hAnsi="仿宋_GB2312" w:cs="仿宋_GB2312" w:eastAsia="仿宋_GB2312"/>
          <w:sz w:val="28"/>
          <w:b/>
        </w:rPr>
        <w:t>商洛市商州区九年制学校</w:t>
      </w:r>
    </w:p>
    <w:p>
      <w:pPr>
        <w:pStyle w:val="null3"/>
        <w:jc w:val="center"/>
        <w:outlineLvl w:val="2"/>
      </w:pPr>
      <w:r>
        <w:rPr>
          <w:rFonts w:ascii="仿宋_GB2312" w:hAnsi="仿宋_GB2312" w:cs="仿宋_GB2312" w:eastAsia="仿宋_GB2312"/>
          <w:sz w:val="28"/>
          <w:b/>
        </w:rPr>
        <w:t>商洛市商州区政府采购中心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商洛市商州区政府采购中心</w:t>
      </w:r>
      <w:r>
        <w:rPr>
          <w:rFonts w:ascii="仿宋_GB2312" w:hAnsi="仿宋_GB2312" w:cs="仿宋_GB2312" w:eastAsia="仿宋_GB2312"/>
        </w:rPr>
        <w:t>（以下简称“代理机构”）受</w:t>
      </w:r>
      <w:r>
        <w:rPr>
          <w:rFonts w:ascii="仿宋_GB2312" w:hAnsi="仿宋_GB2312" w:cs="仿宋_GB2312" w:eastAsia="仿宋_GB2312"/>
        </w:rPr>
        <w:t>商洛市商州区九年制学校</w:t>
      </w:r>
      <w:r>
        <w:rPr>
          <w:rFonts w:ascii="仿宋_GB2312" w:hAnsi="仿宋_GB2312" w:cs="仿宋_GB2312" w:eastAsia="仿宋_GB2312"/>
        </w:rPr>
        <w:t>委托，拟对</w:t>
      </w:r>
      <w:r>
        <w:rPr>
          <w:rFonts w:ascii="仿宋_GB2312" w:hAnsi="仿宋_GB2312" w:cs="仿宋_GB2312" w:eastAsia="仿宋_GB2312"/>
        </w:rPr>
        <w:t>课桌凳采购项目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SZCG(2026)08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课桌凳采购项目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为了改善办学条件，满足正常教育教学需求，根据学校现有教学设备及未来发展需求，计划一批课桌凳。采购内容包括：课桌2000张，凳子1700张，靠背椅子300把。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采购包1（课桌凳）：属于专门面向中小企业采购。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1、营业执照合法有效：具有独立承担民事责任能力的法人或非法人组织或自然人，提供合法有效的统一社会信用代码的营业执照。</w:t>
      </w:r>
    </w:p>
    <w:p>
      <w:pPr>
        <w:pStyle w:val="null3"/>
      </w:pPr>
      <w:r>
        <w:rPr>
          <w:rFonts w:ascii="仿宋_GB2312" w:hAnsi="仿宋_GB2312" w:cs="仿宋_GB2312" w:eastAsia="仿宋_GB2312"/>
        </w:rPr>
        <w:t>2、法定代表人授权书：供应商应授权合法的人员参加投标全过程，其中法定代表人直接参加投标的，须提供法定代表人身份证，并与营业执照上信息一致。法定代表人授权代表参加投标的，须提供法定代表人授权书及授权代表身份证。</w:t>
      </w:r>
    </w:p>
    <w:p>
      <w:pPr>
        <w:pStyle w:val="null3"/>
      </w:pPr>
      <w:r>
        <w:rPr>
          <w:rFonts w:ascii="仿宋_GB2312" w:hAnsi="仿宋_GB2312" w:cs="仿宋_GB2312" w:eastAsia="仿宋_GB2312"/>
        </w:rPr>
        <w:t>3、良好的财务状况：提供2025年度经审计的财务报告（包含审计报告、资产负债表、利润表、现金流量表、所有者权益变动表及附注，成立时间至提交响应截止时间不足一年的提供成立后任意时段的资产负债表），或提供基本存款账户开户银行出具的近6个月内的资信证明（以上资料提供任意一种即可）。审计报告须具有注册会计师行业统一监管平台赋予的验证码。</w:t>
      </w:r>
    </w:p>
    <w:p>
      <w:pPr>
        <w:pStyle w:val="null3"/>
      </w:pPr>
      <w:r>
        <w:rPr>
          <w:rFonts w:ascii="仿宋_GB2312" w:hAnsi="仿宋_GB2312" w:cs="仿宋_GB2312" w:eastAsia="仿宋_GB2312"/>
        </w:rPr>
        <w:t>4、良好的纳税记录：提供开标截止时间前12个月内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5、社会保障资金缴纳证明：提供开标截止时间前12个月内任意一个月的社会保障资金缴存单据或社保机构开具的社会保险参保缴费情况证明。依法不需要缴纳社会保障资金的供应商应提供相关文件证明。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信用记录声明合法有效：未被信用中国网站(www.creditchina.gov.cn)列入信用记录失信被执行人、重大税收违法案件当事人名单，未被中国政府采购网(www.ccgp.gov.cn)列为政府采购严重违法失信行为记录名单、未被禁止参加政府采购活动，按要求上传信用记录声明函。开标后，采购人/采购代理机构将进行供应商信用记录查询并下载查询报告截图保存，存在不良信用记录，其响应资格无效。</w:t>
      </w:r>
    </w:p>
    <w:p>
      <w:pPr>
        <w:pStyle w:val="null3"/>
      </w:pPr>
      <w:r>
        <w:rPr>
          <w:rFonts w:ascii="仿宋_GB2312" w:hAnsi="仿宋_GB2312" w:cs="仿宋_GB2312" w:eastAsia="仿宋_GB2312"/>
        </w:rPr>
        <w:t>7、中小企业声明函：根据《政府采购促进中小企业发展管理办法》财库【2020】46号的规定提供中小企业声明函。</w:t>
      </w:r>
    </w:p>
    <w:p>
      <w:pPr>
        <w:pStyle w:val="null3"/>
      </w:pPr>
      <w:r>
        <w:rPr>
          <w:rFonts w:ascii="仿宋_GB2312" w:hAnsi="仿宋_GB2312" w:cs="仿宋_GB2312" w:eastAsia="仿宋_GB2312"/>
        </w:rPr>
        <w:t>8、联合体投标：本项目不接受联合体投标。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商洛市商州区九年制学校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刘湾街道办事处任塬村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李少敏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18009149792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商洛市商州区政府采购中心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陕西省商洛市商州区商州区名人街39号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田丹锋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0914—2327240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商洛市商州区财政局采购管理股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周丹玲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 xml:space="preserve"> 0914-2382323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产品不涉及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产品不涉及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课桌凳</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商洛市商州区九年制学校</w:t>
      </w:r>
      <w:r>
        <w:rPr>
          <w:rFonts w:ascii="仿宋_GB2312" w:hAnsi="仿宋_GB2312" w:cs="仿宋_GB2312" w:eastAsia="仿宋_GB2312"/>
        </w:rPr>
        <w:t>和</w:t>
      </w:r>
      <w:r>
        <w:rPr>
          <w:rFonts w:ascii="仿宋_GB2312" w:hAnsi="仿宋_GB2312" w:cs="仿宋_GB2312" w:eastAsia="仿宋_GB2312"/>
        </w:rPr>
        <w:t>商洛市商州区政府采购中心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商洛市商州区九年制学校</w:t>
      </w:r>
      <w:r>
        <w:rPr>
          <w:rFonts w:ascii="仿宋_GB2312" w:hAnsi="仿宋_GB2312" w:cs="仿宋_GB2312" w:eastAsia="仿宋_GB2312"/>
        </w:rPr>
        <w:t>负责解释。除上述磋商文件内容，其他内容由</w:t>
      </w:r>
      <w:r>
        <w:rPr>
          <w:rFonts w:ascii="仿宋_GB2312" w:hAnsi="仿宋_GB2312" w:cs="仿宋_GB2312" w:eastAsia="仿宋_GB2312"/>
        </w:rPr>
        <w:t>商洛市商州区政府采购中心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商洛市商州区九年制学校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商洛市商州区政府采购中心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使用该知识成果后，供应商需提供技术资料，并承诺提供无期限支持，采购人享有使用权。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按照竞争性磋商文件、供应商响应文件及合同有关约定验收。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商洛市商州区政府采购中心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商洛市商州区政府采购中心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商洛市商州区政府采购中心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联系人：程婷</w:t>
      </w:r>
    </w:p>
    <w:p>
      <w:pPr>
        <w:pStyle w:val="null3"/>
      </w:pPr>
      <w:r>
        <w:rPr>
          <w:rFonts w:ascii="仿宋_GB2312" w:hAnsi="仿宋_GB2312" w:cs="仿宋_GB2312" w:eastAsia="仿宋_GB2312"/>
        </w:rPr>
        <w:t>联系电话：0914-2312786</w:t>
      </w:r>
    </w:p>
    <w:p>
      <w:pPr>
        <w:pStyle w:val="null3"/>
      </w:pPr>
      <w:r>
        <w:rPr>
          <w:rFonts w:ascii="仿宋_GB2312" w:hAnsi="仿宋_GB2312" w:cs="仿宋_GB2312" w:eastAsia="仿宋_GB2312"/>
        </w:rPr>
        <w:t>地址：商洛市商州区政府采购中心办公室</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为了改善办学条件，满足正常教育教学需求，根据学校现有教学设备及未来发展需求，计划一批课桌凳。采购内容包括：双柱单层课桌2000张，双柱凳1700个，双柱靠背椅300把。</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课桌凳</w:t>
            </w:r>
          </w:p>
        </w:tc>
        <w:tc>
          <w:tcPr>
            <w:tcW w:type="dxa" w:w="755"/>
          </w:tcPr>
          <w:p>
            <w:pPr>
              <w:pStyle w:val="null3"/>
              <w:jc w:val="right"/>
            </w:pPr>
            <w:r>
              <w:rPr>
                <w:rFonts w:ascii="仿宋_GB2312" w:hAnsi="仿宋_GB2312" w:cs="仿宋_GB2312" w:eastAsia="仿宋_GB2312"/>
              </w:rPr>
              <w:t>2,000.00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标的名称：课桌凳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07"/>
              <w:gridCol w:w="1393"/>
              <w:gridCol w:w="1385"/>
            </w:tblGrid>
            <w:tr>
              <w:tc>
                <w:tcPr>
                  <w:tcW w:type="dxa" w:w="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物品名称</w:t>
                  </w:r>
                </w:p>
              </w:tc>
              <w:tc>
                <w:tcPr>
                  <w:tcW w:type="dxa" w:w="13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材料、技术要求参数</w:t>
                  </w:r>
                </w:p>
              </w:tc>
              <w:tc>
                <w:tcPr>
                  <w:tcW w:type="dxa" w:w="1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样图</w:t>
                  </w:r>
                  <w:r>
                    <w:rPr>
                      <w:rFonts w:ascii="仿宋_GB2312" w:hAnsi="仿宋_GB2312" w:cs="仿宋_GB2312" w:eastAsia="仿宋_GB2312"/>
                      <w:sz w:val="21"/>
                      <w:b/>
                    </w:rPr>
                    <w:t>（</w:t>
                  </w:r>
                  <w:r>
                    <w:rPr>
                      <w:rFonts w:ascii="仿宋_GB2312" w:hAnsi="仿宋_GB2312" w:cs="仿宋_GB2312" w:eastAsia="仿宋_GB2312"/>
                      <w:sz w:val="21"/>
                      <w:b/>
                    </w:rPr>
                    <w:t>仅供参考</w:t>
                  </w:r>
                  <w:r>
                    <w:rPr>
                      <w:rFonts w:ascii="仿宋_GB2312" w:hAnsi="仿宋_GB2312" w:cs="仿宋_GB2312" w:eastAsia="仿宋_GB2312"/>
                      <w:sz w:val="21"/>
                      <w:b/>
                    </w:rPr>
                    <w:t>）</w:t>
                  </w:r>
                </w:p>
              </w:tc>
            </w:tr>
            <w:tr>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b/>
                      <w:color w:val="000000"/>
                    </w:rPr>
                    <w:t>双柱单层课桌</w:t>
                  </w:r>
                </w:p>
                <w:p>
                  <w:pPr>
                    <w:pStyle w:val="null3"/>
                    <w:jc w:val="left"/>
                  </w:pPr>
                  <w:r>
                    <w:rPr>
                      <w:rFonts w:ascii="仿宋_GB2312" w:hAnsi="仿宋_GB2312" w:cs="仿宋_GB2312" w:eastAsia="仿宋_GB2312"/>
                      <w:sz w:val="19"/>
                      <w:b/>
                    </w:rPr>
                    <w:t>(2000 张）</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1.课桌</w:t>
                  </w:r>
                  <w:r>
                    <w:rPr>
                      <w:rFonts w:ascii="仿宋_GB2312" w:hAnsi="仿宋_GB2312" w:cs="仿宋_GB2312" w:eastAsia="仿宋_GB2312"/>
                      <w:sz w:val="18"/>
                    </w:rPr>
                    <w:t>面板</w:t>
                  </w:r>
                  <w:r>
                    <w:rPr>
                      <w:rFonts w:ascii="仿宋_GB2312" w:hAnsi="仿宋_GB2312" w:cs="仿宋_GB2312" w:eastAsia="仿宋_GB2312"/>
                      <w:sz w:val="18"/>
                    </w:rPr>
                    <w:t>尺寸约：600mm*450mm*25mm</w:t>
                  </w:r>
                </w:p>
                <w:p>
                  <w:pPr>
                    <w:pStyle w:val="null3"/>
                    <w:jc w:val="left"/>
                  </w:pPr>
                  <w:r>
                    <w:rPr>
                      <w:rFonts w:ascii="仿宋_GB2312" w:hAnsi="仿宋_GB2312" w:cs="仿宋_GB2312" w:eastAsia="仿宋_GB2312"/>
                      <w:sz w:val="18"/>
                    </w:rPr>
                    <w:t xml:space="preserve">材质：采用 </w:t>
                  </w:r>
                  <w:r>
                    <w:rPr>
                      <w:rFonts w:ascii="仿宋_GB2312" w:hAnsi="仿宋_GB2312" w:cs="仿宋_GB2312" w:eastAsia="仿宋_GB2312"/>
                      <w:sz w:val="18"/>
                    </w:rPr>
                    <w:t>ABS</w:t>
                  </w:r>
                  <w:r>
                    <w:rPr>
                      <w:rFonts w:ascii="仿宋_GB2312" w:hAnsi="仿宋_GB2312" w:cs="仿宋_GB2312" w:eastAsia="仿宋_GB2312"/>
                      <w:sz w:val="18"/>
                    </w:rPr>
                    <w:t>耐冲击塑料一级新料一体注塑成型。耐冲击强度：须能承受5磅榔头重力锤击不得破裂。不得采用回收料生产</w:t>
                  </w:r>
                  <w:r>
                    <w:rPr>
                      <w:rFonts w:ascii="仿宋_GB2312" w:hAnsi="仿宋_GB2312" w:cs="仿宋_GB2312" w:eastAsia="仿宋_GB2312"/>
                      <w:sz w:val="18"/>
                    </w:rPr>
                    <w:t>。</w:t>
                  </w:r>
                  <w:r>
                    <w:rPr>
                      <w:rFonts w:ascii="仿宋_GB2312" w:hAnsi="仿宋_GB2312" w:cs="仿宋_GB2312" w:eastAsia="仿宋_GB2312"/>
                      <w:sz w:val="18"/>
                    </w:rPr>
                    <w:t>面板底部有強化承重之设计。</w:t>
                  </w:r>
                  <w:r>
                    <w:rPr>
                      <w:rFonts w:ascii="仿宋_GB2312" w:hAnsi="仿宋_GB2312" w:cs="仿宋_GB2312" w:eastAsia="仿宋_GB2312"/>
                      <w:sz w:val="18"/>
                    </w:rPr>
                    <w:t>桌子上管</w:t>
                  </w:r>
                  <w:r>
                    <w:rPr>
                      <w:rFonts w:ascii="仿宋_GB2312" w:hAnsi="仿宋_GB2312" w:cs="仿宋_GB2312" w:eastAsia="仿宋_GB2312"/>
                      <w:sz w:val="18"/>
                    </w:rPr>
                    <w:t>尺寸规格为</w:t>
                  </w:r>
                  <w:r>
                    <w:rPr>
                      <w:rFonts w:ascii="仿宋_GB2312" w:hAnsi="仿宋_GB2312" w:cs="仿宋_GB2312" w:eastAsia="仿宋_GB2312"/>
                      <w:sz w:val="18"/>
                    </w:rPr>
                    <w:t>20</w:t>
                  </w:r>
                  <w:r>
                    <w:rPr>
                      <w:rFonts w:ascii="仿宋_GB2312" w:hAnsi="仿宋_GB2312" w:cs="仿宋_GB2312" w:eastAsia="仿宋_GB2312"/>
                      <w:sz w:val="18"/>
                    </w:rPr>
                    <w:t>mm×</w:t>
                  </w:r>
                  <w:r>
                    <w:rPr>
                      <w:rFonts w:ascii="仿宋_GB2312" w:hAnsi="仿宋_GB2312" w:cs="仿宋_GB2312" w:eastAsia="仿宋_GB2312"/>
                      <w:sz w:val="18"/>
                    </w:rPr>
                    <w:t>50</w:t>
                  </w:r>
                  <w:r>
                    <w:rPr>
                      <w:rFonts w:ascii="仿宋_GB2312" w:hAnsi="仿宋_GB2312" w:cs="仿宋_GB2312" w:eastAsia="仿宋_GB2312"/>
                      <w:sz w:val="18"/>
                    </w:rPr>
                    <w:t>mm×壁厚</w:t>
                  </w:r>
                  <w:r>
                    <w:rPr>
                      <w:rFonts w:ascii="仿宋_GB2312" w:hAnsi="仿宋_GB2312" w:cs="仿宋_GB2312" w:eastAsia="仿宋_GB2312"/>
                      <w:sz w:val="18"/>
                    </w:rPr>
                    <w:t>≥</w:t>
                  </w:r>
                  <w:r>
                    <w:rPr>
                      <w:rFonts w:ascii="仿宋_GB2312" w:hAnsi="仿宋_GB2312" w:cs="仿宋_GB2312" w:eastAsia="仿宋_GB2312"/>
                      <w:sz w:val="18"/>
                    </w:rPr>
                    <w:t>1.</w:t>
                  </w:r>
                  <w:r>
                    <w:rPr>
                      <w:rFonts w:ascii="仿宋_GB2312" w:hAnsi="仿宋_GB2312" w:cs="仿宋_GB2312" w:eastAsia="仿宋_GB2312"/>
                      <w:sz w:val="18"/>
                    </w:rPr>
                    <w:t>2</w:t>
                  </w:r>
                  <w:r>
                    <w:rPr>
                      <w:rFonts w:ascii="仿宋_GB2312" w:hAnsi="仿宋_GB2312" w:cs="仿宋_GB2312" w:eastAsia="仿宋_GB2312"/>
                      <w:sz w:val="18"/>
                    </w:rPr>
                    <w:t>mm；</w:t>
                  </w:r>
                </w:p>
                <w:p>
                  <w:pPr>
                    <w:pStyle w:val="null3"/>
                    <w:jc w:val="left"/>
                  </w:pPr>
                  <w:r>
                    <w:rPr>
                      <w:rFonts w:ascii="仿宋_GB2312" w:hAnsi="仿宋_GB2312" w:cs="仿宋_GB2312" w:eastAsia="仿宋_GB2312"/>
                      <w:sz w:val="18"/>
                    </w:rPr>
                    <w:t>下管25</w:t>
                  </w:r>
                  <w:r>
                    <w:rPr>
                      <w:rFonts w:ascii="仿宋_GB2312" w:hAnsi="仿宋_GB2312" w:cs="仿宋_GB2312" w:eastAsia="仿宋_GB2312"/>
                      <w:sz w:val="18"/>
                    </w:rPr>
                    <w:t>mm</w:t>
                  </w:r>
                  <w:r>
                    <w:rPr>
                      <w:rFonts w:ascii="仿宋_GB2312" w:hAnsi="仿宋_GB2312" w:cs="仿宋_GB2312" w:eastAsia="仿宋_GB2312"/>
                      <w:sz w:val="18"/>
                    </w:rPr>
                    <w:t>*50</w:t>
                  </w:r>
                  <w:r>
                    <w:rPr>
                      <w:rFonts w:ascii="仿宋_GB2312" w:hAnsi="仿宋_GB2312" w:cs="仿宋_GB2312" w:eastAsia="仿宋_GB2312"/>
                      <w:sz w:val="18"/>
                    </w:rPr>
                    <w:t>mm</w:t>
                  </w:r>
                  <w:r>
                    <w:rPr>
                      <w:rFonts w:ascii="仿宋_GB2312" w:hAnsi="仿宋_GB2312" w:cs="仿宋_GB2312" w:eastAsia="仿宋_GB2312"/>
                      <w:sz w:val="18"/>
                    </w:rPr>
                    <w:t>*</w:t>
                  </w:r>
                  <w:r>
                    <w:rPr>
                      <w:rFonts w:ascii="仿宋_GB2312" w:hAnsi="仿宋_GB2312" w:cs="仿宋_GB2312" w:eastAsia="仿宋_GB2312"/>
                      <w:sz w:val="18"/>
                    </w:rPr>
                    <w:t>壁厚</w:t>
                  </w:r>
                  <w:r>
                    <w:rPr>
                      <w:rFonts w:ascii="仿宋_GB2312" w:hAnsi="仿宋_GB2312" w:cs="仿宋_GB2312" w:eastAsia="仿宋_GB2312"/>
                      <w:sz w:val="18"/>
                    </w:rPr>
                    <w:t>≥</w:t>
                  </w:r>
                  <w:r>
                    <w:rPr>
                      <w:rFonts w:ascii="仿宋_GB2312" w:hAnsi="仿宋_GB2312" w:cs="仿宋_GB2312" w:eastAsia="仿宋_GB2312"/>
                      <w:sz w:val="18"/>
                    </w:rPr>
                    <w:t>1.2mm；</w:t>
                  </w:r>
                </w:p>
                <w:p>
                  <w:pPr>
                    <w:pStyle w:val="null3"/>
                    <w:jc w:val="left"/>
                  </w:pPr>
                  <w:r>
                    <w:rPr>
                      <w:rFonts w:ascii="仿宋_GB2312" w:hAnsi="仿宋_GB2312" w:cs="仿宋_GB2312" w:eastAsia="仿宋_GB2312"/>
                      <w:sz w:val="18"/>
                    </w:rPr>
                    <w:t>由螺丝锁付于面板底部</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桌腿：</w:t>
                  </w:r>
                  <w:r>
                    <w:rPr>
                      <w:rFonts w:ascii="仿宋_GB2312" w:hAnsi="仿宋_GB2312" w:cs="仿宋_GB2312" w:eastAsia="仿宋_GB2312"/>
                      <w:sz w:val="18"/>
                    </w:rPr>
                    <w:t>采用</w:t>
                  </w:r>
                  <w:r>
                    <w:rPr>
                      <w:rFonts w:ascii="仿宋_GB2312" w:hAnsi="仿宋_GB2312" w:cs="仿宋_GB2312" w:eastAsia="仿宋_GB2312"/>
                      <w:sz w:val="18"/>
                    </w:rPr>
                    <w:t>金</w:t>
                  </w:r>
                  <w:r>
                    <w:rPr>
                      <w:rFonts w:ascii="仿宋_GB2312" w:hAnsi="仿宋_GB2312" w:cs="仿宋_GB2312" w:eastAsia="仿宋_GB2312"/>
                      <w:sz w:val="18"/>
                    </w:rPr>
                    <w:t>属</w:t>
                  </w:r>
                  <w:r>
                    <w:rPr>
                      <w:rFonts w:ascii="仿宋_GB2312" w:hAnsi="仿宋_GB2312" w:cs="仿宋_GB2312" w:eastAsia="仿宋_GB2312"/>
                      <w:sz w:val="18"/>
                    </w:rPr>
                    <w:t>扁圆</w:t>
                  </w:r>
                  <w:r>
                    <w:rPr>
                      <w:rFonts w:ascii="仿宋_GB2312" w:hAnsi="仿宋_GB2312" w:cs="仿宋_GB2312" w:eastAsia="仿宋_GB2312"/>
                      <w:sz w:val="18"/>
                    </w:rPr>
                    <w:t>管</w:t>
                  </w:r>
                  <w:r>
                    <w:rPr>
                      <w:rFonts w:ascii="仿宋_GB2312" w:hAnsi="仿宋_GB2312" w:cs="仿宋_GB2312" w:eastAsia="仿宋_GB2312"/>
                      <w:sz w:val="18"/>
                    </w:rPr>
                    <w:t>，底管30mm*60mm*壁厚</w:t>
                  </w:r>
                  <w:r>
                    <w:rPr>
                      <w:rFonts w:ascii="仿宋_GB2312" w:hAnsi="仿宋_GB2312" w:cs="仿宋_GB2312" w:eastAsia="仿宋_GB2312"/>
                      <w:sz w:val="18"/>
                    </w:rPr>
                    <w:t>≥</w:t>
                  </w:r>
                  <w:r>
                    <w:rPr>
                      <w:rFonts w:ascii="仿宋_GB2312" w:hAnsi="仿宋_GB2312" w:cs="仿宋_GB2312" w:eastAsia="仿宋_GB2312"/>
                      <w:sz w:val="18"/>
                    </w:rPr>
                    <w:t>1.2mm</w:t>
                  </w:r>
                  <w:r>
                    <w:rPr>
                      <w:rFonts w:ascii="仿宋_GB2312" w:hAnsi="仿宋_GB2312" w:cs="仿宋_GB2312" w:eastAsia="仿宋_GB2312"/>
                      <w:sz w:val="18"/>
                    </w:rPr>
                    <w:t>扁圆管制作；</w:t>
                  </w:r>
                  <w:r>
                    <w:rPr>
                      <w:rFonts w:ascii="仿宋_GB2312" w:hAnsi="仿宋_GB2312" w:cs="仿宋_GB2312" w:eastAsia="仿宋_GB2312"/>
                      <w:sz w:val="18"/>
                    </w:rPr>
                    <w:t>课桌凳均为双立腿固定。课桌一根连档，</w:t>
                  </w:r>
                  <w:r>
                    <w:rPr>
                      <w:rFonts w:ascii="仿宋_GB2312" w:hAnsi="仿宋_GB2312" w:cs="仿宋_GB2312" w:eastAsia="仿宋_GB2312"/>
                      <w:sz w:val="18"/>
                      <w:color w:val="000000"/>
                    </w:rPr>
                    <w:t>课桌的脚套采用优质聚乙稀材料，与管件固定采用自锁装置，确保耐磨，不易脱落。</w:t>
                  </w:r>
                </w:p>
                <w:p>
                  <w:pPr>
                    <w:pStyle w:val="null3"/>
                    <w:jc w:val="left"/>
                  </w:pPr>
                  <w:r>
                    <w:rPr>
                      <w:rFonts w:ascii="仿宋_GB2312" w:hAnsi="仿宋_GB2312" w:cs="仿宋_GB2312" w:eastAsia="仿宋_GB2312"/>
                      <w:sz w:val="18"/>
                    </w:rPr>
                    <w:t>书箱</w:t>
                  </w:r>
                  <w:r>
                    <w:rPr>
                      <w:rFonts w:ascii="仿宋_GB2312" w:hAnsi="仿宋_GB2312" w:cs="仿宋_GB2312" w:eastAsia="仿宋_GB2312"/>
                      <w:sz w:val="18"/>
                    </w:rPr>
                    <w:t>1</w:t>
                  </w:r>
                  <w:r>
                    <w:rPr>
                      <w:rFonts w:ascii="仿宋_GB2312" w:hAnsi="仿宋_GB2312" w:cs="仿宋_GB2312" w:eastAsia="仿宋_GB2312"/>
                      <w:sz w:val="18"/>
                    </w:rPr>
                    <w:t>侧需有一挂钩设计，</w:t>
                  </w:r>
                  <w:r>
                    <w:rPr>
                      <w:rFonts w:ascii="仿宋_GB2312" w:hAnsi="仿宋_GB2312" w:cs="仿宋_GB2312" w:eastAsia="仿宋_GB2312"/>
                      <w:sz w:val="18"/>
                    </w:rPr>
                    <w:t>采用PP加耐磨纤维塑料一体射出而成</w:t>
                  </w:r>
                  <w:r>
                    <w:rPr>
                      <w:rFonts w:ascii="仿宋_GB2312" w:hAnsi="仿宋_GB2312" w:cs="仿宋_GB2312" w:eastAsia="仿宋_GB2312"/>
                      <w:sz w:val="18"/>
                    </w:rPr>
                    <w:t>，</w:t>
                  </w:r>
                  <w:r>
                    <w:rPr>
                      <w:rFonts w:ascii="仿宋_GB2312" w:hAnsi="仿宋_GB2312" w:cs="仿宋_GB2312" w:eastAsia="仿宋_GB2312"/>
                      <w:sz w:val="18"/>
                    </w:rPr>
                    <w:t>能挂袜布、书包、背包、在静止状态下可以承载10KG的挂物承重</w:t>
                  </w:r>
                </w:p>
                <w:p>
                  <w:pPr>
                    <w:pStyle w:val="null3"/>
                    <w:jc w:val="left"/>
                  </w:pPr>
                  <w:r>
                    <w:rPr>
                      <w:rFonts w:ascii="仿宋_GB2312" w:hAnsi="仿宋_GB2312" w:cs="仿宋_GB2312" w:eastAsia="仿宋_GB2312"/>
                      <w:sz w:val="18"/>
                    </w:rPr>
                    <w:t>工艺要求</w:t>
                  </w:r>
                  <w:r>
                    <w:rPr>
                      <w:rFonts w:ascii="仿宋_GB2312" w:hAnsi="仿宋_GB2312" w:cs="仿宋_GB2312" w:eastAsia="仿宋_GB2312"/>
                      <w:sz w:val="18"/>
                    </w:rPr>
                    <w:t>：</w:t>
                  </w:r>
                </w:p>
                <w:p>
                  <w:pPr>
                    <w:pStyle w:val="null3"/>
                    <w:numPr>
                      <w:ilvl w:val="0"/>
                      <w:numId w:val="1"/>
                    </w:numPr>
                    <w:jc w:val="left"/>
                  </w:pPr>
                  <w:r>
                    <w:rPr>
                      <w:rFonts w:ascii="仿宋_GB2312" w:hAnsi="仿宋_GB2312" w:cs="仿宋_GB2312" w:eastAsia="仿宋_GB2312"/>
                      <w:sz w:val="18"/>
                    </w:rPr>
                    <w:t>外观：表面</w:t>
                  </w:r>
                  <w:r>
                    <w:rPr>
                      <w:rFonts w:ascii="仿宋_GB2312" w:hAnsi="仿宋_GB2312" w:cs="仿宋_GB2312" w:eastAsia="仿宋_GB2312"/>
                      <w:sz w:val="18"/>
                    </w:rPr>
                    <w:t>无</w:t>
                  </w:r>
                  <w:r>
                    <w:rPr>
                      <w:rFonts w:ascii="仿宋_GB2312" w:hAnsi="仿宋_GB2312" w:cs="仿宋_GB2312" w:eastAsia="仿宋_GB2312"/>
                      <w:sz w:val="18"/>
                    </w:rPr>
                    <w:t>裂纹、破损、明显修补痕迹，明显色差凳缺陷；边缘平整圆滑，无分层；外表和內表以及手指可触及的隐蔽处，</w:t>
                  </w:r>
                  <w:r>
                    <w:rPr>
                      <w:rFonts w:ascii="仿宋_GB2312" w:hAnsi="仿宋_GB2312" w:cs="仿宋_GB2312" w:eastAsia="仿宋_GB2312"/>
                      <w:sz w:val="18"/>
                    </w:rPr>
                    <w:t>无</w:t>
                  </w:r>
                  <w:r>
                    <w:rPr>
                      <w:rFonts w:ascii="仿宋_GB2312" w:hAnsi="仿宋_GB2312" w:cs="仿宋_GB2312" w:eastAsia="仿宋_GB2312"/>
                      <w:sz w:val="18"/>
                    </w:rPr>
                    <w:t>锐利的棱角、毛刺。</w:t>
                  </w:r>
                </w:p>
                <w:p>
                  <w:pPr>
                    <w:pStyle w:val="null3"/>
                    <w:numPr>
                      <w:ilvl w:val="0"/>
                      <w:numId w:val="1"/>
                    </w:numPr>
                    <w:jc w:val="left"/>
                  </w:pPr>
                  <w:r>
                    <w:rPr>
                      <w:rFonts w:ascii="仿宋_GB2312" w:hAnsi="仿宋_GB2312" w:cs="仿宋_GB2312" w:eastAsia="仿宋_GB2312"/>
                      <w:sz w:val="18"/>
                    </w:rPr>
                    <w:t>平整度：螺丝安装应紧固，桌椅着地应平稳不得有倾斜摇摆现象。</w:t>
                  </w:r>
                </w:p>
              </w:tc>
              <w:tc>
                <w:tcPr>
                  <w:tcW w:type="dxa" w:w="1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drawing>
                      <wp:inline distT="0" distR="0" distB="0" distL="0">
                        <wp:extent cx="742315" cy="773348"/>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7"/>
                                <a:stretch>
                                  <a:fillRect/>
                                </a:stretch>
                              </pic:blipFill>
                              <pic:spPr>
                                <a:xfrm>
                                  <a:off x="0" y="0"/>
                                  <a:ext cx="742315" cy="773348"/>
                                </a:xfrm>
                                <a:prstGeom prst="rect">
                                  <a:avLst/>
                                </a:prstGeom>
                              </pic:spPr>
                            </pic:pic>
                          </a:graphicData>
                        </a:graphic>
                      </wp:inline>
                    </w:drawing>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07"/>
              <w:gridCol w:w="1393"/>
              <w:gridCol w:w="1385"/>
            </w:tblGrid>
            <w:tr>
              <w:tc>
                <w:tcPr>
                  <w:tcW w:type="dxa" w:w="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b/>
                      <w:color w:val="000000"/>
                    </w:rPr>
                    <w:t>双柱凳</w:t>
                  </w:r>
                </w:p>
                <w:p>
                  <w:pPr>
                    <w:pStyle w:val="null3"/>
                    <w:jc w:val="left"/>
                  </w:pPr>
                  <w:r>
                    <w:rPr>
                      <w:rFonts w:ascii="仿宋_GB2312" w:hAnsi="仿宋_GB2312" w:cs="仿宋_GB2312" w:eastAsia="仿宋_GB2312"/>
                      <w:sz w:val="19"/>
                      <w:b/>
                    </w:rPr>
                    <w:t>（1700个）</w:t>
                  </w:r>
                </w:p>
              </w:tc>
              <w:tc>
                <w:tcPr>
                  <w:tcW w:type="dxa" w:w="13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1.坐板尺寸约：340mm*240mm*30mm；</w:t>
                  </w:r>
                </w:p>
                <w:p>
                  <w:pPr>
                    <w:pStyle w:val="null3"/>
                    <w:jc w:val="left"/>
                  </w:pPr>
                  <w:r>
                    <w:rPr>
                      <w:rFonts w:ascii="仿宋_GB2312" w:hAnsi="仿宋_GB2312" w:cs="仿宋_GB2312" w:eastAsia="仿宋_GB2312"/>
                      <w:sz w:val="18"/>
                    </w:rPr>
                    <w:t>材质：采</w:t>
                  </w:r>
                  <w:r>
                    <w:rPr>
                      <w:rFonts w:ascii="仿宋_GB2312" w:hAnsi="仿宋_GB2312" w:cs="仿宋_GB2312" w:eastAsia="仿宋_GB2312"/>
                      <w:sz w:val="18"/>
                    </w:rPr>
                    <w:t>用</w:t>
                  </w:r>
                  <w:r>
                    <w:rPr>
                      <w:rFonts w:ascii="仿宋_GB2312" w:hAnsi="仿宋_GB2312" w:cs="仿宋_GB2312" w:eastAsia="仿宋_GB2312"/>
                      <w:sz w:val="18"/>
                    </w:rPr>
                    <w:t>PP塑料一级新料一体射出成型。耐冲击强度：须能承受5磅榔头重力锤击不得破裂。不得采用回收料生产。</w:t>
                  </w:r>
                </w:p>
                <w:p>
                  <w:pPr>
                    <w:pStyle w:val="null3"/>
                    <w:numPr>
                      <w:ilvl w:val="0"/>
                      <w:numId w:val="1"/>
                    </w:numPr>
                    <w:jc w:val="left"/>
                  </w:pPr>
                  <w:r>
                    <w:rPr>
                      <w:rFonts w:ascii="仿宋_GB2312" w:hAnsi="仿宋_GB2312" w:cs="仿宋_GB2312" w:eastAsia="仿宋_GB2312"/>
                      <w:sz w:val="18"/>
                    </w:rPr>
                    <w:t>双柱凳</w:t>
                  </w:r>
                  <w:r>
                    <w:rPr>
                      <w:rFonts w:ascii="仿宋_GB2312" w:hAnsi="仿宋_GB2312" w:cs="仿宋_GB2312" w:eastAsia="仿宋_GB2312"/>
                      <w:sz w:val="18"/>
                    </w:rPr>
                    <w:t>腿：</w:t>
                  </w:r>
                  <w:r>
                    <w:rPr>
                      <w:rFonts w:ascii="仿宋_GB2312" w:hAnsi="仿宋_GB2312" w:cs="仿宋_GB2312" w:eastAsia="仿宋_GB2312"/>
                      <w:sz w:val="18"/>
                    </w:rPr>
                    <w:t>采用</w:t>
                  </w:r>
                  <w:r>
                    <w:rPr>
                      <w:rFonts w:ascii="仿宋_GB2312" w:hAnsi="仿宋_GB2312" w:cs="仿宋_GB2312" w:eastAsia="仿宋_GB2312"/>
                      <w:sz w:val="18"/>
                    </w:rPr>
                    <w:t>金</w:t>
                  </w:r>
                  <w:r>
                    <w:rPr>
                      <w:rFonts w:ascii="仿宋_GB2312" w:hAnsi="仿宋_GB2312" w:cs="仿宋_GB2312" w:eastAsia="仿宋_GB2312"/>
                      <w:sz w:val="18"/>
                    </w:rPr>
                    <w:t>属</w:t>
                  </w:r>
                  <w:r>
                    <w:rPr>
                      <w:rFonts w:ascii="仿宋_GB2312" w:hAnsi="仿宋_GB2312" w:cs="仿宋_GB2312" w:eastAsia="仿宋_GB2312"/>
                      <w:sz w:val="18"/>
                    </w:rPr>
                    <w:t>扁圆</w:t>
                  </w:r>
                  <w:r>
                    <w:rPr>
                      <w:rFonts w:ascii="仿宋_GB2312" w:hAnsi="仿宋_GB2312" w:cs="仿宋_GB2312" w:eastAsia="仿宋_GB2312"/>
                      <w:sz w:val="18"/>
                    </w:rPr>
                    <w:t>管</w:t>
                  </w:r>
                  <w:r>
                    <w:rPr>
                      <w:rFonts w:ascii="仿宋_GB2312" w:hAnsi="仿宋_GB2312" w:cs="仿宋_GB2312" w:eastAsia="仿宋_GB2312"/>
                      <w:sz w:val="18"/>
                    </w:rPr>
                    <w:t>，椅子立管20mm*50mm*壁厚</w:t>
                  </w:r>
                  <w:r>
                    <w:rPr>
                      <w:rFonts w:ascii="仿宋_GB2312" w:hAnsi="仿宋_GB2312" w:cs="仿宋_GB2312" w:eastAsia="仿宋_GB2312"/>
                      <w:sz w:val="18"/>
                    </w:rPr>
                    <w:t>≥</w:t>
                  </w:r>
                  <w:r>
                    <w:rPr>
                      <w:rFonts w:ascii="仿宋_GB2312" w:hAnsi="仿宋_GB2312" w:cs="仿宋_GB2312" w:eastAsia="仿宋_GB2312"/>
                      <w:sz w:val="18"/>
                    </w:rPr>
                    <w:t>1.2mm</w:t>
                  </w:r>
                  <w:r>
                    <w:rPr>
                      <w:rFonts w:ascii="仿宋_GB2312" w:hAnsi="仿宋_GB2312" w:cs="仿宋_GB2312" w:eastAsia="仿宋_GB2312"/>
                      <w:sz w:val="18"/>
                    </w:rPr>
                    <w:t>扁圆管制作，底管30mm*60mm*</w:t>
                  </w:r>
                  <w:r>
                    <w:rPr>
                      <w:rFonts w:ascii="仿宋_GB2312" w:hAnsi="仿宋_GB2312" w:cs="仿宋_GB2312" w:eastAsia="仿宋_GB2312"/>
                      <w:sz w:val="18"/>
                    </w:rPr>
                    <w:t>壁厚</w:t>
                  </w:r>
                  <w:r>
                    <w:rPr>
                      <w:rFonts w:ascii="仿宋_GB2312" w:hAnsi="仿宋_GB2312" w:cs="仿宋_GB2312" w:eastAsia="仿宋_GB2312"/>
                      <w:sz w:val="18"/>
                    </w:rPr>
                    <w:t>≥</w:t>
                  </w:r>
                  <w:r>
                    <w:rPr>
                      <w:rFonts w:ascii="仿宋_GB2312" w:hAnsi="仿宋_GB2312" w:cs="仿宋_GB2312" w:eastAsia="仿宋_GB2312"/>
                      <w:sz w:val="18"/>
                    </w:rPr>
                    <w:t>1.2mm</w:t>
                  </w:r>
                  <w:r>
                    <w:rPr>
                      <w:rFonts w:ascii="仿宋_GB2312" w:hAnsi="仿宋_GB2312" w:cs="仿宋_GB2312" w:eastAsia="仿宋_GB2312"/>
                      <w:sz w:val="18"/>
                    </w:rPr>
                    <w:t>扁圆管制作；</w:t>
                  </w:r>
                  <w:r>
                    <w:rPr>
                      <w:rFonts w:ascii="仿宋_GB2312" w:hAnsi="仿宋_GB2312" w:cs="仿宋_GB2312" w:eastAsia="仿宋_GB2312"/>
                      <w:sz w:val="18"/>
                    </w:rPr>
                    <w:t>课桌凳均为双立腿固定，课凳两根连档。课凳具有升降功能，每30mm一档升降，双柱凳</w:t>
                  </w:r>
                  <w:r>
                    <w:rPr>
                      <w:rFonts w:ascii="仿宋_GB2312" w:hAnsi="仿宋_GB2312" w:cs="仿宋_GB2312" w:eastAsia="仿宋_GB2312"/>
                      <w:sz w:val="18"/>
                      <w:color w:val="000000"/>
                    </w:rPr>
                    <w:t>的脚套采用优质聚乙稀材料，与管件固定采用自锁装置，确保耐磨，不易脱落。</w:t>
                  </w:r>
                </w:p>
                <w:p>
                  <w:pPr>
                    <w:pStyle w:val="null3"/>
                    <w:jc w:val="left"/>
                  </w:pPr>
                  <w:r>
                    <w:rPr>
                      <w:rFonts w:ascii="仿宋_GB2312" w:hAnsi="仿宋_GB2312" w:cs="仿宋_GB2312" w:eastAsia="仿宋_GB2312"/>
                      <w:sz w:val="18"/>
                    </w:rPr>
                    <w:t>工艺要求</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外观：表面</w:t>
                  </w:r>
                  <w:r>
                    <w:rPr>
                      <w:rFonts w:ascii="仿宋_GB2312" w:hAnsi="仿宋_GB2312" w:cs="仿宋_GB2312" w:eastAsia="仿宋_GB2312"/>
                      <w:sz w:val="18"/>
                    </w:rPr>
                    <w:t>无</w:t>
                  </w:r>
                  <w:r>
                    <w:rPr>
                      <w:rFonts w:ascii="仿宋_GB2312" w:hAnsi="仿宋_GB2312" w:cs="仿宋_GB2312" w:eastAsia="仿宋_GB2312"/>
                      <w:sz w:val="18"/>
                    </w:rPr>
                    <w:t>裂纹、破损、明显修补痕迹，明显色差凳缺陷；边缘平整圆滑，无分层；外表和內表以及手指可触及的隐蔽处，</w:t>
                  </w:r>
                  <w:r>
                    <w:rPr>
                      <w:rFonts w:ascii="仿宋_GB2312" w:hAnsi="仿宋_GB2312" w:cs="仿宋_GB2312" w:eastAsia="仿宋_GB2312"/>
                      <w:sz w:val="18"/>
                    </w:rPr>
                    <w:t>无</w:t>
                  </w:r>
                  <w:r>
                    <w:rPr>
                      <w:rFonts w:ascii="仿宋_GB2312" w:hAnsi="仿宋_GB2312" w:cs="仿宋_GB2312" w:eastAsia="仿宋_GB2312"/>
                      <w:sz w:val="18"/>
                    </w:rPr>
                    <w:t>锐利的棱角、毛刺。</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平整度：螺丝安装应紧固，桌椅着地应平稳不得有倾斜摇摆现象。</w:t>
                  </w:r>
                </w:p>
              </w:tc>
              <w:tc>
                <w:tcPr>
                  <w:tcW w:type="dxa" w:w="1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drawing>
                      <wp:inline distT="0" distR="0" distB="0" distL="0">
                        <wp:extent cx="742315" cy="489903"/>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8"/>
                                <a:stretch>
                                  <a:fillRect/>
                                </a:stretch>
                              </pic:blipFill>
                              <pic:spPr>
                                <a:xfrm>
                                  <a:off x="0" y="0"/>
                                  <a:ext cx="742315" cy="489903"/>
                                </a:xfrm>
                                <a:prstGeom prst="rect">
                                  <a:avLst/>
                                </a:prstGeom>
                              </pic:spPr>
                            </pic:pic>
                          </a:graphicData>
                        </a:graphic>
                      </wp:inline>
                    </w:drawing>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07"/>
              <w:gridCol w:w="1393"/>
              <w:gridCol w:w="1385"/>
            </w:tblGrid>
            <w:tr>
              <w:tc>
                <w:tcPr>
                  <w:tcW w:type="dxa" w:w="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b/>
                      <w:color w:val="000000"/>
                    </w:rPr>
                    <w:t>双柱靠背椅</w:t>
                  </w:r>
                </w:p>
                <w:p>
                  <w:pPr>
                    <w:pStyle w:val="null3"/>
                    <w:jc w:val="left"/>
                  </w:pPr>
                  <w:r>
                    <w:rPr>
                      <w:rFonts w:ascii="仿宋_GB2312" w:hAnsi="仿宋_GB2312" w:cs="仿宋_GB2312" w:eastAsia="仿宋_GB2312"/>
                      <w:sz w:val="19"/>
                      <w:b/>
                    </w:rPr>
                    <w:t>（300把）</w:t>
                  </w:r>
                </w:p>
              </w:tc>
              <w:tc>
                <w:tcPr>
                  <w:tcW w:type="dxa" w:w="13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6"/>
                    </w:rPr>
                    <w:t>靠</w:t>
                  </w:r>
                  <w:r>
                    <w:rPr>
                      <w:rFonts w:ascii="仿宋_GB2312" w:hAnsi="仿宋_GB2312" w:cs="仿宋_GB2312" w:eastAsia="仿宋_GB2312"/>
                      <w:sz w:val="18"/>
                    </w:rPr>
                    <w:t>背双凳坐板尺寸约：400mm*390mm*30mm；</w:t>
                  </w:r>
                </w:p>
                <w:p>
                  <w:pPr>
                    <w:pStyle w:val="null3"/>
                    <w:jc w:val="left"/>
                  </w:pPr>
                  <w:r>
                    <w:rPr>
                      <w:rFonts w:ascii="仿宋_GB2312" w:hAnsi="仿宋_GB2312" w:cs="仿宋_GB2312" w:eastAsia="仿宋_GB2312"/>
                      <w:sz w:val="18"/>
                    </w:rPr>
                    <w:t>靠背板尺寸约：380mm*260mm*30mm；</w:t>
                  </w:r>
                </w:p>
                <w:p>
                  <w:pPr>
                    <w:pStyle w:val="null3"/>
                    <w:jc w:val="left"/>
                  </w:pPr>
                  <w:r>
                    <w:rPr>
                      <w:rFonts w:ascii="仿宋_GB2312" w:hAnsi="仿宋_GB2312" w:cs="仿宋_GB2312" w:eastAsia="仿宋_GB2312"/>
                      <w:sz w:val="18"/>
                    </w:rPr>
                    <w:t>材质：</w:t>
                  </w:r>
                  <w:r>
                    <w:rPr>
                      <w:rFonts w:ascii="仿宋_GB2312" w:hAnsi="仿宋_GB2312" w:cs="仿宋_GB2312" w:eastAsia="仿宋_GB2312"/>
                      <w:sz w:val="18"/>
                    </w:rPr>
                    <w:t>采用</w:t>
                  </w:r>
                  <w:r>
                    <w:rPr>
                      <w:rFonts w:ascii="仿宋_GB2312" w:hAnsi="仿宋_GB2312" w:cs="仿宋_GB2312" w:eastAsia="仿宋_GB2312"/>
                      <w:sz w:val="18"/>
                    </w:rPr>
                    <w:t>PP塑料一级新料一体射出成型。耐冲击强度：须能承受5磅榔头重力锤击不得破裂。不得采用回收料生产。</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双柱凳</w:t>
                  </w:r>
                  <w:r>
                    <w:rPr>
                      <w:rFonts w:ascii="仿宋_GB2312" w:hAnsi="仿宋_GB2312" w:cs="仿宋_GB2312" w:eastAsia="仿宋_GB2312"/>
                      <w:sz w:val="18"/>
                    </w:rPr>
                    <w:t>腿：采用</w:t>
                  </w:r>
                  <w:r>
                    <w:rPr>
                      <w:rFonts w:ascii="仿宋_GB2312" w:hAnsi="仿宋_GB2312" w:cs="仿宋_GB2312" w:eastAsia="仿宋_GB2312"/>
                      <w:sz w:val="18"/>
                    </w:rPr>
                    <w:t>金</w:t>
                  </w:r>
                  <w:r>
                    <w:rPr>
                      <w:rFonts w:ascii="仿宋_GB2312" w:hAnsi="仿宋_GB2312" w:cs="仿宋_GB2312" w:eastAsia="仿宋_GB2312"/>
                      <w:sz w:val="18"/>
                    </w:rPr>
                    <w:t>属</w:t>
                  </w:r>
                  <w:r>
                    <w:rPr>
                      <w:rFonts w:ascii="仿宋_GB2312" w:hAnsi="仿宋_GB2312" w:cs="仿宋_GB2312" w:eastAsia="仿宋_GB2312"/>
                      <w:sz w:val="18"/>
                    </w:rPr>
                    <w:t>扁圆</w:t>
                  </w:r>
                  <w:r>
                    <w:rPr>
                      <w:rFonts w:ascii="仿宋_GB2312" w:hAnsi="仿宋_GB2312" w:cs="仿宋_GB2312" w:eastAsia="仿宋_GB2312"/>
                      <w:sz w:val="18"/>
                    </w:rPr>
                    <w:t>管</w:t>
                  </w:r>
                  <w:r>
                    <w:rPr>
                      <w:rFonts w:ascii="仿宋_GB2312" w:hAnsi="仿宋_GB2312" w:cs="仿宋_GB2312" w:eastAsia="仿宋_GB2312"/>
                      <w:sz w:val="18"/>
                    </w:rPr>
                    <w:t>，主立柱和接地横管30mm*60mm*</w:t>
                  </w:r>
                  <w:r>
                    <w:rPr>
                      <w:rFonts w:ascii="仿宋_GB2312" w:hAnsi="仿宋_GB2312" w:cs="仿宋_GB2312" w:eastAsia="仿宋_GB2312"/>
                      <w:sz w:val="18"/>
                    </w:rPr>
                    <w:t>壁厚</w:t>
                  </w:r>
                  <w:r>
                    <w:rPr>
                      <w:rFonts w:ascii="仿宋_GB2312" w:hAnsi="仿宋_GB2312" w:cs="仿宋_GB2312" w:eastAsia="仿宋_GB2312"/>
                      <w:sz w:val="18"/>
                    </w:rPr>
                    <w:t>≥</w:t>
                  </w:r>
                  <w:r>
                    <w:rPr>
                      <w:rFonts w:ascii="仿宋_GB2312" w:hAnsi="仿宋_GB2312" w:cs="仿宋_GB2312" w:eastAsia="仿宋_GB2312"/>
                      <w:sz w:val="18"/>
                    </w:rPr>
                    <w:t>1.2mm</w:t>
                  </w:r>
                  <w:r>
                    <w:rPr>
                      <w:rFonts w:ascii="仿宋_GB2312" w:hAnsi="仿宋_GB2312" w:cs="仿宋_GB2312" w:eastAsia="仿宋_GB2312"/>
                      <w:sz w:val="18"/>
                    </w:rPr>
                    <w:t>扁圆管制作；课桌凳均为双立腿固定。课凳固定片采用1.0mm</w:t>
                  </w:r>
                  <w:r>
                    <w:rPr>
                      <w:rFonts w:ascii="仿宋_GB2312" w:hAnsi="仿宋_GB2312" w:cs="仿宋_GB2312" w:eastAsia="仿宋_GB2312"/>
                      <w:sz w:val="18"/>
                    </w:rPr>
                    <w:t>冷轧板成型而成。课</w:t>
                  </w:r>
                  <w:r>
                    <w:rPr>
                      <w:rFonts w:ascii="仿宋_GB2312" w:hAnsi="仿宋_GB2312" w:cs="仿宋_GB2312" w:eastAsia="仿宋_GB2312"/>
                      <w:sz w:val="18"/>
                    </w:rPr>
                    <w:t>桌凳具有升降功能，每30mm一档升降。双柱凳</w:t>
                  </w:r>
                  <w:r>
                    <w:rPr>
                      <w:rFonts w:ascii="仿宋_GB2312" w:hAnsi="仿宋_GB2312" w:cs="仿宋_GB2312" w:eastAsia="仿宋_GB2312"/>
                      <w:sz w:val="18"/>
                      <w:color w:val="000000"/>
                    </w:rPr>
                    <w:t>的脚套采用优质聚乙稀材料，与管件固定采用自锁装置，确保耐磨，不易脱落。</w:t>
                  </w:r>
                </w:p>
                <w:p>
                  <w:pPr>
                    <w:pStyle w:val="null3"/>
                    <w:jc w:val="left"/>
                  </w:pPr>
                  <w:r>
                    <w:rPr>
                      <w:rFonts w:ascii="仿宋_GB2312" w:hAnsi="仿宋_GB2312" w:cs="仿宋_GB2312" w:eastAsia="仿宋_GB2312"/>
                      <w:sz w:val="18"/>
                    </w:rPr>
                    <w:t>工艺要求</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外观：表面</w:t>
                  </w:r>
                  <w:r>
                    <w:rPr>
                      <w:rFonts w:ascii="仿宋_GB2312" w:hAnsi="仿宋_GB2312" w:cs="仿宋_GB2312" w:eastAsia="仿宋_GB2312"/>
                      <w:sz w:val="18"/>
                    </w:rPr>
                    <w:t>无</w:t>
                  </w:r>
                  <w:r>
                    <w:rPr>
                      <w:rFonts w:ascii="仿宋_GB2312" w:hAnsi="仿宋_GB2312" w:cs="仿宋_GB2312" w:eastAsia="仿宋_GB2312"/>
                      <w:sz w:val="18"/>
                    </w:rPr>
                    <w:t>裂纹、破损、明显修补痕迹，明显色差凳缺陷；边缘平整圆滑，无分层；外表和內表以及手指可触及的隐蔽处，</w:t>
                  </w:r>
                  <w:r>
                    <w:rPr>
                      <w:rFonts w:ascii="仿宋_GB2312" w:hAnsi="仿宋_GB2312" w:cs="仿宋_GB2312" w:eastAsia="仿宋_GB2312"/>
                      <w:sz w:val="18"/>
                    </w:rPr>
                    <w:t>无</w:t>
                  </w:r>
                  <w:r>
                    <w:rPr>
                      <w:rFonts w:ascii="仿宋_GB2312" w:hAnsi="仿宋_GB2312" w:cs="仿宋_GB2312" w:eastAsia="仿宋_GB2312"/>
                      <w:sz w:val="18"/>
                    </w:rPr>
                    <w:t>锐利的棱角、毛刺。</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平整度：螺丝安装应紧固，桌椅着地应平稳不得有倾斜摇摆现象。</w:t>
                  </w:r>
                </w:p>
              </w:tc>
              <w:tc>
                <w:tcPr>
                  <w:tcW w:type="dxa" w:w="1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drawing>
                      <wp:inline distT="0" distR="0" distB="0" distL="0">
                        <wp:extent cx="742315" cy="582183"/>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9"/>
                                <a:stretch>
                                  <a:fillRect/>
                                </a:stretch>
                              </pic:blipFill>
                              <pic:spPr>
                                <a:xfrm>
                                  <a:off x="0" y="0"/>
                                  <a:ext cx="742315" cy="582183"/>
                                </a:xfrm>
                                <a:prstGeom prst="rect">
                                  <a:avLst/>
                                </a:prstGeom>
                              </pic:spPr>
                            </pic:pic>
                          </a:graphicData>
                        </a:graphic>
                      </wp:inline>
                    </w:drawing>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合同签订次日起20日内交付使用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按照竞争性磋商文件、供应商响应文件及合同有关约定验收。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（1）本合同下提供的货物应符合合同约定的品牌、规格型号、技术性能、配置、质量、数量等要求。 质量要求不明确的，按照强制性国家标准履行；没有强制性国家标准的，按照推荐性国家标准履行；没有 推荐性国家标准的，按照行业标准履行；没有国家标准、行业标准的，按照通常标准或者符合合同目的的 特定标准履行。 （2）采用中华人民共和国法定计量单位。 （3）乙方所提供的货物应符合国家有关安全、环保、卫生的规定。 （4）乙方应向甲方提交所提供货物的技术文件，包括相应的中文技术文件，如：产品目录、图纸、操 作手册、使用说明、维护手册或服务指南等。上述文件应包装好随货物一同发运。</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.质量瑕疵的违约责任: 乙方提供的产品不符合合同约定的质量标准或存在产品质量缺陷， 甲方有权要求乙方根据【政府采购 合同专用条款】要求及时修理、重作、更换，并承担由此给甲方造成的损失。 2. 迟延交货的违约责任: （1）乙方应按照本合同规定的时间、地点交货和提供相关服务。在履行合同过程中，如果乙方遇到可能影响按时交货和提供服务的情形时，应及时以书面形式将迟延的事实、可能迟延的期限和理由通知甲方。 甲方在收到乙方通知后，应尽快对情况进行评价，并确定是否同意延长交货时间或延期提供服务。 （2）如果乙方没有按照合同规定的时间交货和提供相关服务，甲方有权从货款中扣除误期赔偿费而不 影响合同项下的其他补救方法，赔偿费按【政府采购合同专用条款】规定执行。如果涉及公共利益，且赔 偿金额无法弥补公共利益损失， 甲方可要求继续履行或者采取其他补救措施。 3 .迟延支付的违约责任 甲方存在迟延支付乙方合同款项的，应当承担【政府采购合同专用条款】规定的逾期付款利息。 4 其他违约责任根据项目实际需要按【政府采购合同专用条款】规定执行。5. 因本合同及合同有关事项发生的争议，由甲乙双方友好协商解决。协商不成时，可以向有关组织 申请调解。合同一方或双方不愿调解或调解不成的，可以通过仲裁或诉讼的方式解决争议。 6 .选择仲裁的，应在【政府采购合同专用条款】 中明确仲裁机构及仲裁地；通过诉讼方式解决的， 可以在【政府采购合同专用条款】 中进一步约定选择与争议有实际联系的地点的人民法院管辖，但管辖法 院的约定不得违反级别管辖和专属管辖的规定。 7.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1、所供产品应是国产优质产品，全新现货，符合国家质量标准，并提供质量检测报告。 2、货物安装必须符合规范，保证质量。安装过程做到规范、文明、安全等，不得对学校教学秩序造成影响。 3、中标（成交）结果发布后，中标（成交）供应商在2个工作日内向采购单位提供纸质磋商（响应）文件一份，用于备案。提供的纸质磋商（响应）文件应与系统上传文件保持一致。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营业执照合法有效</w:t>
            </w:r>
          </w:p>
        </w:tc>
        <w:tc>
          <w:tcPr>
            <w:tcW w:type="dxa" w:w="3322"/>
          </w:tcPr>
          <w:p>
            <w:pPr>
              <w:pStyle w:val="null3"/>
            </w:pPr>
            <w:r>
              <w:rPr>
                <w:rFonts w:ascii="仿宋_GB2312" w:hAnsi="仿宋_GB2312" w:cs="仿宋_GB2312" w:eastAsia="仿宋_GB2312"/>
              </w:rPr>
              <w:t>具有独立承担民事责任能力的法人或非法人组织或自然人，提供合法有效的统一社会信用代码的营业执照。</w:t>
            </w:r>
          </w:p>
        </w:tc>
        <w:tc>
          <w:tcPr>
            <w:tcW w:type="dxa" w:w="1661"/>
          </w:tcPr>
          <w:p>
            <w:pPr>
              <w:pStyle w:val="null3"/>
            </w:pPr>
            <w:r>
              <w:rPr>
                <w:rFonts w:ascii="仿宋_GB2312" w:hAnsi="仿宋_GB2312" w:cs="仿宋_GB2312" w:eastAsia="仿宋_GB2312"/>
              </w:rPr>
              <w:t>营业执照合法有效.docx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供应商应授权合法的人员参加投标全过程，其中法定代表人直接参加投标的，须提供法定代表人身份证，并与营业执照上信息一致。法定代表人授权代表参加投标的，须提供法定代表人授权书及授权代表身份证。</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良好的财务状况</w:t>
            </w:r>
          </w:p>
        </w:tc>
        <w:tc>
          <w:tcPr>
            <w:tcW w:type="dxa" w:w="3322"/>
          </w:tcPr>
          <w:p>
            <w:pPr>
              <w:pStyle w:val="null3"/>
            </w:pPr>
            <w:r>
              <w:rPr>
                <w:rFonts w:ascii="仿宋_GB2312" w:hAnsi="仿宋_GB2312" w:cs="仿宋_GB2312" w:eastAsia="仿宋_GB2312"/>
              </w:rPr>
              <w:t>提供2025年度经审计的财务报告（包含审计报告、资产负债表、利润表、现金流量表、所有者权益变动表及附注，成立时间至提交响应截止时间不足一年的提供成立后任意时段的资产负债表），或提供基本存款账户开户银行出具的近6个月内的资信证明（以上资料提供任意一种即可）。审计报告须具有注册会计师行业统一监管平台赋予的验证码。</w:t>
            </w:r>
          </w:p>
        </w:tc>
        <w:tc>
          <w:tcPr>
            <w:tcW w:type="dxa" w:w="1661"/>
          </w:tcPr>
          <w:p>
            <w:pPr>
              <w:pStyle w:val="null3"/>
            </w:pPr>
            <w:r>
              <w:rPr>
                <w:rFonts w:ascii="仿宋_GB2312" w:hAnsi="仿宋_GB2312" w:cs="仿宋_GB2312" w:eastAsia="仿宋_GB2312"/>
              </w:rPr>
              <w:t>良好财务状况承诺函.docx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良好的纳税记录</w:t>
            </w:r>
          </w:p>
        </w:tc>
        <w:tc>
          <w:tcPr>
            <w:tcW w:type="dxa" w:w="3322"/>
          </w:tcPr>
          <w:p>
            <w:pPr>
              <w:pStyle w:val="null3"/>
            </w:pPr>
            <w:r>
              <w:rPr>
                <w:rFonts w:ascii="仿宋_GB2312" w:hAnsi="仿宋_GB2312" w:cs="仿宋_GB2312" w:eastAsia="仿宋_GB2312"/>
              </w:rPr>
              <w:t>提供开标截止时间前12个月内任意一个月的依法缴纳税收的相关凭据（时间以税款所属时期为准），凭据应有税务机关或代收机关的公章或业务专用章。依法免税或无须缴纳税收的供应商应提供相应证明文件。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良好的纳税记录.docx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提供开标截止时间前12个月内任意一个月的社会保障资金缴存单据或社保机构开具的社会保险参保缴费情况证明。依法不需要缴纳社会保障资金的供应商应提供相关文件证明。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良好的社会保障资金缴纳记录.docx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信用记录声明合法有效</w:t>
            </w:r>
          </w:p>
        </w:tc>
        <w:tc>
          <w:tcPr>
            <w:tcW w:type="dxa" w:w="3322"/>
          </w:tcPr>
          <w:p>
            <w:pPr>
              <w:pStyle w:val="null3"/>
            </w:pPr>
            <w:r>
              <w:rPr>
                <w:rFonts w:ascii="仿宋_GB2312" w:hAnsi="仿宋_GB2312" w:cs="仿宋_GB2312" w:eastAsia="仿宋_GB2312"/>
              </w:rPr>
              <w:t>未被信用中国网站(www.creditchina.gov.cn)列入信用记录失信被执行人、重大税收违法案件当事人名单，未被中国政府采购网(www.ccgp.gov.cn)列为政府采购严重违法失信行为记录名单、未被禁止参加政府采购活动，按要求上传信用记录声明函。开标后，采购人/采购代理机构将进行供应商信用记录查询并下载查询报告截图保存，存在不良信用记录，其响应资格无效。</w:t>
            </w:r>
          </w:p>
        </w:tc>
        <w:tc>
          <w:tcPr>
            <w:tcW w:type="dxa" w:w="1661"/>
          </w:tcPr>
          <w:p>
            <w:pPr>
              <w:pStyle w:val="null3"/>
            </w:pPr>
            <w:r>
              <w:rPr>
                <w:rFonts w:ascii="仿宋_GB2312" w:hAnsi="仿宋_GB2312" w:cs="仿宋_GB2312" w:eastAsia="仿宋_GB2312"/>
              </w:rPr>
              <w:t>投标人信用记录书面声明函.docx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根据《政府采购促进中小企业发展管理办法》财库【2020】46号的规定提供中小企业声明函。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非联合体不分包投标声明.docx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响应报价未超过采购预算或者最高限价（合格），响应报价超过采购预算或者最高限价（不合格）。</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满足磋商文件关于商务要求所有条款，无重大缺漏。</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满足磋商文件中关于技术要求的所有条款，无重大偏离。</w:t>
            </w:r>
          </w:p>
        </w:tc>
        <w:tc>
          <w:tcPr>
            <w:tcW w:type="dxa" w:w="1661"/>
          </w:tcPr>
          <w:p>
            <w:pPr>
              <w:pStyle w:val="null3"/>
            </w:pPr>
            <w:r>
              <w:rPr>
                <w:rFonts w:ascii="仿宋_GB2312" w:hAnsi="仿宋_GB2312" w:cs="仿宋_GB2312" w:eastAsia="仿宋_GB2312"/>
              </w:rPr>
              <w:t>产品技术参数表 技术服务偏差表.docx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响应文件签署、盖章均按照磋商文件要求签字盖章。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所投产技术参数、材质规格、壁厚尺寸等清晰明确，符合采购要求，完全响应磋商文件要求且佐证资料齐全的，得25分。提供主要材料佐证资料缺一项的，扣1分，扣完为止。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技术服务偏差表.docx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供应商需针对本项目提供完整的项目实施方案。内容包含：①供货组织及进度安排②对接及运输方案③安装调试方案④人员、物力调配安排。 二、评审标准 1、完整性：方案必须全面，对评审内容中的各项要求有详细描述； 2、可实施性：切合本项目实际情况，提出步骤清晰、合理的方案； 3、针对性：方案能够紧扣项目实际情况， 内容科学合理。 三、赋分依据（满分 12 分） ①供货组织及进度安排：每完全满足一个评审标准得 1 分，满分 3 分； ②对接及运输方案:每完全满足一个评审标准得 1 分，满分 3 分； ③安装调试方案:每完全满足一个评审标准得 2分，满分 5 分； ④人员、物力调配安排：每完全满足一个评审标准得 1 分，满分 3 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供应商所投本项目产品为“环境标志产品政府采购品目清单 ”内的，应提供该产品由国家确定的认证机构出具的中国环境标志产品认证证书且处于有效 期内的，得 2分， 以加盖供应商公章的证明材料为计分依据。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环境产品标志认证.docx</w:t>
            </w:r>
          </w:p>
        </w:tc>
      </w:tr>
      <w:tr>
        <w:tc>
          <w:tcPr>
            <w:tcW w:type="dxa" w:w="831"/>
            <w:vMerge/>
          </w:tcPr>
          <w:p/>
        </w:tc>
        <w:tc>
          <w:tcPr>
            <w:tcW w:type="dxa" w:w="1661"/>
          </w:tcPr>
          <w:p>
            <w:pPr>
              <w:pStyle w:val="null3"/>
            </w:pPr>
            <w:r>
              <w:rPr>
                <w:rFonts w:ascii="仿宋_GB2312" w:hAnsi="仿宋_GB2312" w:cs="仿宋_GB2312" w:eastAsia="仿宋_GB2312"/>
              </w:rPr>
              <w:t>产品彩页评审</w:t>
            </w:r>
          </w:p>
        </w:tc>
        <w:tc>
          <w:tcPr>
            <w:tcW w:type="dxa" w:w="2492"/>
          </w:tcPr>
          <w:p>
            <w:pPr>
              <w:pStyle w:val="null3"/>
            </w:pPr>
            <w:r>
              <w:rPr>
                <w:rFonts w:ascii="仿宋_GB2312" w:hAnsi="仿宋_GB2312" w:cs="仿宋_GB2312" w:eastAsia="仿宋_GB2312"/>
              </w:rPr>
              <w:t>①供应商须提供所投产品彩页（三种），彩页清晰完整体现课桌凳整体外观、结构尺寸、主材材质等符合磋商文件要求，得3分。 ②供应商须提供所投产品彩页（三种），所提供产品彩页，能体现所投产品样式，材质、结构，但缺少关键部件尺寸信息等得2分。 ③供应商未提供提供所投产品彩页或提供彩页数量不全，不符合采购文件要求的，得0分。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产品彩页.docx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根据本项目实际需求，提供质量保证方案。 内容包含：①产品性能、使用寿命及效果②质量管理体系及保证措施。 二、评审标准 1、完整性：方案须全面，对评审内容中的各项要求有详细描述； 2、可实施性：切合本项目实际情况，实施步骤清晰、合理； 3、针对性：方案能够紧扣项目实际情况， 内容科学合理。 三、赋分依据（满分 6 分） ①产品性能、使用寿命及效果：每完全满足一个评审标准得 1 分，满 3 分； ②质量管理体系及保证措施:每完全满足一个评审标准得 1 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供应商提供近三年类似项目业绩（以签订合同时间为准） ，每提供一份合格业绩证明得 2 分，满分 6分。 备注：须提供完整业绩合同及验收报告，以上两种证明材料同时提供方可得分，否则不得分。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根据本项目实际需求提供售后服务方案。内容包含：①售后服务范围②响应时间③故障处理及补救措施④定期回访及维护。 二、评审标准 1.完整性：方案必须全面，对评审内容中的各项要求有详细描述； 2.可实施性：切合本项目实际情况，提出步骤清晰、合理的方案； 三、赋分依据（满分4 分） ①售后服务范围：每完全满足一个评审标准得 0.5 分，满分 1分； ②响应时间:每完全满足一个评审标准得 0.5 分，满分 1分； ③故障处理及补救措施:每完全满足一个评审标准得 0.5 分，满分 1分； ④定期回访及维护:每完全满足一个评审标准得 0.5 分，满分 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价格得分以满足磋商文件要求且报价最低的投标报价为基准，其价格分为满分。其他供应商的报价得分统一按照下列公式计算：报价得分=（投标基准价/各供应商报价）×40。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详见附件：营业执照合法有效.docx</w:t>
      </w:r>
    </w:p>
    <w:p>
      <w:pPr>
        <w:pStyle w:val="null3"/>
        <w:ind w:firstLine="960"/>
      </w:pPr>
      <w:r>
        <w:rPr>
          <w:rFonts w:ascii="仿宋_GB2312" w:hAnsi="仿宋_GB2312" w:cs="仿宋_GB2312" w:eastAsia="仿宋_GB2312"/>
        </w:rPr>
        <w:t>详见附件：良好财务状况承诺函.docx</w:t>
      </w:r>
    </w:p>
    <w:p>
      <w:pPr>
        <w:pStyle w:val="null3"/>
        <w:ind w:firstLine="960"/>
      </w:pPr>
      <w:r>
        <w:rPr>
          <w:rFonts w:ascii="仿宋_GB2312" w:hAnsi="仿宋_GB2312" w:cs="仿宋_GB2312" w:eastAsia="仿宋_GB2312"/>
        </w:rPr>
        <w:t>详见附件：良好的纳税记录.docx</w:t>
      </w:r>
    </w:p>
    <w:p>
      <w:pPr>
        <w:pStyle w:val="null3"/>
        <w:ind w:firstLine="960"/>
      </w:pPr>
      <w:r>
        <w:rPr>
          <w:rFonts w:ascii="仿宋_GB2312" w:hAnsi="仿宋_GB2312" w:cs="仿宋_GB2312" w:eastAsia="仿宋_GB2312"/>
        </w:rPr>
        <w:t>详见附件：良好的社会保障资金缴纳记录.docx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详见附件：投标人信用记录书面声明函.docx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详见附件：技术服务偏差表.docx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详见附件：环境产品标志认证.docx</w:t>
      </w:r>
    </w:p>
    <w:p>
      <w:pPr>
        <w:pStyle w:val="null3"/>
        <w:ind w:firstLine="960"/>
      </w:pPr>
      <w:r>
        <w:rPr>
          <w:rFonts w:ascii="仿宋_GB2312" w:hAnsi="仿宋_GB2312" w:cs="仿宋_GB2312" w:eastAsia="仿宋_GB2312"/>
        </w:rPr>
        <w:t>详见附件：产品彩页.docx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详见附件：售后服务方案.docx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 Id="rId7" Target="media/image1.png" Type="http://schemas.openxmlformats.org/officeDocument/2006/relationships/image"/><Relationship Id="rId8" Target="media/image2.png" Type="http://schemas.openxmlformats.org/officeDocument/2006/relationships/image"/><Relationship Id="rId9" Target="media/image3.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