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版本号：HXGJXM2026-ZC-CS100920260624001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西安市10公里路跑系列赛（2站）</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HXGJXM2026-ZC-CS1009</w:t>
      </w:r>
      <w:r>
        <w:br/>
      </w:r>
      <w:r>
        <w:br/>
      </w:r>
      <w:r>
        <w:br/>
      </w:r>
    </w:p>
    <w:p>
      <w:pPr>
        <w:pStyle w:val="null3"/>
        <w:jc w:val="center"/>
        <w:outlineLvl w:val="2"/>
      </w:pPr>
      <w:r>
        <w:rPr>
          <w:rFonts w:ascii="仿宋_GB2312" w:hAnsi="仿宋_GB2312" w:cs="仿宋_GB2312" w:eastAsia="仿宋_GB2312"/>
          <w:sz w:val="28"/>
          <w:b/>
        </w:rPr>
        <w:t>西安市体育局（本级）</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西安市体育局（本级）</w:t>
      </w:r>
      <w:r>
        <w:rPr>
          <w:rFonts w:ascii="仿宋_GB2312" w:hAnsi="仿宋_GB2312" w:cs="仿宋_GB2312" w:eastAsia="仿宋_GB2312"/>
        </w:rPr>
        <w:t>委托，拟对</w:t>
      </w:r>
      <w:r>
        <w:rPr>
          <w:rFonts w:ascii="仿宋_GB2312" w:hAnsi="仿宋_GB2312" w:cs="仿宋_GB2312" w:eastAsia="仿宋_GB2312"/>
        </w:rPr>
        <w:t>西安市10公里路跑系列赛（2站）</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西安市10公里路跑系列赛（2站）</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10公里路跑系列赛（2站），供应商负责承担本次比赛的比赛场地、竞赛保障、赛事策划、商务开发、竞赛组织和器材保障、启动仪式、物资领取（参赛服、号码簿等）、完赛包发放（奖牌、纪念物资等）、媒体宣传推广、场地搭建（含灯光音响）、氛围布置营造、志愿者招募管理、后勤接待保障、各类资料印制、赛事保险、医疗保障、安全保卫、电力、通信保障、奖励奖牌采购等。并向使用部门提交赛事总结等与赛事服务运营有关一切事务，方案策划及运营服务需符合体育赛事相应规范要求。具体要求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采购包1（西安市10公里路跑系列赛（2站））：属于专门面向中小企业采购。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法定代表人授权书：法定代表人授权书（附法定代表人、被授权人身份证复印件及被授权人在磋商截止日前一年内在本单位已缴存的至少一个月的社会保险参保缴费证明）；法定代表人直接参加磋商，须提供法定代表人身份证明及身份证复印件。</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p>
      <w:pPr>
        <w:pStyle w:val="null3"/>
      </w:pPr>
      <w:r>
        <w:rPr>
          <w:rFonts w:ascii="仿宋_GB2312" w:hAnsi="仿宋_GB2312" w:cs="仿宋_GB2312" w:eastAsia="仿宋_GB2312"/>
        </w:rPr>
        <w:t>3、非联合体：本项目不接受联合体磋商。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西安市未央区凤城八路109号市政府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李安琪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029-86787989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陕西省西安市莲湖区二环南路西段202号1幢1单元1605室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柴彩珍、张宝育、康敏茹、张艳萍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向采购代理机构支付招标代理服务费。招标代理服务费参照国家计委关于印发《招标代理服务收费管理暂行办法》（计价格[2002]1980号）的通知和国家发展和改革委员会办公厅颁发的《关于招标代理服务收费有关问题的通知》（发改办价格[2003]857号）的有关规定执行。 2、成交单位在领取成交通知书前，须向采购代理机构一次性支付招标代理服务费。 3、招标代理服务费缴存账户： 户名：华夏国际项目管理（西安）有限公司第一分公司 开户行:中国光大银行股份有限公司西安科技六路支行 账号:78620188000199459 请成交人按照要求服务费汇入以上指定账户，如因自身原因发生错误，产生的不利后果由成交人自行承担。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西安市体育局（本级）</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西安市体育局（本级）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西安市体育局（本级）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满足采购需求和采购人要求。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联系人：柴彩珍、张宝育、康敏茹、张艳萍</w:t>
      </w:r>
    </w:p>
    <w:p>
      <w:pPr>
        <w:pStyle w:val="null3"/>
      </w:pPr>
      <w:r>
        <w:rPr>
          <w:rFonts w:ascii="仿宋_GB2312" w:hAnsi="仿宋_GB2312" w:cs="仿宋_GB2312" w:eastAsia="仿宋_GB2312"/>
        </w:rPr>
        <w:t>联系电话：029-88899970-808</w:t>
      </w:r>
    </w:p>
    <w:p>
      <w:pPr>
        <w:pStyle w:val="null3"/>
      </w:pPr>
      <w:r>
        <w:rPr>
          <w:rFonts w:ascii="仿宋_GB2312" w:hAnsi="仿宋_GB2312" w:cs="仿宋_GB2312" w:eastAsia="仿宋_GB2312"/>
        </w:rPr>
        <w:t>地址：西安市莲湖区二环南路西段202号九座花园16楼1605</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10公里路跑系列赛（2站），供应商负责承担本次比赛的比赛场地、竞赛保障、赛事策划、商务开发、竞赛组织和器材保障、启动仪式、物资领取（参赛服、号码簿等）、完赛包发放（奖牌、纪念物资等）、媒体宣传推广、场地搭建（含灯光音响）、氛围布置营造、志愿者招募管理、后勤接待保障、各类资料印制、赛事保险、医疗保障、安全保卫、电力、通信保障、奖励奖牌采购等。并向使用部门提交赛事总结等与赛事服务运营有关一切事务，方案策划及运营服务需符合体育赛事相应规范要求。具体要求详见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赛事服务</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站</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标的名称：赛事服务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一、服务内容</w:t>
            </w:r>
          </w:p>
          <w:p>
            <w:pPr>
              <w:pStyle w:val="null3"/>
              <w:ind w:firstLine="422"/>
              <w:jc w:val="both"/>
            </w:pPr>
            <w:r>
              <w:rPr>
                <w:rFonts w:ascii="仿宋_GB2312" w:hAnsi="仿宋_GB2312" w:cs="仿宋_GB2312" w:eastAsia="仿宋_GB2312"/>
                <w:sz w:val="18"/>
              </w:rPr>
              <w:t>1.供应商负责承担本次比赛的比赛场地、竞赛保障、赛事策划、商务开发、竞赛组织和器材保障、启动仪式、物资领取（参赛服、号码簿等）、完赛包发放（奖牌、纪念物资等）、媒体宣传推广、场地搭建（含灯光音响）、氛围布置营造、志愿者招募管理、后勤接待保障、各类资料印制、赛事保险、医疗保障、安全保卫、电力、通信保障、奖励奖牌采购等。并向使用部门提交赛事总结等与赛事服务运营有关一切事务，方案策划及运营服务需符合体育赛事相应规范要求。</w:t>
            </w:r>
          </w:p>
          <w:p>
            <w:pPr>
              <w:pStyle w:val="null3"/>
              <w:ind w:firstLine="422"/>
              <w:jc w:val="both"/>
            </w:pPr>
            <w:r>
              <w:rPr>
                <w:rFonts w:ascii="仿宋_GB2312" w:hAnsi="仿宋_GB2312" w:cs="仿宋_GB2312" w:eastAsia="仿宋_GB2312"/>
                <w:sz w:val="18"/>
              </w:rPr>
              <w:t>2.比赛总结：高质量、高水平、高效率的协助完成委托的其他工作事项，确保各项工作顺利推进，协助采购人完成赛事相关资料汇总，提交赛事总结报告，并及时提交比赛总结报告及相关档案资料，内容齐全。</w:t>
            </w:r>
          </w:p>
          <w:p>
            <w:pPr>
              <w:pStyle w:val="null3"/>
            </w:pPr>
            <w:r>
              <w:rPr>
                <w:rFonts w:ascii="仿宋_GB2312" w:hAnsi="仿宋_GB2312" w:cs="仿宋_GB2312" w:eastAsia="仿宋_GB2312"/>
                <w:sz w:val="18"/>
              </w:rPr>
              <w:t xml:space="preserve">          3.在活动的执行过程中，合作双方应遵循采购人确认原则，即所有的设计策划方案、详细报价的预算及结算等，均由供应商提出建议和说明，但最终以双方确认的内容或方式执行。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b/>
              </w:rPr>
              <w:t>二、比赛时间、地点</w:t>
            </w:r>
          </w:p>
          <w:p>
            <w:pPr>
              <w:pStyle w:val="null3"/>
              <w:jc w:val="both"/>
            </w:pPr>
            <w:r>
              <w:rPr>
                <w:rFonts w:ascii="仿宋_GB2312" w:hAnsi="仿宋_GB2312" w:cs="仿宋_GB2312" w:eastAsia="仿宋_GB2312"/>
                <w:sz w:val="18"/>
              </w:rPr>
              <w:t>时间：</w:t>
            </w:r>
            <w:r>
              <w:rPr>
                <w:rFonts w:ascii="仿宋_GB2312" w:hAnsi="仿宋_GB2312" w:cs="仿宋_GB2312" w:eastAsia="仿宋_GB2312"/>
                <w:sz w:val="18"/>
              </w:rPr>
              <w:t>。</w:t>
            </w:r>
            <w:r>
              <w:rPr>
                <w:rFonts w:ascii="仿宋_GB2312" w:hAnsi="仿宋_GB2312" w:cs="仿宋_GB2312" w:eastAsia="仿宋_GB2312"/>
                <w:sz w:val="18"/>
              </w:rPr>
              <w:t>2026年9月、12月。（</w:t>
            </w:r>
            <w:r>
              <w:rPr>
                <w:rFonts w:ascii="仿宋_GB2312" w:hAnsi="仿宋_GB2312" w:cs="仿宋_GB2312" w:eastAsia="仿宋_GB2312"/>
                <w:sz w:val="18"/>
              </w:rPr>
              <w:t>具体以采购方通知时间为准）</w:t>
            </w:r>
          </w:p>
          <w:p>
            <w:pPr>
              <w:pStyle w:val="null3"/>
            </w:pPr>
            <w:r>
              <w:rPr>
                <w:rFonts w:ascii="仿宋_GB2312" w:hAnsi="仿宋_GB2312" w:cs="仿宋_GB2312" w:eastAsia="仿宋_GB2312"/>
                <w:sz w:val="18"/>
              </w:rPr>
              <w:t>地点：大明宫遗址公园、汉长安城未央宫遗址公园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18"/>
                <w:b/>
              </w:rPr>
              <w:t>三、参加人员</w:t>
            </w:r>
          </w:p>
          <w:p>
            <w:pPr>
              <w:pStyle w:val="null3"/>
            </w:pPr>
            <w:r>
              <w:rPr>
                <w:rFonts w:ascii="仿宋_GB2312" w:hAnsi="仿宋_GB2312" w:cs="仿宋_GB2312" w:eastAsia="仿宋_GB2312"/>
                <w:sz w:val="18"/>
              </w:rPr>
              <w:t>公开报名（每站1000人，报满为止）。</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18"/>
                <w:b/>
              </w:rPr>
              <w:t>四、竞赛项目</w:t>
            </w:r>
          </w:p>
          <w:p>
            <w:pPr>
              <w:pStyle w:val="null3"/>
            </w:pPr>
            <w:r>
              <w:rPr>
                <w:rFonts w:ascii="仿宋_GB2312" w:hAnsi="仿宋_GB2312" w:cs="仿宋_GB2312" w:eastAsia="仿宋_GB2312"/>
                <w:sz w:val="18"/>
              </w:rPr>
              <w:t>10公里路跑赛</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18"/>
                <w:b/>
              </w:rPr>
              <w:t>五、保险服务</w:t>
            </w:r>
          </w:p>
          <w:p>
            <w:pPr>
              <w:pStyle w:val="null3"/>
              <w:jc w:val="both"/>
            </w:pPr>
            <w:r>
              <w:rPr>
                <w:rFonts w:ascii="仿宋_GB2312" w:hAnsi="仿宋_GB2312" w:cs="仿宋_GB2312" w:eastAsia="仿宋_GB2312"/>
                <w:sz w:val="18"/>
              </w:rPr>
              <w:t>1.保险对象是指参与本赛事活动的所有人员。</w:t>
            </w:r>
          </w:p>
          <w:p>
            <w:pPr>
              <w:pStyle w:val="null3"/>
              <w:jc w:val="both"/>
            </w:pPr>
            <w:r>
              <w:rPr>
                <w:rFonts w:ascii="仿宋_GB2312" w:hAnsi="仿宋_GB2312" w:cs="仿宋_GB2312" w:eastAsia="仿宋_GB2312"/>
                <w:sz w:val="18"/>
              </w:rPr>
              <w:t>2.对举办比赛体育场地相关联的风险和责任进行投保，此类保险应向受伤人员或者受损物品和财产进行合适数量赔偿。</w:t>
            </w:r>
          </w:p>
          <w:p>
            <w:pPr>
              <w:pStyle w:val="null3"/>
              <w:jc w:val="both"/>
            </w:pPr>
            <w:r>
              <w:rPr>
                <w:rFonts w:ascii="仿宋_GB2312" w:hAnsi="仿宋_GB2312" w:cs="仿宋_GB2312" w:eastAsia="仿宋_GB2312"/>
                <w:sz w:val="18"/>
              </w:rPr>
              <w:t>3.为所有参赛人员购买覆盖赛事周期的人身意外伤害险和死亡险。</w:t>
            </w:r>
          </w:p>
          <w:p>
            <w:pPr>
              <w:pStyle w:val="null3"/>
              <w:jc w:val="both"/>
            </w:pPr>
            <w:r>
              <w:rPr>
                <w:rFonts w:ascii="仿宋_GB2312" w:hAnsi="仿宋_GB2312" w:cs="仿宋_GB2312" w:eastAsia="仿宋_GB2312"/>
                <w:sz w:val="18"/>
              </w:rPr>
              <w:t>4.每位被保险人限投一份，多投无效。</w:t>
            </w:r>
          </w:p>
          <w:p>
            <w:pPr>
              <w:pStyle w:val="null3"/>
            </w:pPr>
            <w:r>
              <w:rPr>
                <w:rFonts w:ascii="仿宋_GB2312" w:hAnsi="仿宋_GB2312" w:cs="仿宋_GB2312" w:eastAsia="仿宋_GB2312"/>
                <w:sz w:val="18"/>
              </w:rPr>
              <w:t>5.被保险人应采取合理的预防措施，尽力避免或减少责任事故的发生。</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18"/>
                <w:b/>
              </w:rPr>
              <w:t>六、医务</w:t>
            </w:r>
          </w:p>
          <w:p>
            <w:pPr>
              <w:pStyle w:val="null3"/>
              <w:jc w:val="both"/>
            </w:pPr>
            <w:r>
              <w:rPr>
                <w:rFonts w:ascii="仿宋_GB2312" w:hAnsi="仿宋_GB2312" w:cs="仿宋_GB2312" w:eastAsia="仿宋_GB2312"/>
                <w:sz w:val="18"/>
              </w:rPr>
              <w:t>1.比赛场地应提供医疗服务，并配备救护车和比赛常备药品。救护车应配AED及使用AED设备的专业医务人员，可供比赛及训练使用。比赛时，救护车应于赛前60分钟抵达赛场，至赛后30分钟离开。</w:t>
            </w:r>
          </w:p>
          <w:p>
            <w:pPr>
              <w:pStyle w:val="null3"/>
            </w:pPr>
            <w:r>
              <w:rPr>
                <w:rFonts w:ascii="仿宋_GB2312" w:hAnsi="仿宋_GB2312" w:cs="仿宋_GB2312" w:eastAsia="仿宋_GB2312"/>
                <w:sz w:val="18"/>
              </w:rPr>
              <w:t>2.应设指定医院，并开通就医相关绿色通道。</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18"/>
                <w:b/>
              </w:rPr>
              <w:t>七、</w:t>
            </w:r>
            <w:r>
              <w:rPr>
                <w:rFonts w:ascii="仿宋_GB2312" w:hAnsi="仿宋_GB2312" w:cs="仿宋_GB2312" w:eastAsia="仿宋_GB2312"/>
                <w:sz w:val="18"/>
              </w:rPr>
              <w:t>配套活动</w:t>
            </w:r>
          </w:p>
          <w:p>
            <w:pPr>
              <w:pStyle w:val="null3"/>
            </w:pPr>
            <w:r>
              <w:rPr>
                <w:rFonts w:ascii="仿宋_GB2312" w:hAnsi="仿宋_GB2312" w:cs="仿宋_GB2312" w:eastAsia="仿宋_GB2312"/>
                <w:sz w:val="18"/>
              </w:rPr>
              <w:t>1.体育嘉年华：在每站赛事起终点区域组织体育嘉年华活动，设置趣味互动体验区不少于10个项目、亲子活动体验区不少于10个项目、运动康复服务区不少于10个展位、体彩展示区不少于10个展位等，营造浓厚赛事氛围，丰富参赛选手和观赛群众的参与体验。</w:t>
            </w:r>
          </w:p>
          <w:p>
            <w:pPr>
              <w:pStyle w:val="null3"/>
            </w:pPr>
            <w:r>
              <w:rPr>
                <w:rFonts w:ascii="仿宋_GB2312" w:hAnsi="仿宋_GB2312" w:cs="仿宋_GB2312" w:eastAsia="仿宋_GB2312"/>
                <w:sz w:val="18"/>
              </w:rPr>
              <w:t>2.结合大明宫遗址公园、汉长安城未央宫遗址公园两个比赛场地的历史文化特色，推出“跟着赛事游西安”文旅推广活动，通过赛前预热宣传、现场展板介绍、完赛奖牌设计融入历史文化元素等多种方式，推动文体旅融合发展。</w:t>
            </w:r>
          </w:p>
          <w:p>
            <w:pPr>
              <w:pStyle w:val="null3"/>
            </w:pPr>
            <w:r>
              <w:rPr>
                <w:rFonts w:ascii="仿宋_GB2312" w:hAnsi="仿宋_GB2312" w:cs="仿宋_GB2312" w:eastAsia="仿宋_GB2312"/>
                <w:sz w:val="18"/>
              </w:rPr>
              <w:t>3.结合两站比赛时间（9月、12月）的西安秋季和冬季特色文旅资源，将文化遗产推介、特色美食体验等融入赛事服务体系，设置非遗文化展位不少于20个，特色美食体验不少于20个展位，延长跑者在当地的停留时间，推动文体旅融合发展。</w:t>
            </w:r>
          </w:p>
          <w:p>
            <w:pPr>
              <w:pStyle w:val="null3"/>
            </w:pP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18"/>
              </w:rPr>
              <w:t>八、</w:t>
            </w:r>
            <w:r>
              <w:rPr>
                <w:rFonts w:ascii="仿宋_GB2312" w:hAnsi="仿宋_GB2312" w:cs="仿宋_GB2312" w:eastAsia="仿宋_GB2312"/>
                <w:sz w:val="18"/>
              </w:rPr>
              <w:t>宣传</w:t>
            </w:r>
          </w:p>
          <w:p>
            <w:pPr>
              <w:pStyle w:val="null3"/>
            </w:pPr>
            <w:r>
              <w:rPr>
                <w:rFonts w:ascii="仿宋_GB2312" w:hAnsi="仿宋_GB2312" w:cs="仿宋_GB2312" w:eastAsia="仿宋_GB2312"/>
                <w:sz w:val="18"/>
              </w:rPr>
              <w:t>1.承办方应成立宣传工作小组，按照要求，确定一名新闻负责人，负责赛事的相关宣传工作。赛事举行期间可根据赛事的情况向当地媒体提供相应的赛事信息和报道素材。每站赛事期间和全部结束后撰写赛事相关新闻稿(配比赛及活动照片)，发布市级以上宣传稿件4篇以上，各类媒介共计10篇以上。</w:t>
            </w:r>
          </w:p>
          <w:p>
            <w:pPr>
              <w:pStyle w:val="null3"/>
            </w:pPr>
            <w:r>
              <w:rPr>
                <w:rFonts w:ascii="仿宋_GB2312" w:hAnsi="仿宋_GB2312" w:cs="仿宋_GB2312" w:eastAsia="仿宋_GB2312"/>
                <w:sz w:val="18"/>
              </w:rPr>
              <w:t>2.承办方应组织1-2名专业摄影人员对每站比赛相关活动及赛事进行录像及图片拍摄，制作宣传视频不少于5条（不少于30秒钟），拍摄的录像和数码图片应按活动名称和比赛对阵名称进行文件分类。</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b/>
              </w:rPr>
              <w:t>九、有关要求</w:t>
            </w:r>
          </w:p>
          <w:p>
            <w:pPr>
              <w:pStyle w:val="null3"/>
              <w:jc w:val="both"/>
            </w:pPr>
            <w:r>
              <w:rPr>
                <w:rFonts w:ascii="仿宋_GB2312" w:hAnsi="仿宋_GB2312" w:cs="仿宋_GB2312" w:eastAsia="仿宋_GB2312"/>
              </w:rPr>
              <w:t>1.做好竞赛组织各项工作；做好比赛监督、裁判监督、裁判员的选派工作。</w:t>
            </w:r>
          </w:p>
          <w:p>
            <w:pPr>
              <w:pStyle w:val="null3"/>
              <w:jc w:val="both"/>
            </w:pPr>
            <w:r>
              <w:rPr>
                <w:rFonts w:ascii="仿宋_GB2312" w:hAnsi="仿宋_GB2312" w:cs="仿宋_GB2312" w:eastAsia="仿宋_GB2312"/>
              </w:rPr>
              <w:t>2.对于在比赛中出现参赛人员有违规违纪行为，根据相关要求和规定进行处罚。</w:t>
            </w:r>
          </w:p>
          <w:p>
            <w:pPr>
              <w:pStyle w:val="null3"/>
              <w:jc w:val="both"/>
            </w:pPr>
            <w:r>
              <w:rPr>
                <w:rFonts w:ascii="仿宋_GB2312" w:hAnsi="仿宋_GB2312" w:cs="仿宋_GB2312" w:eastAsia="仿宋_GB2312"/>
              </w:rPr>
              <w:t>3.加强安全管控。制定针对性强、便于操作、科学合理的安全风险防控和应急救助预案，建立一体化安全责任体系，确保比赛安全有序。提高安全综合保障能力，确保配备医护人员（救护车）、购买参赛保险，提升交通安全、天气预警等综合保障水平。</w:t>
            </w:r>
          </w:p>
          <w:p>
            <w:pPr>
              <w:pStyle w:val="null3"/>
              <w:jc w:val="both"/>
            </w:pPr>
            <w:r>
              <w:rPr>
                <w:rFonts w:ascii="仿宋_GB2312" w:hAnsi="仿宋_GB2312" w:cs="仿宋_GB2312" w:eastAsia="仿宋_GB2312"/>
              </w:rPr>
              <w:t>4.所有项目照片、视频、文字资料档案等电子版资料备份至移动硬盘，赛后统一提供给采购方。</w:t>
            </w:r>
          </w:p>
          <w:p>
            <w:pPr>
              <w:pStyle w:val="null3"/>
              <w:jc w:val="both"/>
            </w:pPr>
            <w:r>
              <w:rPr>
                <w:rFonts w:ascii="仿宋_GB2312" w:hAnsi="仿宋_GB2312" w:cs="仿宋_GB2312" w:eastAsia="仿宋_GB2312"/>
              </w:rPr>
              <w:t>5.比赛不收取参赛人员报名费。</w:t>
            </w:r>
          </w:p>
          <w:p>
            <w:pPr>
              <w:pStyle w:val="null3"/>
            </w:pPr>
            <w:r>
              <w:rPr>
                <w:rFonts w:ascii="仿宋_GB2312" w:hAnsi="仿宋_GB2312" w:cs="仿宋_GB2312" w:eastAsia="仿宋_GB2312"/>
              </w:rPr>
              <w:t>6.本规程解释权属大会组委会，未尽事宜另行通知。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满足项目需求，确保采购项目顺利实施。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满足项目需求，确保采购项目顺利实施。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知识产权：采购人在中华人民共和国境内使用供应商提供的服务时免受第三方提出的侵犯其专利权或其他知识产权的起诉。如果第三方提出侵权指控，成交人应承担由此而引起的一切法律责任和费用。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自赛事报名前开始至赛事服务结束。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大明宫遗址公园、汉长安城未央宫遗址公园。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满足采购需求和采购人要求。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服务整体结束后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甲方有权对乙方的服务与经费使用情况进行监督、指导。若乙方提供的组织服务不符合约定，如未提供约定的服务、擅自提供约定以外的服务等，或未按照约定使用工作经费，乙方应当承担相应的违约责任，并赔偿由此给甲方造成的损失。 争议解决：因本合同的履行发生异议时，甲乙双方应协商解决;协商不成则提交被告所在地人民法院诉讼解决。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支付条件：赛事服务结束后，成交供应商应向采购人提供等额有效且符合采购人财务管理要求的体育服务增值税发票或者财政监制的非税收入票据，否则采购人有权拒绝付款且不承担违约责任。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的法人、其他组织或自然人：法人参与的提供合法有效的营业执照；其他组织参与的提供合法证明文件；自然人参与的提供其身份证明。 2、财务状况证明：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 3、税收证明：提供递交磋商响应文件截止之日前一年内任意一个月的依法缴纳税收的完税证明，完税证明应有税务机关或代收机关的公章或业务专用章。依法免税或无须缴纳税收的供应商，应提供相应证明文件。 4、社保证明：提供磋商截止日前一年内已缴存的至少一个月的社会保障资金缴存单据或社保机构开具的社会保险参保缴费情况证明，依法不需要缴纳社会保障资金的单位应提供相关证明材料。 5、承诺：提供具有履行合同所必需的设备和专业技术能力的承诺。 6、书面声明：提供参加政府采购活动前3年内，在经营活动中没有重大违法记录的书面声明。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在磋商截止日前一年内在本单位已缴存的至少一个月的社会保险参保缴费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磋商报价表.docx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中小企业声明函 其它资料.docx 磋商方案说明书.docx 报价表 磋商报价表.docx 供应商承诺书.docx 资格证明文件.docx 响应文件封面 本项目拟投入人员汇总表.docx 残疾人福利性单位声明函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按磋商文件要求报价，不得提交选择性报价，且每轮报价不超过采购预算金额（最高限价）。</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商务条款偏离表.docx 服务应答表.docx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不存在法律、法规和磋商文件规定的其他无效磋商情形。</w:t>
            </w:r>
          </w:p>
        </w:tc>
        <w:tc>
          <w:tcPr>
            <w:tcW w:type="dxa" w:w="1661"/>
          </w:tcPr>
          <w:p>
            <w:pPr>
              <w:pStyle w:val="null3"/>
            </w:pPr>
            <w:r>
              <w:rPr>
                <w:rFonts w:ascii="仿宋_GB2312" w:hAnsi="仿宋_GB2312" w:cs="仿宋_GB2312" w:eastAsia="仿宋_GB2312"/>
              </w:rPr>
              <w:t>中小企业声明函 其它资料.docx 磋商方案说明书.docx 报价表 磋商报价表.docx 供应商承诺书.docx 资格证明文件.docx 响应文件封面 本项目拟投入人员汇总表.docx 残疾人福利性单位声明函 标的清单 响应函 商务条款偏离表.docx 监狱企业的证明文件 服务应答表.docx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前期策划方案</w:t>
            </w:r>
          </w:p>
        </w:tc>
        <w:tc>
          <w:tcPr>
            <w:tcW w:type="dxa" w:w="2492"/>
          </w:tcPr>
          <w:p>
            <w:pPr>
              <w:pStyle w:val="null3"/>
            </w:pPr>
            <w:r>
              <w:rPr>
                <w:rFonts w:ascii="仿宋_GB2312" w:hAnsi="仿宋_GB2312" w:cs="仿宋_GB2312" w:eastAsia="仿宋_GB2312"/>
              </w:rPr>
              <w:t>包括但不限于：（1）活动场地的选定及搭建方案；（2）赛事策划及商务开发；（3）志愿者招募管理；（4）后勤接待方案；（5）各类资料的设计与印制等物料保障方案；（6）奖励奖牌采购及发放方案。 方案各部分内容全面详细、阐述条理清晰详尽、符合本项目采购需求得6分；以上分项每缺少一项内容扣1分；每有一项内容存在缺陷，扣（0-1）分。未提供不得分。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人员配备方案——团队配置</w:t>
            </w:r>
          </w:p>
        </w:tc>
        <w:tc>
          <w:tcPr>
            <w:tcW w:type="dxa" w:w="2492"/>
          </w:tcPr>
          <w:p>
            <w:pPr>
              <w:pStyle w:val="null3"/>
            </w:pPr>
            <w:r>
              <w:rPr>
                <w:rFonts w:ascii="仿宋_GB2312" w:hAnsi="仿宋_GB2312" w:cs="仿宋_GB2312" w:eastAsia="仿宋_GB2312"/>
              </w:rPr>
              <w:t>团队配置：要求：针对本项目配备专项服务团队，至少包括主持人、裁判员、礼仪人员、媒体宣传推广人员、现场安保人员、医务人员、电工人员、保洁人员等岗位。满足岗位配置要求，得5分。缺少任一岗位，本项不得分。 备注：评审时以供应商提供的“本项目拟投入人员汇总表”中拟担任的职务为准并附相关人员的有效身份证复印件，未明确的或未提供身份证件的或不符合团队配置要求的，此项不得分。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本项目拟投入人员汇总表.docx</w:t>
            </w:r>
          </w:p>
        </w:tc>
      </w:tr>
      <w:tr>
        <w:tc>
          <w:tcPr>
            <w:tcW w:type="dxa" w:w="831"/>
            <w:vMerge/>
          </w:tcPr>
          <w:p/>
        </w:tc>
        <w:tc>
          <w:tcPr>
            <w:tcW w:type="dxa" w:w="1661"/>
          </w:tcPr>
          <w:p>
            <w:pPr>
              <w:pStyle w:val="null3"/>
            </w:pPr>
            <w:r>
              <w:rPr>
                <w:rFonts w:ascii="仿宋_GB2312" w:hAnsi="仿宋_GB2312" w:cs="仿宋_GB2312" w:eastAsia="仿宋_GB2312"/>
              </w:rPr>
              <w:t>人员配备方案——项目负责人</w:t>
            </w:r>
          </w:p>
        </w:tc>
        <w:tc>
          <w:tcPr>
            <w:tcW w:type="dxa" w:w="2492"/>
          </w:tcPr>
          <w:p>
            <w:pPr>
              <w:pStyle w:val="null3"/>
            </w:pPr>
            <w:r>
              <w:rPr>
                <w:rFonts w:ascii="仿宋_GB2312" w:hAnsi="仿宋_GB2312" w:cs="仿宋_GB2312" w:eastAsia="仿宋_GB2312"/>
              </w:rPr>
              <w:t>项目负责人：具有类似项目（体育赛事活动类）经验，得5分。 备注：提供2023年1月1日至今（以合同签订时间为准）的类似项目合同（1份即可），合同中须体现项目负责人信息或由服务业主单位开具相关证明。未提供或提供资料不符合要求均不得分。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本项目拟投入人员汇总表.docx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提供人员配备及管理方案，要求有完善的服务团队。 包括但不限于：（1）岗位职责分工明确；（2）特殊人员持证上岗。 方案各部分内容全面详细、阐述条理清晰详尽、符合本项目采购需求得5分；以上分项每缺少一项内容扣2.5分；每有一项内容存在缺陷，扣（0-2.5）分。未提供不得分。 备注: 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本项目拟投入人员汇总表.docx</w:t>
            </w:r>
          </w:p>
        </w:tc>
      </w:tr>
      <w:tr>
        <w:tc>
          <w:tcPr>
            <w:tcW w:type="dxa" w:w="831"/>
            <w:vMerge/>
          </w:tcPr>
          <w:p/>
        </w:tc>
        <w:tc>
          <w:tcPr>
            <w:tcW w:type="dxa" w:w="1661"/>
          </w:tcPr>
          <w:p>
            <w:pPr>
              <w:pStyle w:val="null3"/>
            </w:pPr>
            <w:r>
              <w:rPr>
                <w:rFonts w:ascii="仿宋_GB2312" w:hAnsi="仿宋_GB2312" w:cs="仿宋_GB2312" w:eastAsia="仿宋_GB2312"/>
              </w:rPr>
              <w:t>后期执行工作方案</w:t>
            </w:r>
          </w:p>
        </w:tc>
        <w:tc>
          <w:tcPr>
            <w:tcW w:type="dxa" w:w="2492"/>
          </w:tcPr>
          <w:p>
            <w:pPr>
              <w:pStyle w:val="null3"/>
            </w:pPr>
            <w:r>
              <w:rPr>
                <w:rFonts w:ascii="仿宋_GB2312" w:hAnsi="仿宋_GB2312" w:cs="仿宋_GB2312" w:eastAsia="仿宋_GB2312"/>
              </w:rPr>
              <w:t>包括但不限于：（1）现场组织方案；（2）物资领取方案；（3）摄影摄像服务方案；（4）场地拆除及恢复方案；（5）赛事相关资料的移交方案。 方案各部分内容全面详细、阐述条理清晰详尽、符合本项目采购需求得5分；以上分项每缺少一项内容扣1分；每有一项内容存在缺陷，扣（0-1）分。未提供不得分。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媒体宣传推广方案——承诺</w:t>
            </w:r>
          </w:p>
        </w:tc>
        <w:tc>
          <w:tcPr>
            <w:tcW w:type="dxa" w:w="2492"/>
          </w:tcPr>
          <w:p>
            <w:pPr>
              <w:pStyle w:val="null3"/>
            </w:pPr>
            <w:r>
              <w:rPr>
                <w:rFonts w:ascii="仿宋_GB2312" w:hAnsi="仿宋_GB2312" w:cs="仿宋_GB2312" w:eastAsia="仿宋_GB2312"/>
              </w:rPr>
              <w:t>承诺：供应商承诺“（1）每站赛事期间和全部结束后撰写赛事相关新闻稿(配比赛及活动照片)，发布市级以上宣传稿件4篇以上，各类媒介共计10篇以上。（2）承办方应组织1-2名专业摄影人员对每站比赛相关活动及赛事进行录像及图片拍摄，制作宣传视频不少于5条（不少于30秒钟）。”提供符合要求的承诺得5分，未提供承诺或承诺内容不全或不符合要求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媒体宣传推广方案</w:t>
            </w:r>
          </w:p>
        </w:tc>
        <w:tc>
          <w:tcPr>
            <w:tcW w:type="dxa" w:w="2492"/>
          </w:tcPr>
          <w:p>
            <w:pPr>
              <w:pStyle w:val="null3"/>
            </w:pPr>
            <w:r>
              <w:rPr>
                <w:rFonts w:ascii="仿宋_GB2312" w:hAnsi="仿宋_GB2312" w:cs="仿宋_GB2312" w:eastAsia="仿宋_GB2312"/>
              </w:rPr>
              <w:t>根据本项目需求，制定详细的媒体宣传推广方案方案，包括但不限于：（1）摄影摄像制作；（2）新闻稿撰写；（3）媒体宣传推广等。 方案各部分内容全面详细、阐述条理清晰详尽、符合本项目采购需求得3分；以上分项每缺少一项内容扣1分；每有一项内容存在缺陷，扣（0-1）分。未提供不得分。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配套活动方案</w:t>
            </w:r>
          </w:p>
        </w:tc>
        <w:tc>
          <w:tcPr>
            <w:tcW w:type="dxa" w:w="2492"/>
          </w:tcPr>
          <w:p>
            <w:pPr>
              <w:pStyle w:val="null3"/>
            </w:pPr>
            <w:r>
              <w:rPr>
                <w:rFonts w:ascii="仿宋_GB2312" w:hAnsi="仿宋_GB2312" w:cs="仿宋_GB2312" w:eastAsia="仿宋_GB2312"/>
              </w:rPr>
              <w:t>包括但不限于：（1）体育嘉年华活动方案；（2）“跟着赛事游西安”文旅推广活动；（3）文化遗产推介、特色美食体验等活动方案。 方案各部分内容全面详细、阐述条理清晰详尽、符合本项目采购需求得3分；以上分项每缺少一项内容扣1分；每有一项内容存在缺陷，扣（0-1）分。未提供不得分。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设备配备保障方案</w:t>
            </w:r>
          </w:p>
        </w:tc>
        <w:tc>
          <w:tcPr>
            <w:tcW w:type="dxa" w:w="2492"/>
          </w:tcPr>
          <w:p>
            <w:pPr>
              <w:pStyle w:val="null3"/>
            </w:pPr>
            <w:r>
              <w:rPr>
                <w:rFonts w:ascii="仿宋_GB2312" w:hAnsi="仿宋_GB2312" w:cs="仿宋_GB2312" w:eastAsia="仿宋_GB2312"/>
              </w:rPr>
              <w:t>包括但不限于：（1）设备配备清单；（2）设备照片及用途描述。 方案各部分内容全面详细、阐述条理清晰详尽、符合本项目采购需求得5分；以上分项每缺少一项内容扣2.5分；每有一项内容存在缺陷，扣（0-2.5）分。未提供不得分。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安全保卫保障方案——承诺</w:t>
            </w:r>
          </w:p>
        </w:tc>
        <w:tc>
          <w:tcPr>
            <w:tcW w:type="dxa" w:w="2492"/>
          </w:tcPr>
          <w:p>
            <w:pPr>
              <w:pStyle w:val="null3"/>
            </w:pPr>
            <w:r>
              <w:rPr>
                <w:rFonts w:ascii="仿宋_GB2312" w:hAnsi="仿宋_GB2312" w:cs="仿宋_GB2312" w:eastAsia="仿宋_GB2312"/>
              </w:rPr>
              <w:t>承诺：供应商承诺“（1）对举办比赛体育场地相关联的风险和责任进行投保，此类保险应向受伤人员或者受损物品和财产进行合适数量赔偿。（2）为所有参赛人员购买覆盖赛事周期的人身意外伤害险和死亡险，保险对象是指参与本赛事活动的所有人员。” 提供符合要求的承诺得5分，未提供承诺或承诺内容不全或不符合要求均不得分。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安全保卫保障方案</w:t>
            </w:r>
          </w:p>
        </w:tc>
        <w:tc>
          <w:tcPr>
            <w:tcW w:type="dxa" w:w="2492"/>
          </w:tcPr>
          <w:p>
            <w:pPr>
              <w:pStyle w:val="null3"/>
            </w:pPr>
            <w:r>
              <w:rPr>
                <w:rFonts w:ascii="仿宋_GB2312" w:hAnsi="仿宋_GB2312" w:cs="仿宋_GB2312" w:eastAsia="仿宋_GB2312"/>
              </w:rPr>
              <w:t>根据本项目需求，制定详细的安全保卫保障方案，包括但不限于：（1）赛事保险；（2）交通及治安；（3）消防等。 方案各部分内容全面详细、阐述条理清晰详尽、符合本项目采购需求得3分；以上分项每缺少一项内容扣1分；每有一项内容存在缺陷，扣（0-1）分。未提供不得分。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医疗保障方案——承诺</w:t>
            </w:r>
          </w:p>
        </w:tc>
        <w:tc>
          <w:tcPr>
            <w:tcW w:type="dxa" w:w="2492"/>
          </w:tcPr>
          <w:p>
            <w:pPr>
              <w:pStyle w:val="null3"/>
            </w:pPr>
            <w:r>
              <w:rPr>
                <w:rFonts w:ascii="仿宋_GB2312" w:hAnsi="仿宋_GB2312" w:cs="仿宋_GB2312" w:eastAsia="仿宋_GB2312"/>
              </w:rPr>
              <w:t>承诺：供应商承诺“（1）比赛场地提供医疗服务，并配备救护车和比赛常备药品。救护车配AED及使用AED设备的专业医务人员，可供比赛及训练使用。比赛时，救护车应于赛前60分钟抵达赛场，至赛后30分钟离开。（2）设指定医院，并开通就医相关绿色通道。” 提供符合要求的承诺得5分，未提供承诺或承诺内容不全或不符合要求均不得分。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医疗保障方案</w:t>
            </w:r>
          </w:p>
        </w:tc>
        <w:tc>
          <w:tcPr>
            <w:tcW w:type="dxa" w:w="2492"/>
          </w:tcPr>
          <w:p>
            <w:pPr>
              <w:pStyle w:val="null3"/>
            </w:pPr>
            <w:r>
              <w:rPr>
                <w:rFonts w:ascii="仿宋_GB2312" w:hAnsi="仿宋_GB2312" w:cs="仿宋_GB2312" w:eastAsia="仿宋_GB2312"/>
              </w:rPr>
              <w:t>根据本项目需求，制定详细的医疗保障方案，包括但不限于：（1）配备救护车情况；（2）比赛常备药品配备情况等。 方案各部分内容全面详细、阐述条理清晰详尽、符合本项目采购需求得5分；以上分项每缺少一项内容扣2.5分；每有一项内容存在缺陷，扣（0-2.5）分。未提供不得分。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根据本项目需求，制定具体的应急预案，包括但不限于：（1）医疗应急；（2）电力应急；（3）通信应急；（4）人员缺位应急；（5）设施设备应急。 方案各部分内容全面详细、阐述条理清晰详尽、符合本项目采购需求得5分；以上分项每缺少一项内容扣1分；每有一项内容存在缺陷，扣（0-1）分。未提供不得分。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供应商提供2023年1月1日至今（以合同签订时间为准）同类项目业绩。每提供一份有效业绩得3分，最高得15分。 备注：在响应文件中附合同复印件并加盖公章。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2.满足磋商文件实质性要求且最终报价最低的供应商的价格为磋商基准价，其价格分为满分20分。 3.磋商报价得分=（磋商基准价/最终磋商报价）×20的公式计算得分。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详见附件：本项目拟投入人员汇总表.docx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