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24C218">
      <w:pPr>
        <w:spacing w:line="460" w:lineRule="exact"/>
        <w:ind w:right="1444" w:firstLine="301" w:firstLineChars="100"/>
        <w:rPr>
          <w:rFonts w:eastAsia="宋体" w:cs="Times New Roman"/>
          <w:b/>
          <w:color w:val="auto"/>
          <w:sz w:val="30"/>
          <w:szCs w:val="30"/>
          <w:bdr w:val="single" w:color="auto" w:sz="4" w:space="0"/>
          <w:shd w:val="pct10" w:color="auto" w:fill="FFFFFF"/>
        </w:rPr>
      </w:pPr>
      <w:r>
        <w:rPr>
          <w:rFonts w:eastAsia="宋体" w:cs="Times New Roman"/>
          <w:b/>
          <w:color w:val="auto"/>
          <w:sz w:val="30"/>
          <w:szCs w:val="30"/>
          <w:bdr w:val="single" w:color="auto" w:sz="4" w:space="0"/>
          <w:shd w:val="pct10" w:color="auto" w:fill="FFFFFF"/>
        </w:rPr>
        <w:t>政府采购项目</w:t>
      </w:r>
    </w:p>
    <w:p w14:paraId="35167063">
      <w:pPr>
        <w:spacing w:line="460" w:lineRule="atLeast"/>
        <w:rPr>
          <w:rFonts w:hint="eastAsia" w:ascii="宋体" w:hAnsi="宋体" w:eastAsia="宋体" w:cs="宋体"/>
          <w:color w:val="auto"/>
          <w:highlight w:val="none"/>
        </w:rPr>
      </w:pPr>
    </w:p>
    <w:p w14:paraId="5E08CE8A">
      <w:pPr>
        <w:spacing w:line="460" w:lineRule="atLeast"/>
        <w:jc w:val="center"/>
        <w:outlineLvl w:val="0"/>
        <w:rPr>
          <w:rFonts w:hint="eastAsia" w:ascii="宋体" w:hAnsi="宋体" w:eastAsia="宋体" w:cs="宋体"/>
          <w:b/>
          <w:color w:val="auto"/>
          <w:sz w:val="40"/>
          <w:szCs w:val="18"/>
          <w:highlight w:val="none"/>
          <w:lang w:eastAsia="zh-CN"/>
        </w:rPr>
      </w:pPr>
    </w:p>
    <w:p w14:paraId="55BF02F6">
      <w:pPr>
        <w:spacing w:line="460" w:lineRule="atLeast"/>
        <w:jc w:val="center"/>
        <w:outlineLvl w:val="0"/>
        <w:rPr>
          <w:rFonts w:hint="eastAsia" w:ascii="宋体" w:hAnsi="宋体" w:eastAsia="宋体" w:cs="宋体"/>
          <w:b/>
          <w:color w:val="auto"/>
          <w:sz w:val="60"/>
          <w:szCs w:val="60"/>
          <w:highlight w:val="none"/>
          <w:lang w:eastAsia="zh-CN"/>
        </w:rPr>
      </w:pPr>
      <w:r>
        <w:rPr>
          <w:rFonts w:hint="eastAsia" w:ascii="宋体" w:hAnsi="宋体" w:eastAsia="宋体" w:cs="宋体"/>
          <w:b/>
          <w:color w:val="auto"/>
          <w:sz w:val="60"/>
          <w:szCs w:val="60"/>
          <w:highlight w:val="none"/>
          <w:lang w:eastAsia="zh-CN"/>
        </w:rPr>
        <w:t>旬邑县养老中心服务设施提升改造项目基坑变形监测及主体沉降观测</w:t>
      </w:r>
    </w:p>
    <w:p w14:paraId="10D16427">
      <w:pPr>
        <w:spacing w:line="460" w:lineRule="atLeast"/>
        <w:jc w:val="center"/>
        <w:outlineLvl w:val="0"/>
        <w:rPr>
          <w:rFonts w:hint="eastAsia" w:ascii="宋体" w:hAnsi="宋体" w:eastAsia="宋体" w:cs="宋体"/>
          <w:b/>
          <w:color w:val="auto"/>
          <w:sz w:val="72"/>
          <w:szCs w:val="72"/>
          <w:highlight w:val="none"/>
        </w:rPr>
      </w:pPr>
      <w:bookmarkStart w:id="0" w:name="_Toc19617"/>
      <w:bookmarkStart w:id="1" w:name="_Toc29250"/>
      <w:r>
        <w:rPr>
          <w:rFonts w:hint="eastAsia" w:ascii="宋体" w:hAnsi="宋体" w:eastAsia="宋体" w:cs="宋体"/>
          <w:b/>
          <w:color w:val="auto"/>
          <w:sz w:val="72"/>
          <w:szCs w:val="72"/>
          <w:highlight w:val="none"/>
        </w:rPr>
        <w:t>竞争性磋商文件</w:t>
      </w:r>
      <w:bookmarkEnd w:id="0"/>
      <w:bookmarkEnd w:id="1"/>
    </w:p>
    <w:p w14:paraId="1F5344FC">
      <w:pPr>
        <w:pStyle w:val="11"/>
        <w:rPr>
          <w:rFonts w:hint="eastAsia"/>
        </w:rPr>
      </w:pPr>
    </w:p>
    <w:p w14:paraId="34A03486">
      <w:pPr>
        <w:spacing w:line="460" w:lineRule="exact"/>
        <w:jc w:val="center"/>
        <w:rPr>
          <w:rFonts w:hint="default" w:eastAsia="宋体" w:cs="Times New Roman"/>
          <w:b/>
          <w:color w:val="auto"/>
          <w:sz w:val="28"/>
          <w:szCs w:val="28"/>
          <w:lang w:val="en-US" w:eastAsia="zh-CN"/>
        </w:rPr>
      </w:pPr>
      <w:r>
        <w:rPr>
          <w:rFonts w:hint="eastAsia" w:eastAsia="宋体" w:cs="Times New Roman"/>
          <w:b/>
          <w:color w:val="auto"/>
          <w:sz w:val="28"/>
          <w:szCs w:val="28"/>
          <w:lang w:val="en-US" w:eastAsia="zh-CN"/>
        </w:rPr>
        <w:t>项目</w:t>
      </w:r>
      <w:r>
        <w:rPr>
          <w:rFonts w:eastAsia="宋体" w:cs="Times New Roman"/>
          <w:b/>
          <w:color w:val="auto"/>
          <w:sz w:val="28"/>
          <w:szCs w:val="28"/>
        </w:rPr>
        <w:t>编号：</w:t>
      </w:r>
      <w:r>
        <w:rPr>
          <w:rFonts w:hint="eastAsia" w:eastAsia="宋体" w:cs="Times New Roman"/>
          <w:b/>
          <w:color w:val="auto"/>
          <w:sz w:val="28"/>
          <w:szCs w:val="28"/>
        </w:rPr>
        <w:t>YSCG-2026-001F</w:t>
      </w:r>
    </w:p>
    <w:p w14:paraId="13F055FE">
      <w:pPr>
        <w:spacing w:line="460" w:lineRule="atLeast"/>
        <w:jc w:val="center"/>
        <w:rPr>
          <w:rFonts w:hint="eastAsia" w:ascii="宋体" w:hAnsi="宋体" w:eastAsia="宋体" w:cs="宋体"/>
          <w:b/>
          <w:color w:val="auto"/>
          <w:sz w:val="52"/>
          <w:highlight w:val="none"/>
        </w:rPr>
      </w:pPr>
    </w:p>
    <w:p w14:paraId="18ED8C8C">
      <w:pPr>
        <w:spacing w:line="460" w:lineRule="atLeast"/>
        <w:jc w:val="center"/>
        <w:rPr>
          <w:rFonts w:hint="eastAsia" w:ascii="宋体" w:hAnsi="宋体" w:eastAsia="宋体" w:cs="宋体"/>
          <w:b/>
          <w:color w:val="auto"/>
          <w:sz w:val="52"/>
          <w:highlight w:val="none"/>
        </w:rPr>
      </w:pPr>
    </w:p>
    <w:p w14:paraId="6C3594AC">
      <w:pPr>
        <w:spacing w:line="460" w:lineRule="atLeast"/>
        <w:jc w:val="center"/>
        <w:rPr>
          <w:rFonts w:hint="eastAsia" w:ascii="宋体" w:hAnsi="宋体" w:eastAsia="宋体" w:cs="宋体"/>
          <w:b/>
          <w:color w:val="auto"/>
          <w:sz w:val="44"/>
          <w:highlight w:val="none"/>
        </w:rPr>
      </w:pPr>
    </w:p>
    <w:p w14:paraId="5E958511">
      <w:pPr>
        <w:spacing w:line="460" w:lineRule="atLeast"/>
        <w:jc w:val="center"/>
        <w:rPr>
          <w:rFonts w:hint="eastAsia" w:ascii="宋体" w:hAnsi="宋体" w:eastAsia="宋体" w:cs="宋体"/>
          <w:b/>
          <w:color w:val="auto"/>
          <w:sz w:val="44"/>
          <w:highlight w:val="none"/>
        </w:rPr>
      </w:pPr>
    </w:p>
    <w:p w14:paraId="4151DB52">
      <w:pPr>
        <w:pStyle w:val="11"/>
        <w:rPr>
          <w:rFonts w:hint="eastAsia" w:ascii="宋体" w:hAnsi="宋体" w:eastAsia="宋体" w:cs="宋体"/>
          <w:b/>
          <w:color w:val="auto"/>
          <w:sz w:val="44"/>
          <w:highlight w:val="none"/>
        </w:rPr>
      </w:pPr>
    </w:p>
    <w:p w14:paraId="08A9F42F">
      <w:pPr>
        <w:rPr>
          <w:rFonts w:hint="eastAsia" w:ascii="宋体" w:hAnsi="宋体" w:eastAsia="宋体" w:cs="宋体"/>
          <w:b/>
          <w:color w:val="auto"/>
          <w:sz w:val="44"/>
          <w:highlight w:val="none"/>
        </w:rPr>
      </w:pPr>
    </w:p>
    <w:p w14:paraId="4680B4EC">
      <w:pPr>
        <w:pStyle w:val="11"/>
        <w:rPr>
          <w:rFonts w:hint="eastAsia" w:ascii="宋体" w:hAnsi="宋体" w:eastAsia="宋体" w:cs="宋体"/>
          <w:b/>
          <w:color w:val="auto"/>
          <w:sz w:val="44"/>
          <w:highlight w:val="none"/>
        </w:rPr>
      </w:pPr>
    </w:p>
    <w:p w14:paraId="1D9600A4">
      <w:pPr>
        <w:rPr>
          <w:rFonts w:hint="eastAsia"/>
        </w:rPr>
      </w:pPr>
    </w:p>
    <w:p w14:paraId="291EBD4F">
      <w:pPr>
        <w:spacing w:line="460" w:lineRule="atLeast"/>
        <w:ind w:firstLine="420" w:firstLineChars="0"/>
        <w:jc w:val="center"/>
        <w:rPr>
          <w:rFonts w:hint="eastAsia" w:ascii="宋体" w:hAnsi="宋体" w:eastAsia="宋体" w:cs="宋体"/>
          <w:b/>
          <w:color w:val="auto"/>
          <w:sz w:val="44"/>
          <w:highlight w:val="none"/>
        </w:rPr>
      </w:pPr>
    </w:p>
    <w:p w14:paraId="34524E57">
      <w:pPr>
        <w:rPr>
          <w:rFonts w:hint="eastAsia"/>
        </w:rPr>
      </w:pPr>
    </w:p>
    <w:tbl>
      <w:tblPr>
        <w:tblStyle w:val="23"/>
        <w:tblW w:w="0" w:type="auto"/>
        <w:jc w:val="center"/>
        <w:tblLayout w:type="autofit"/>
        <w:tblCellMar>
          <w:top w:w="0" w:type="dxa"/>
          <w:left w:w="108" w:type="dxa"/>
          <w:bottom w:w="0" w:type="dxa"/>
          <w:right w:w="108" w:type="dxa"/>
        </w:tblCellMar>
      </w:tblPr>
      <w:tblGrid>
        <w:gridCol w:w="2562"/>
        <w:gridCol w:w="4556"/>
      </w:tblGrid>
      <w:tr w14:paraId="40183FB6">
        <w:tblPrEx>
          <w:tblCellMar>
            <w:top w:w="0" w:type="dxa"/>
            <w:left w:w="108" w:type="dxa"/>
            <w:bottom w:w="0" w:type="dxa"/>
            <w:right w:w="108" w:type="dxa"/>
          </w:tblCellMar>
        </w:tblPrEx>
        <w:trPr>
          <w:trHeight w:val="812" w:hRule="atLeast"/>
          <w:jc w:val="center"/>
        </w:trPr>
        <w:tc>
          <w:tcPr>
            <w:tcW w:w="2562" w:type="dxa"/>
            <w:shd w:val="clear" w:color="auto" w:fill="auto"/>
            <w:vAlign w:val="center"/>
          </w:tcPr>
          <w:p w14:paraId="1B515B44">
            <w:pPr>
              <w:tabs>
                <w:tab w:val="left" w:pos="1560"/>
              </w:tabs>
              <w:spacing w:line="460" w:lineRule="atLeast"/>
              <w:jc w:val="distribute"/>
              <w:rPr>
                <w:rFonts w:hint="eastAsia" w:ascii="宋体" w:hAnsi="宋体" w:eastAsia="宋体" w:cs="宋体"/>
                <w:b/>
                <w:color w:val="auto"/>
                <w:kern w:val="0"/>
                <w:sz w:val="32"/>
                <w:szCs w:val="20"/>
                <w:highlight w:val="none"/>
              </w:rPr>
            </w:pPr>
            <w:r>
              <w:rPr>
                <w:rFonts w:hint="eastAsia" w:ascii="宋体" w:hAnsi="宋体" w:eastAsia="宋体" w:cs="宋体"/>
                <w:b/>
                <w:color w:val="auto"/>
                <w:kern w:val="0"/>
                <w:sz w:val="32"/>
                <w:szCs w:val="20"/>
                <w:highlight w:val="none"/>
              </w:rPr>
              <w:t>采购人：</w:t>
            </w:r>
          </w:p>
        </w:tc>
        <w:tc>
          <w:tcPr>
            <w:tcW w:w="4555" w:type="dxa"/>
            <w:shd w:val="clear" w:color="auto" w:fill="auto"/>
            <w:vAlign w:val="center"/>
          </w:tcPr>
          <w:p w14:paraId="1B26F1D5">
            <w:pPr>
              <w:tabs>
                <w:tab w:val="left" w:pos="1560"/>
              </w:tabs>
              <w:spacing w:line="460" w:lineRule="atLeast"/>
              <w:rPr>
                <w:rFonts w:hint="eastAsia" w:ascii="宋体" w:hAnsi="宋体" w:eastAsia="宋体" w:cs="宋体"/>
                <w:b/>
                <w:color w:val="auto"/>
                <w:kern w:val="0"/>
                <w:sz w:val="32"/>
                <w:szCs w:val="20"/>
                <w:highlight w:val="none"/>
                <w:lang w:eastAsia="zh-CN"/>
              </w:rPr>
            </w:pPr>
            <w:r>
              <w:rPr>
                <w:rFonts w:hint="eastAsia" w:ascii="宋体" w:hAnsi="宋体" w:eastAsia="宋体" w:cs="宋体"/>
                <w:b/>
                <w:color w:val="auto"/>
                <w:kern w:val="0"/>
                <w:sz w:val="32"/>
                <w:szCs w:val="20"/>
                <w:highlight w:val="none"/>
                <w:lang w:eastAsia="zh-CN"/>
              </w:rPr>
              <w:t>旬邑县民政局</w:t>
            </w:r>
          </w:p>
        </w:tc>
      </w:tr>
      <w:tr w14:paraId="4C6934C3">
        <w:tblPrEx>
          <w:tblCellMar>
            <w:top w:w="0" w:type="dxa"/>
            <w:left w:w="108" w:type="dxa"/>
            <w:bottom w:w="0" w:type="dxa"/>
            <w:right w:w="108" w:type="dxa"/>
          </w:tblCellMar>
        </w:tblPrEx>
        <w:trPr>
          <w:trHeight w:val="793" w:hRule="atLeast"/>
          <w:jc w:val="center"/>
        </w:trPr>
        <w:tc>
          <w:tcPr>
            <w:tcW w:w="2562" w:type="dxa"/>
            <w:shd w:val="clear" w:color="auto" w:fill="auto"/>
            <w:vAlign w:val="center"/>
          </w:tcPr>
          <w:p w14:paraId="7D50FFF5">
            <w:pPr>
              <w:tabs>
                <w:tab w:val="left" w:pos="1560"/>
              </w:tabs>
              <w:spacing w:line="460" w:lineRule="atLeast"/>
              <w:jc w:val="distribute"/>
              <w:rPr>
                <w:rFonts w:hint="eastAsia" w:ascii="宋体" w:hAnsi="宋体" w:eastAsia="宋体" w:cs="宋体"/>
                <w:b/>
                <w:color w:val="auto"/>
                <w:kern w:val="0"/>
                <w:sz w:val="32"/>
                <w:szCs w:val="20"/>
                <w:highlight w:val="none"/>
              </w:rPr>
            </w:pPr>
            <w:r>
              <w:rPr>
                <w:rFonts w:hint="eastAsia" w:ascii="宋体" w:hAnsi="宋体" w:eastAsia="宋体" w:cs="宋体"/>
                <w:b/>
                <w:color w:val="auto"/>
                <w:kern w:val="0"/>
                <w:sz w:val="32"/>
                <w:szCs w:val="20"/>
                <w:highlight w:val="none"/>
              </w:rPr>
              <w:t>采购代理机构：</w:t>
            </w:r>
          </w:p>
        </w:tc>
        <w:tc>
          <w:tcPr>
            <w:tcW w:w="4555" w:type="dxa"/>
            <w:shd w:val="clear" w:color="auto" w:fill="auto"/>
            <w:vAlign w:val="center"/>
          </w:tcPr>
          <w:p w14:paraId="277847DA">
            <w:pPr>
              <w:tabs>
                <w:tab w:val="left" w:pos="1560"/>
              </w:tabs>
              <w:spacing w:line="460" w:lineRule="atLeast"/>
              <w:rPr>
                <w:rFonts w:hint="eastAsia" w:ascii="宋体" w:hAnsi="宋体" w:eastAsia="宋体" w:cs="宋体"/>
                <w:b/>
                <w:color w:val="auto"/>
                <w:kern w:val="0"/>
                <w:sz w:val="32"/>
                <w:szCs w:val="20"/>
                <w:highlight w:val="none"/>
                <w:lang w:eastAsia="zh-CN"/>
              </w:rPr>
            </w:pPr>
            <w:r>
              <w:rPr>
                <w:rFonts w:hint="eastAsia" w:ascii="宋体" w:hAnsi="宋体" w:eastAsia="宋体" w:cs="宋体"/>
                <w:b/>
                <w:color w:val="auto"/>
                <w:kern w:val="0"/>
                <w:sz w:val="32"/>
                <w:szCs w:val="20"/>
                <w:highlight w:val="none"/>
                <w:lang w:eastAsia="zh-CN"/>
              </w:rPr>
              <w:t>陕西益森工程咨询有限公司</w:t>
            </w:r>
          </w:p>
        </w:tc>
      </w:tr>
      <w:tr w14:paraId="2C3378BE">
        <w:tblPrEx>
          <w:tblCellMar>
            <w:top w:w="0" w:type="dxa"/>
            <w:left w:w="108" w:type="dxa"/>
            <w:bottom w:w="0" w:type="dxa"/>
            <w:right w:w="108" w:type="dxa"/>
          </w:tblCellMar>
        </w:tblPrEx>
        <w:trPr>
          <w:trHeight w:val="812" w:hRule="atLeast"/>
          <w:jc w:val="center"/>
        </w:trPr>
        <w:tc>
          <w:tcPr>
            <w:tcW w:w="7118" w:type="dxa"/>
            <w:gridSpan w:val="2"/>
            <w:shd w:val="clear" w:color="auto" w:fill="auto"/>
          </w:tcPr>
          <w:p w14:paraId="7B19EA03">
            <w:pPr>
              <w:tabs>
                <w:tab w:val="left" w:pos="1560"/>
              </w:tabs>
              <w:spacing w:line="460" w:lineRule="atLeast"/>
              <w:jc w:val="center"/>
              <w:rPr>
                <w:rFonts w:hint="eastAsia" w:ascii="宋体" w:hAnsi="宋体" w:eastAsia="宋体" w:cs="宋体"/>
                <w:b/>
                <w:color w:val="auto"/>
                <w:kern w:val="0"/>
                <w:sz w:val="32"/>
                <w:szCs w:val="20"/>
                <w:highlight w:val="none"/>
              </w:rPr>
            </w:pPr>
            <w:r>
              <w:rPr>
                <w:rFonts w:hint="eastAsia" w:ascii="宋体" w:hAnsi="宋体" w:eastAsia="宋体" w:cs="宋体"/>
                <w:b/>
                <w:color w:val="auto"/>
                <w:kern w:val="0"/>
                <w:sz w:val="32"/>
                <w:szCs w:val="20"/>
                <w:highlight w:val="none"/>
              </w:rPr>
              <w:t>二〇二</w:t>
            </w:r>
            <w:r>
              <w:rPr>
                <w:rFonts w:hint="eastAsia" w:ascii="宋体" w:hAnsi="宋体" w:eastAsia="宋体" w:cs="宋体"/>
                <w:b/>
                <w:color w:val="auto"/>
                <w:kern w:val="0"/>
                <w:sz w:val="32"/>
                <w:szCs w:val="20"/>
                <w:highlight w:val="none"/>
                <w:lang w:val="en-US" w:eastAsia="zh-CN"/>
              </w:rPr>
              <w:t>六</w:t>
            </w:r>
            <w:r>
              <w:rPr>
                <w:rFonts w:hint="eastAsia" w:ascii="宋体" w:hAnsi="宋体" w:eastAsia="宋体" w:cs="宋体"/>
                <w:b/>
                <w:color w:val="auto"/>
                <w:kern w:val="0"/>
                <w:sz w:val="32"/>
                <w:szCs w:val="20"/>
                <w:highlight w:val="none"/>
              </w:rPr>
              <w:t>年</w:t>
            </w:r>
            <w:r>
              <w:rPr>
                <w:rFonts w:hint="eastAsia" w:ascii="宋体" w:hAnsi="宋体" w:eastAsia="宋体" w:cs="宋体"/>
                <w:b/>
                <w:color w:val="auto"/>
                <w:kern w:val="0"/>
                <w:sz w:val="32"/>
                <w:szCs w:val="20"/>
                <w:highlight w:val="none"/>
                <w:lang w:val="en-US" w:eastAsia="zh-CN"/>
              </w:rPr>
              <w:t>九</w:t>
            </w:r>
            <w:r>
              <w:rPr>
                <w:rFonts w:hint="eastAsia" w:ascii="宋体" w:hAnsi="宋体" w:eastAsia="宋体" w:cs="宋体"/>
                <w:b/>
                <w:color w:val="auto"/>
                <w:kern w:val="0"/>
                <w:sz w:val="32"/>
                <w:szCs w:val="20"/>
                <w:highlight w:val="none"/>
              </w:rPr>
              <w:t>月</w:t>
            </w:r>
          </w:p>
        </w:tc>
      </w:tr>
    </w:tbl>
    <w:p w14:paraId="4DABCA0B">
      <w:pPr>
        <w:spacing w:line="460" w:lineRule="atLeast"/>
        <w:rPr>
          <w:rFonts w:hint="eastAsia" w:ascii="宋体" w:hAnsi="宋体" w:eastAsia="宋体" w:cs="宋体"/>
          <w:color w:val="auto"/>
          <w:highlight w:val="none"/>
        </w:rPr>
      </w:pPr>
    </w:p>
    <w:p w14:paraId="1D9EF149">
      <w:pPr>
        <w:pStyle w:val="62"/>
        <w:spacing w:line="460" w:lineRule="atLeast"/>
        <w:jc w:val="center"/>
        <w:rPr>
          <w:rFonts w:hint="eastAsia" w:ascii="宋体" w:hAnsi="宋体" w:eastAsia="宋体" w:cs="宋体"/>
          <w:b/>
          <w:color w:val="auto"/>
          <w:sz w:val="36"/>
          <w:szCs w:val="28"/>
          <w:highlight w:val="none"/>
        </w:rPr>
      </w:pPr>
      <w:r>
        <w:rPr>
          <w:rFonts w:hint="eastAsia" w:ascii="宋体" w:hAnsi="宋体" w:eastAsia="宋体" w:cs="宋体"/>
          <w:b/>
          <w:color w:val="auto"/>
          <w:sz w:val="36"/>
          <w:szCs w:val="28"/>
          <w:highlight w:val="none"/>
          <w:lang w:val="zh-CN"/>
        </w:rPr>
        <w:t>目 录</w:t>
      </w:r>
    </w:p>
    <w:p w14:paraId="759B411A">
      <w:pPr>
        <w:pStyle w:val="18"/>
        <w:tabs>
          <w:tab w:val="right" w:leader="dot" w:pos="8296"/>
        </w:tabs>
        <w:spacing w:line="46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TOC \o "1-3" \h \z \u </w:instrText>
      </w:r>
      <w:r>
        <w:rPr>
          <w:rFonts w:hint="eastAsia" w:ascii="宋体" w:hAnsi="宋体" w:eastAsia="宋体" w:cs="宋体"/>
          <w:color w:val="auto"/>
          <w:sz w:val="24"/>
          <w:szCs w:val="24"/>
          <w:highlight w:val="none"/>
        </w:rPr>
        <w:fldChar w:fldCharType="separate"/>
      </w:r>
    </w:p>
    <w:sdt>
      <w:sdtPr>
        <w:rPr>
          <w:rFonts w:ascii="宋体" w:hAnsi="宋体" w:eastAsia="宋体" w:cs="Times New Roman"/>
          <w:kern w:val="2"/>
          <w:sz w:val="21"/>
          <w:szCs w:val="22"/>
          <w:lang w:val="en-US" w:eastAsia="zh-CN" w:bidi="ar-SA"/>
        </w:rPr>
        <w:id w:val="147474931"/>
        <w15:color w:val="DBDBDB"/>
        <w:docPartObj>
          <w:docPartGallery w:val="Table of Contents"/>
          <w:docPartUnique/>
        </w:docPartObj>
      </w:sdtPr>
      <w:sdtEndPr>
        <w:rPr>
          <w:rFonts w:hint="eastAsia" w:ascii="等线" w:hAnsi="等线" w:eastAsia="等线" w:cs="Times New Roman"/>
          <w:color w:val="auto"/>
          <w:kern w:val="2"/>
          <w:sz w:val="24"/>
          <w:szCs w:val="28"/>
          <w:highlight w:val="none"/>
          <w:lang w:val="en-US" w:eastAsia="zh-CN" w:bidi="ar-SA"/>
        </w:rPr>
      </w:sdtEndPr>
      <w:sdtContent>
        <w:p w14:paraId="43CC17AB">
          <w:pPr>
            <w:spacing w:before="0" w:beforeLines="0" w:after="0" w:afterLines="0" w:line="240" w:lineRule="auto"/>
            <w:ind w:left="0" w:leftChars="0" w:right="0" w:rightChars="0" w:firstLine="0" w:firstLineChars="0"/>
            <w:jc w:val="center"/>
          </w:pPr>
        </w:p>
        <w:p w14:paraId="184D29D0">
          <w:pPr>
            <w:pStyle w:val="18"/>
            <w:keepNext w:val="0"/>
            <w:keepLines w:val="0"/>
            <w:pageBreakBefore w:val="0"/>
            <w:widowControl w:val="0"/>
            <w:tabs>
              <w:tab w:val="right" w:leader="dot" w:pos="9026"/>
            </w:tabs>
            <w:kinsoku/>
            <w:wordWrap/>
            <w:overflowPunct/>
            <w:topLinePunct w:val="0"/>
            <w:autoSpaceDE/>
            <w:autoSpaceDN/>
            <w:bidi w:val="0"/>
            <w:adjustRightInd/>
            <w:snapToGrid/>
            <w:spacing w:line="480" w:lineRule="auto"/>
            <w:textAlignment w:val="auto"/>
            <w:rPr>
              <w:sz w:val="24"/>
              <w:szCs w:val="28"/>
            </w:rPr>
          </w:pPr>
          <w:r>
            <w:rPr>
              <w:rFonts w:hint="eastAsia" w:ascii="等线" w:hAnsi="等线" w:eastAsia="等线" w:cs="Times New Roman"/>
              <w:color w:val="auto"/>
              <w:kern w:val="2"/>
              <w:sz w:val="24"/>
              <w:szCs w:val="28"/>
              <w:highlight w:val="none"/>
              <w:lang w:val="en-US" w:eastAsia="zh-CN" w:bidi="ar-SA"/>
            </w:rPr>
            <w:fldChar w:fldCharType="begin"/>
          </w:r>
          <w:r>
            <w:rPr>
              <w:rFonts w:hint="eastAsia" w:ascii="等线" w:hAnsi="等线" w:eastAsia="等线" w:cs="Times New Roman"/>
              <w:color w:val="auto"/>
              <w:kern w:val="2"/>
              <w:sz w:val="24"/>
              <w:szCs w:val="28"/>
              <w:highlight w:val="none"/>
              <w:lang w:val="en-US" w:eastAsia="zh-CN" w:bidi="ar-SA"/>
            </w:rPr>
            <w:instrText xml:space="preserve">TOC \o "1-1" \h \u </w:instrText>
          </w:r>
          <w:r>
            <w:rPr>
              <w:rFonts w:hint="eastAsia" w:ascii="等线" w:hAnsi="等线" w:eastAsia="等线" w:cs="Times New Roman"/>
              <w:color w:val="auto"/>
              <w:kern w:val="2"/>
              <w:sz w:val="24"/>
              <w:szCs w:val="28"/>
              <w:highlight w:val="none"/>
              <w:lang w:val="en-US" w:eastAsia="zh-CN" w:bidi="ar-SA"/>
            </w:rPr>
            <w:fldChar w:fldCharType="separate"/>
          </w:r>
          <w:r>
            <w:rPr>
              <w:rFonts w:hint="eastAsia" w:ascii="等线" w:hAnsi="等线" w:eastAsia="等线" w:cs="Times New Roman"/>
              <w:color w:val="auto"/>
              <w:kern w:val="2"/>
              <w:sz w:val="24"/>
              <w:szCs w:val="28"/>
              <w:highlight w:val="none"/>
              <w:lang w:val="en-US" w:eastAsia="zh-CN" w:bidi="ar-SA"/>
            </w:rPr>
            <w:fldChar w:fldCharType="begin"/>
          </w:r>
          <w:r>
            <w:rPr>
              <w:rFonts w:hint="eastAsia" w:ascii="等线" w:hAnsi="等线" w:eastAsia="等线" w:cs="Times New Roman"/>
              <w:kern w:val="2"/>
              <w:sz w:val="24"/>
              <w:szCs w:val="28"/>
              <w:highlight w:val="none"/>
              <w:lang w:val="en-US" w:eastAsia="zh-CN" w:bidi="ar-SA"/>
            </w:rPr>
            <w:instrText xml:space="preserve"> HYPERLINK \l _Toc20077 </w:instrText>
          </w:r>
          <w:r>
            <w:rPr>
              <w:rFonts w:hint="eastAsia" w:ascii="等线" w:hAnsi="等线" w:eastAsia="等线" w:cs="Times New Roman"/>
              <w:kern w:val="2"/>
              <w:sz w:val="24"/>
              <w:szCs w:val="28"/>
              <w:highlight w:val="none"/>
              <w:lang w:val="en-US" w:eastAsia="zh-CN" w:bidi="ar-SA"/>
            </w:rPr>
            <w:fldChar w:fldCharType="separate"/>
          </w:r>
          <w:r>
            <w:rPr>
              <w:rFonts w:ascii="宋体" w:hAnsi="宋体" w:eastAsia="宋体" w:cs="宋体"/>
              <w:sz w:val="24"/>
              <w:szCs w:val="36"/>
              <w:lang w:val="en-US" w:eastAsia="zh-CN" w:bidi="ar-SA"/>
            </w:rPr>
            <w:t>第一</w:t>
          </w:r>
          <w:r>
            <w:rPr>
              <w:rFonts w:hint="eastAsia" w:ascii="宋体" w:hAnsi="宋体" w:eastAsia="宋体" w:cs="宋体"/>
              <w:sz w:val="24"/>
              <w:szCs w:val="36"/>
              <w:lang w:val="en-US" w:eastAsia="zh-CN" w:bidi="ar-SA"/>
            </w:rPr>
            <w:t>章</w:t>
          </w:r>
          <w:r>
            <w:rPr>
              <w:rFonts w:ascii="宋体" w:hAnsi="宋体" w:eastAsia="宋体" w:cs="宋体"/>
              <w:sz w:val="24"/>
              <w:szCs w:val="36"/>
              <w:lang w:val="en-US" w:eastAsia="zh-CN" w:bidi="ar-SA"/>
            </w:rPr>
            <w:t xml:space="preserve">  </w:t>
          </w:r>
          <w:r>
            <w:rPr>
              <w:rFonts w:hint="eastAsia" w:ascii="宋体" w:hAnsi="宋体" w:eastAsia="宋体" w:cs="宋体"/>
              <w:sz w:val="24"/>
              <w:szCs w:val="36"/>
              <w:lang w:val="en-US" w:eastAsia="zh-CN" w:bidi="ar-SA"/>
            </w:rPr>
            <w:t>竞争性磋商</w:t>
          </w:r>
          <w:r>
            <w:rPr>
              <w:rFonts w:ascii="宋体" w:hAnsi="宋体" w:eastAsia="宋体" w:cs="宋体"/>
              <w:sz w:val="24"/>
              <w:szCs w:val="36"/>
              <w:lang w:val="en-US" w:eastAsia="zh-CN" w:bidi="ar-SA"/>
            </w:rPr>
            <w:t>公告</w:t>
          </w:r>
          <w:r>
            <w:rPr>
              <w:sz w:val="24"/>
              <w:szCs w:val="28"/>
            </w:rPr>
            <w:tab/>
          </w:r>
          <w:r>
            <w:rPr>
              <w:sz w:val="24"/>
              <w:szCs w:val="28"/>
            </w:rPr>
            <w:fldChar w:fldCharType="begin"/>
          </w:r>
          <w:r>
            <w:rPr>
              <w:sz w:val="24"/>
              <w:szCs w:val="28"/>
            </w:rPr>
            <w:instrText xml:space="preserve"> PAGEREF _Toc20077 \h </w:instrText>
          </w:r>
          <w:r>
            <w:rPr>
              <w:sz w:val="24"/>
              <w:szCs w:val="28"/>
            </w:rPr>
            <w:fldChar w:fldCharType="separate"/>
          </w:r>
          <w:r>
            <w:rPr>
              <w:sz w:val="24"/>
              <w:szCs w:val="28"/>
            </w:rPr>
            <w:t>3</w:t>
          </w:r>
          <w:r>
            <w:rPr>
              <w:sz w:val="24"/>
              <w:szCs w:val="28"/>
            </w:rPr>
            <w:fldChar w:fldCharType="end"/>
          </w:r>
          <w:r>
            <w:rPr>
              <w:rFonts w:hint="eastAsia" w:ascii="等线" w:hAnsi="等线" w:eastAsia="等线" w:cs="Times New Roman"/>
              <w:color w:val="auto"/>
              <w:kern w:val="2"/>
              <w:sz w:val="24"/>
              <w:szCs w:val="28"/>
              <w:highlight w:val="none"/>
              <w:lang w:val="en-US" w:eastAsia="zh-CN" w:bidi="ar-SA"/>
            </w:rPr>
            <w:fldChar w:fldCharType="end"/>
          </w:r>
        </w:p>
        <w:p w14:paraId="2E2341EF">
          <w:pPr>
            <w:pStyle w:val="18"/>
            <w:keepNext w:val="0"/>
            <w:keepLines w:val="0"/>
            <w:pageBreakBefore w:val="0"/>
            <w:widowControl w:val="0"/>
            <w:tabs>
              <w:tab w:val="right" w:leader="dot" w:pos="9026"/>
            </w:tabs>
            <w:kinsoku/>
            <w:wordWrap/>
            <w:overflowPunct/>
            <w:topLinePunct w:val="0"/>
            <w:autoSpaceDE/>
            <w:autoSpaceDN/>
            <w:bidi w:val="0"/>
            <w:adjustRightInd/>
            <w:snapToGrid/>
            <w:spacing w:line="480" w:lineRule="auto"/>
            <w:textAlignment w:val="auto"/>
            <w:rPr>
              <w:sz w:val="24"/>
              <w:szCs w:val="28"/>
            </w:rPr>
          </w:pPr>
          <w:r>
            <w:rPr>
              <w:rFonts w:hint="eastAsia" w:ascii="等线" w:hAnsi="等线" w:eastAsia="等线" w:cs="Times New Roman"/>
              <w:color w:val="auto"/>
              <w:kern w:val="2"/>
              <w:sz w:val="24"/>
              <w:szCs w:val="28"/>
              <w:highlight w:val="none"/>
              <w:lang w:val="en-US" w:eastAsia="zh-CN" w:bidi="ar-SA"/>
            </w:rPr>
            <w:fldChar w:fldCharType="begin"/>
          </w:r>
          <w:r>
            <w:rPr>
              <w:rFonts w:hint="eastAsia" w:ascii="等线" w:hAnsi="等线" w:eastAsia="等线" w:cs="Times New Roman"/>
              <w:kern w:val="2"/>
              <w:sz w:val="24"/>
              <w:szCs w:val="28"/>
              <w:highlight w:val="none"/>
              <w:lang w:val="en-US" w:eastAsia="zh-CN" w:bidi="ar-SA"/>
            </w:rPr>
            <w:instrText xml:space="preserve"> HYPERLINK \l _Toc22113 </w:instrText>
          </w:r>
          <w:r>
            <w:rPr>
              <w:rFonts w:hint="eastAsia" w:ascii="等线" w:hAnsi="等线" w:eastAsia="等线" w:cs="Times New Roman"/>
              <w:kern w:val="2"/>
              <w:sz w:val="24"/>
              <w:szCs w:val="28"/>
              <w:highlight w:val="none"/>
              <w:lang w:val="en-US" w:eastAsia="zh-CN" w:bidi="ar-SA"/>
            </w:rPr>
            <w:fldChar w:fldCharType="separate"/>
          </w:r>
          <w:r>
            <w:rPr>
              <w:rFonts w:hint="eastAsia" w:ascii="宋体" w:hAnsi="宋体" w:eastAsia="宋体" w:cs="宋体"/>
              <w:sz w:val="24"/>
              <w:szCs w:val="28"/>
              <w:highlight w:val="none"/>
            </w:rPr>
            <w:t>第二章  供应商须知</w:t>
          </w:r>
          <w:r>
            <w:rPr>
              <w:sz w:val="24"/>
              <w:szCs w:val="28"/>
            </w:rPr>
            <w:tab/>
          </w:r>
          <w:r>
            <w:rPr>
              <w:sz w:val="24"/>
              <w:szCs w:val="28"/>
            </w:rPr>
            <w:fldChar w:fldCharType="begin"/>
          </w:r>
          <w:r>
            <w:rPr>
              <w:sz w:val="24"/>
              <w:szCs w:val="28"/>
            </w:rPr>
            <w:instrText xml:space="preserve"> PAGEREF _Toc22113 \h </w:instrText>
          </w:r>
          <w:r>
            <w:rPr>
              <w:sz w:val="24"/>
              <w:szCs w:val="28"/>
            </w:rPr>
            <w:fldChar w:fldCharType="separate"/>
          </w:r>
          <w:r>
            <w:rPr>
              <w:sz w:val="24"/>
              <w:szCs w:val="28"/>
            </w:rPr>
            <w:t>11</w:t>
          </w:r>
          <w:r>
            <w:rPr>
              <w:sz w:val="24"/>
              <w:szCs w:val="28"/>
            </w:rPr>
            <w:fldChar w:fldCharType="end"/>
          </w:r>
          <w:r>
            <w:rPr>
              <w:rFonts w:hint="eastAsia" w:ascii="等线" w:hAnsi="等线" w:eastAsia="等线" w:cs="Times New Roman"/>
              <w:color w:val="auto"/>
              <w:kern w:val="2"/>
              <w:sz w:val="24"/>
              <w:szCs w:val="28"/>
              <w:highlight w:val="none"/>
              <w:lang w:val="en-US" w:eastAsia="zh-CN" w:bidi="ar-SA"/>
            </w:rPr>
            <w:fldChar w:fldCharType="end"/>
          </w:r>
        </w:p>
        <w:p w14:paraId="53D5B35D">
          <w:pPr>
            <w:pStyle w:val="18"/>
            <w:keepNext w:val="0"/>
            <w:keepLines w:val="0"/>
            <w:pageBreakBefore w:val="0"/>
            <w:widowControl w:val="0"/>
            <w:tabs>
              <w:tab w:val="right" w:leader="dot" w:pos="9026"/>
            </w:tabs>
            <w:kinsoku/>
            <w:wordWrap/>
            <w:overflowPunct/>
            <w:topLinePunct w:val="0"/>
            <w:autoSpaceDE/>
            <w:autoSpaceDN/>
            <w:bidi w:val="0"/>
            <w:adjustRightInd/>
            <w:snapToGrid/>
            <w:spacing w:line="480" w:lineRule="auto"/>
            <w:textAlignment w:val="auto"/>
            <w:rPr>
              <w:sz w:val="24"/>
              <w:szCs w:val="28"/>
            </w:rPr>
          </w:pPr>
          <w:r>
            <w:rPr>
              <w:rFonts w:hint="eastAsia" w:ascii="等线" w:hAnsi="等线" w:eastAsia="等线" w:cs="Times New Roman"/>
              <w:color w:val="auto"/>
              <w:kern w:val="2"/>
              <w:sz w:val="24"/>
              <w:szCs w:val="28"/>
              <w:highlight w:val="none"/>
              <w:lang w:val="en-US" w:eastAsia="zh-CN" w:bidi="ar-SA"/>
            </w:rPr>
            <w:fldChar w:fldCharType="begin"/>
          </w:r>
          <w:r>
            <w:rPr>
              <w:rFonts w:hint="eastAsia" w:ascii="等线" w:hAnsi="等线" w:eastAsia="等线" w:cs="Times New Roman"/>
              <w:kern w:val="2"/>
              <w:sz w:val="24"/>
              <w:szCs w:val="28"/>
              <w:highlight w:val="none"/>
              <w:lang w:val="en-US" w:eastAsia="zh-CN" w:bidi="ar-SA"/>
            </w:rPr>
            <w:instrText xml:space="preserve"> HYPERLINK \l _Toc16999 </w:instrText>
          </w:r>
          <w:r>
            <w:rPr>
              <w:rFonts w:hint="eastAsia" w:ascii="等线" w:hAnsi="等线" w:eastAsia="等线" w:cs="Times New Roman"/>
              <w:kern w:val="2"/>
              <w:sz w:val="24"/>
              <w:szCs w:val="28"/>
              <w:highlight w:val="none"/>
              <w:lang w:val="en-US" w:eastAsia="zh-CN" w:bidi="ar-SA"/>
            </w:rPr>
            <w:fldChar w:fldCharType="separate"/>
          </w:r>
          <w:r>
            <w:rPr>
              <w:rFonts w:hint="eastAsia" w:ascii="宋体" w:hAnsi="宋体" w:eastAsia="宋体" w:cs="宋体"/>
              <w:sz w:val="24"/>
              <w:szCs w:val="28"/>
              <w:highlight w:val="none"/>
            </w:rPr>
            <w:t xml:space="preserve">第三章 </w:t>
          </w:r>
          <w:r>
            <w:rPr>
              <w:rFonts w:hint="eastAsia" w:ascii="宋体" w:hAnsi="宋体" w:eastAsia="宋体" w:cs="宋体"/>
              <w:sz w:val="24"/>
              <w:szCs w:val="28"/>
              <w:highlight w:val="none"/>
              <w:lang w:val="en-US" w:eastAsia="zh-CN"/>
            </w:rPr>
            <w:t xml:space="preserve"> </w:t>
          </w:r>
          <w:r>
            <w:rPr>
              <w:rFonts w:hint="eastAsia" w:ascii="宋体" w:hAnsi="宋体" w:eastAsia="宋体" w:cs="宋体"/>
              <w:sz w:val="24"/>
              <w:szCs w:val="28"/>
              <w:highlight w:val="none"/>
            </w:rPr>
            <w:t>资格审查</w:t>
          </w:r>
          <w:r>
            <w:rPr>
              <w:sz w:val="24"/>
              <w:szCs w:val="28"/>
            </w:rPr>
            <w:tab/>
          </w:r>
          <w:r>
            <w:rPr>
              <w:sz w:val="24"/>
              <w:szCs w:val="28"/>
            </w:rPr>
            <w:fldChar w:fldCharType="begin"/>
          </w:r>
          <w:r>
            <w:rPr>
              <w:sz w:val="24"/>
              <w:szCs w:val="28"/>
            </w:rPr>
            <w:instrText xml:space="preserve"> PAGEREF _Toc16999 \h </w:instrText>
          </w:r>
          <w:r>
            <w:rPr>
              <w:sz w:val="24"/>
              <w:szCs w:val="28"/>
            </w:rPr>
            <w:fldChar w:fldCharType="separate"/>
          </w:r>
          <w:r>
            <w:rPr>
              <w:sz w:val="24"/>
              <w:szCs w:val="28"/>
            </w:rPr>
            <w:t>37</w:t>
          </w:r>
          <w:r>
            <w:rPr>
              <w:sz w:val="24"/>
              <w:szCs w:val="28"/>
            </w:rPr>
            <w:fldChar w:fldCharType="end"/>
          </w:r>
          <w:r>
            <w:rPr>
              <w:rFonts w:hint="eastAsia" w:ascii="等线" w:hAnsi="等线" w:eastAsia="等线" w:cs="Times New Roman"/>
              <w:color w:val="auto"/>
              <w:kern w:val="2"/>
              <w:sz w:val="24"/>
              <w:szCs w:val="28"/>
              <w:highlight w:val="none"/>
              <w:lang w:val="en-US" w:eastAsia="zh-CN" w:bidi="ar-SA"/>
            </w:rPr>
            <w:fldChar w:fldCharType="end"/>
          </w:r>
        </w:p>
        <w:p w14:paraId="5384602B">
          <w:pPr>
            <w:pStyle w:val="18"/>
            <w:keepNext w:val="0"/>
            <w:keepLines w:val="0"/>
            <w:pageBreakBefore w:val="0"/>
            <w:widowControl w:val="0"/>
            <w:tabs>
              <w:tab w:val="right" w:leader="dot" w:pos="9026"/>
            </w:tabs>
            <w:kinsoku/>
            <w:wordWrap/>
            <w:overflowPunct/>
            <w:topLinePunct w:val="0"/>
            <w:autoSpaceDE/>
            <w:autoSpaceDN/>
            <w:bidi w:val="0"/>
            <w:adjustRightInd/>
            <w:snapToGrid/>
            <w:spacing w:line="480" w:lineRule="auto"/>
            <w:textAlignment w:val="auto"/>
            <w:rPr>
              <w:sz w:val="24"/>
              <w:szCs w:val="28"/>
            </w:rPr>
          </w:pPr>
          <w:r>
            <w:rPr>
              <w:rFonts w:hint="eastAsia" w:ascii="等线" w:hAnsi="等线" w:eastAsia="等线" w:cs="Times New Roman"/>
              <w:color w:val="auto"/>
              <w:kern w:val="2"/>
              <w:sz w:val="24"/>
              <w:szCs w:val="28"/>
              <w:highlight w:val="none"/>
              <w:lang w:val="en-US" w:eastAsia="zh-CN" w:bidi="ar-SA"/>
            </w:rPr>
            <w:fldChar w:fldCharType="begin"/>
          </w:r>
          <w:r>
            <w:rPr>
              <w:rFonts w:hint="eastAsia" w:ascii="等线" w:hAnsi="等线" w:eastAsia="等线" w:cs="Times New Roman"/>
              <w:kern w:val="2"/>
              <w:sz w:val="24"/>
              <w:szCs w:val="28"/>
              <w:highlight w:val="none"/>
              <w:lang w:val="en-US" w:eastAsia="zh-CN" w:bidi="ar-SA"/>
            </w:rPr>
            <w:instrText xml:space="preserve"> HYPERLINK \l _Toc12003 </w:instrText>
          </w:r>
          <w:r>
            <w:rPr>
              <w:rFonts w:hint="eastAsia" w:ascii="等线" w:hAnsi="等线" w:eastAsia="等线" w:cs="Times New Roman"/>
              <w:kern w:val="2"/>
              <w:sz w:val="24"/>
              <w:szCs w:val="28"/>
              <w:highlight w:val="none"/>
              <w:lang w:val="en-US" w:eastAsia="zh-CN" w:bidi="ar-SA"/>
            </w:rPr>
            <w:fldChar w:fldCharType="separate"/>
          </w:r>
          <w:r>
            <w:rPr>
              <w:rFonts w:hint="eastAsia" w:ascii="宋体" w:hAnsi="宋体" w:eastAsia="宋体" w:cs="宋体"/>
              <w:sz w:val="24"/>
              <w:szCs w:val="28"/>
              <w:highlight w:val="none"/>
            </w:rPr>
            <w:t>第四章  磋商办法</w:t>
          </w:r>
          <w:r>
            <w:rPr>
              <w:sz w:val="24"/>
              <w:szCs w:val="28"/>
            </w:rPr>
            <w:tab/>
          </w:r>
          <w:r>
            <w:rPr>
              <w:sz w:val="24"/>
              <w:szCs w:val="28"/>
            </w:rPr>
            <w:fldChar w:fldCharType="begin"/>
          </w:r>
          <w:r>
            <w:rPr>
              <w:sz w:val="24"/>
              <w:szCs w:val="28"/>
            </w:rPr>
            <w:instrText xml:space="preserve"> PAGEREF _Toc12003 \h </w:instrText>
          </w:r>
          <w:r>
            <w:rPr>
              <w:sz w:val="24"/>
              <w:szCs w:val="28"/>
            </w:rPr>
            <w:fldChar w:fldCharType="separate"/>
          </w:r>
          <w:r>
            <w:rPr>
              <w:sz w:val="24"/>
              <w:szCs w:val="28"/>
            </w:rPr>
            <w:t>41</w:t>
          </w:r>
          <w:r>
            <w:rPr>
              <w:sz w:val="24"/>
              <w:szCs w:val="28"/>
            </w:rPr>
            <w:fldChar w:fldCharType="end"/>
          </w:r>
          <w:r>
            <w:rPr>
              <w:rFonts w:hint="eastAsia" w:ascii="等线" w:hAnsi="等线" w:eastAsia="等线" w:cs="Times New Roman"/>
              <w:color w:val="auto"/>
              <w:kern w:val="2"/>
              <w:sz w:val="24"/>
              <w:szCs w:val="28"/>
              <w:highlight w:val="none"/>
              <w:lang w:val="en-US" w:eastAsia="zh-CN" w:bidi="ar-SA"/>
            </w:rPr>
            <w:fldChar w:fldCharType="end"/>
          </w:r>
        </w:p>
        <w:p w14:paraId="74B711AC">
          <w:pPr>
            <w:pStyle w:val="18"/>
            <w:keepNext w:val="0"/>
            <w:keepLines w:val="0"/>
            <w:pageBreakBefore w:val="0"/>
            <w:widowControl w:val="0"/>
            <w:tabs>
              <w:tab w:val="right" w:leader="dot" w:pos="9026"/>
            </w:tabs>
            <w:kinsoku/>
            <w:wordWrap/>
            <w:overflowPunct/>
            <w:topLinePunct w:val="0"/>
            <w:autoSpaceDE/>
            <w:autoSpaceDN/>
            <w:bidi w:val="0"/>
            <w:adjustRightInd/>
            <w:snapToGrid/>
            <w:spacing w:line="480" w:lineRule="auto"/>
            <w:textAlignment w:val="auto"/>
            <w:rPr>
              <w:sz w:val="24"/>
              <w:szCs w:val="28"/>
            </w:rPr>
          </w:pPr>
          <w:r>
            <w:rPr>
              <w:rFonts w:hint="eastAsia" w:ascii="等线" w:hAnsi="等线" w:eastAsia="等线" w:cs="Times New Roman"/>
              <w:color w:val="auto"/>
              <w:kern w:val="2"/>
              <w:sz w:val="24"/>
              <w:szCs w:val="28"/>
              <w:highlight w:val="none"/>
              <w:lang w:val="en-US" w:eastAsia="zh-CN" w:bidi="ar-SA"/>
            </w:rPr>
            <w:fldChar w:fldCharType="begin"/>
          </w:r>
          <w:r>
            <w:rPr>
              <w:rFonts w:hint="eastAsia" w:ascii="等线" w:hAnsi="等线" w:eastAsia="等线" w:cs="Times New Roman"/>
              <w:kern w:val="2"/>
              <w:sz w:val="24"/>
              <w:szCs w:val="28"/>
              <w:highlight w:val="none"/>
              <w:lang w:val="en-US" w:eastAsia="zh-CN" w:bidi="ar-SA"/>
            </w:rPr>
            <w:instrText xml:space="preserve"> HYPERLINK \l _Toc25401 </w:instrText>
          </w:r>
          <w:r>
            <w:rPr>
              <w:rFonts w:hint="eastAsia" w:ascii="等线" w:hAnsi="等线" w:eastAsia="等线" w:cs="Times New Roman"/>
              <w:kern w:val="2"/>
              <w:sz w:val="24"/>
              <w:szCs w:val="28"/>
              <w:highlight w:val="none"/>
              <w:lang w:val="en-US" w:eastAsia="zh-CN" w:bidi="ar-SA"/>
            </w:rPr>
            <w:fldChar w:fldCharType="separate"/>
          </w:r>
          <w:r>
            <w:rPr>
              <w:rFonts w:hint="eastAsia" w:ascii="宋体" w:hAnsi="宋体" w:eastAsia="宋体" w:cs="宋体"/>
              <w:sz w:val="24"/>
              <w:szCs w:val="28"/>
              <w:highlight w:val="none"/>
            </w:rPr>
            <w:t>第五章  磋商内容及采购要求</w:t>
          </w:r>
          <w:r>
            <w:rPr>
              <w:sz w:val="24"/>
              <w:szCs w:val="28"/>
            </w:rPr>
            <w:tab/>
          </w:r>
          <w:r>
            <w:rPr>
              <w:sz w:val="24"/>
              <w:szCs w:val="28"/>
            </w:rPr>
            <w:fldChar w:fldCharType="begin"/>
          </w:r>
          <w:r>
            <w:rPr>
              <w:sz w:val="24"/>
              <w:szCs w:val="28"/>
            </w:rPr>
            <w:instrText xml:space="preserve"> PAGEREF _Toc25401 \h </w:instrText>
          </w:r>
          <w:r>
            <w:rPr>
              <w:sz w:val="24"/>
              <w:szCs w:val="28"/>
            </w:rPr>
            <w:fldChar w:fldCharType="separate"/>
          </w:r>
          <w:r>
            <w:rPr>
              <w:sz w:val="24"/>
              <w:szCs w:val="28"/>
            </w:rPr>
            <w:t>54</w:t>
          </w:r>
          <w:r>
            <w:rPr>
              <w:sz w:val="24"/>
              <w:szCs w:val="28"/>
            </w:rPr>
            <w:fldChar w:fldCharType="end"/>
          </w:r>
          <w:r>
            <w:rPr>
              <w:rFonts w:hint="eastAsia" w:ascii="等线" w:hAnsi="等线" w:eastAsia="等线" w:cs="Times New Roman"/>
              <w:color w:val="auto"/>
              <w:kern w:val="2"/>
              <w:sz w:val="24"/>
              <w:szCs w:val="28"/>
              <w:highlight w:val="none"/>
              <w:lang w:val="en-US" w:eastAsia="zh-CN" w:bidi="ar-SA"/>
            </w:rPr>
            <w:fldChar w:fldCharType="end"/>
          </w:r>
        </w:p>
        <w:p w14:paraId="1F2131CE">
          <w:pPr>
            <w:pStyle w:val="18"/>
            <w:keepNext w:val="0"/>
            <w:keepLines w:val="0"/>
            <w:pageBreakBefore w:val="0"/>
            <w:widowControl w:val="0"/>
            <w:tabs>
              <w:tab w:val="right" w:leader="dot" w:pos="9026"/>
            </w:tabs>
            <w:kinsoku/>
            <w:wordWrap/>
            <w:overflowPunct/>
            <w:topLinePunct w:val="0"/>
            <w:autoSpaceDE/>
            <w:autoSpaceDN/>
            <w:bidi w:val="0"/>
            <w:adjustRightInd/>
            <w:snapToGrid/>
            <w:spacing w:line="480" w:lineRule="auto"/>
            <w:textAlignment w:val="auto"/>
            <w:rPr>
              <w:sz w:val="24"/>
              <w:szCs w:val="28"/>
            </w:rPr>
          </w:pPr>
          <w:r>
            <w:rPr>
              <w:rFonts w:hint="eastAsia" w:ascii="等线" w:hAnsi="等线" w:eastAsia="等线" w:cs="Times New Roman"/>
              <w:color w:val="auto"/>
              <w:kern w:val="2"/>
              <w:sz w:val="24"/>
              <w:szCs w:val="28"/>
              <w:highlight w:val="none"/>
              <w:lang w:val="en-US" w:eastAsia="zh-CN" w:bidi="ar-SA"/>
            </w:rPr>
            <w:fldChar w:fldCharType="begin"/>
          </w:r>
          <w:r>
            <w:rPr>
              <w:rFonts w:hint="eastAsia" w:ascii="等线" w:hAnsi="等线" w:eastAsia="等线" w:cs="Times New Roman"/>
              <w:kern w:val="2"/>
              <w:sz w:val="24"/>
              <w:szCs w:val="28"/>
              <w:highlight w:val="none"/>
              <w:lang w:val="en-US" w:eastAsia="zh-CN" w:bidi="ar-SA"/>
            </w:rPr>
            <w:instrText xml:space="preserve"> HYPERLINK \l _Toc4776 </w:instrText>
          </w:r>
          <w:r>
            <w:rPr>
              <w:rFonts w:hint="eastAsia" w:ascii="等线" w:hAnsi="等线" w:eastAsia="等线" w:cs="Times New Roman"/>
              <w:kern w:val="2"/>
              <w:sz w:val="24"/>
              <w:szCs w:val="28"/>
              <w:highlight w:val="none"/>
              <w:lang w:val="en-US" w:eastAsia="zh-CN" w:bidi="ar-SA"/>
            </w:rPr>
            <w:fldChar w:fldCharType="separate"/>
          </w:r>
          <w:r>
            <w:rPr>
              <w:rFonts w:hint="eastAsia" w:ascii="宋体" w:hAnsi="宋体" w:eastAsia="宋体" w:cs="宋体"/>
              <w:sz w:val="24"/>
              <w:szCs w:val="28"/>
              <w:highlight w:val="none"/>
            </w:rPr>
            <w:t>第六章  合同草案条款</w:t>
          </w:r>
          <w:r>
            <w:rPr>
              <w:sz w:val="24"/>
              <w:szCs w:val="28"/>
            </w:rPr>
            <w:tab/>
          </w:r>
          <w:r>
            <w:rPr>
              <w:sz w:val="24"/>
              <w:szCs w:val="28"/>
            </w:rPr>
            <w:fldChar w:fldCharType="begin"/>
          </w:r>
          <w:r>
            <w:rPr>
              <w:sz w:val="24"/>
              <w:szCs w:val="28"/>
            </w:rPr>
            <w:instrText xml:space="preserve"> PAGEREF _Toc4776 \h </w:instrText>
          </w:r>
          <w:r>
            <w:rPr>
              <w:sz w:val="24"/>
              <w:szCs w:val="28"/>
            </w:rPr>
            <w:fldChar w:fldCharType="separate"/>
          </w:r>
          <w:r>
            <w:rPr>
              <w:sz w:val="24"/>
              <w:szCs w:val="28"/>
            </w:rPr>
            <w:t>56</w:t>
          </w:r>
          <w:r>
            <w:rPr>
              <w:sz w:val="24"/>
              <w:szCs w:val="28"/>
            </w:rPr>
            <w:fldChar w:fldCharType="end"/>
          </w:r>
          <w:r>
            <w:rPr>
              <w:rFonts w:hint="eastAsia" w:ascii="等线" w:hAnsi="等线" w:eastAsia="等线" w:cs="Times New Roman"/>
              <w:color w:val="auto"/>
              <w:kern w:val="2"/>
              <w:sz w:val="24"/>
              <w:szCs w:val="28"/>
              <w:highlight w:val="none"/>
              <w:lang w:val="en-US" w:eastAsia="zh-CN" w:bidi="ar-SA"/>
            </w:rPr>
            <w:fldChar w:fldCharType="end"/>
          </w:r>
        </w:p>
        <w:p w14:paraId="4B87DDA6">
          <w:pPr>
            <w:pStyle w:val="18"/>
            <w:keepNext w:val="0"/>
            <w:keepLines w:val="0"/>
            <w:pageBreakBefore w:val="0"/>
            <w:widowControl w:val="0"/>
            <w:tabs>
              <w:tab w:val="right" w:leader="dot" w:pos="9026"/>
            </w:tabs>
            <w:kinsoku/>
            <w:wordWrap/>
            <w:overflowPunct/>
            <w:topLinePunct w:val="0"/>
            <w:autoSpaceDE/>
            <w:autoSpaceDN/>
            <w:bidi w:val="0"/>
            <w:adjustRightInd/>
            <w:snapToGrid/>
            <w:spacing w:line="480" w:lineRule="auto"/>
            <w:textAlignment w:val="auto"/>
            <w:rPr>
              <w:sz w:val="24"/>
              <w:szCs w:val="28"/>
            </w:rPr>
          </w:pPr>
          <w:r>
            <w:rPr>
              <w:rFonts w:hint="eastAsia" w:ascii="等线" w:hAnsi="等线" w:eastAsia="等线" w:cs="Times New Roman"/>
              <w:color w:val="auto"/>
              <w:kern w:val="2"/>
              <w:sz w:val="24"/>
              <w:szCs w:val="28"/>
              <w:highlight w:val="none"/>
              <w:lang w:val="en-US" w:eastAsia="zh-CN" w:bidi="ar-SA"/>
            </w:rPr>
            <w:fldChar w:fldCharType="begin"/>
          </w:r>
          <w:r>
            <w:rPr>
              <w:rFonts w:hint="eastAsia" w:ascii="等线" w:hAnsi="等线" w:eastAsia="等线" w:cs="Times New Roman"/>
              <w:kern w:val="2"/>
              <w:sz w:val="24"/>
              <w:szCs w:val="28"/>
              <w:highlight w:val="none"/>
              <w:lang w:val="en-US" w:eastAsia="zh-CN" w:bidi="ar-SA"/>
            </w:rPr>
            <w:instrText xml:space="preserve"> HYPERLINK \l _Toc11388 </w:instrText>
          </w:r>
          <w:r>
            <w:rPr>
              <w:rFonts w:hint="eastAsia" w:ascii="等线" w:hAnsi="等线" w:eastAsia="等线" w:cs="Times New Roman"/>
              <w:kern w:val="2"/>
              <w:sz w:val="24"/>
              <w:szCs w:val="28"/>
              <w:highlight w:val="none"/>
              <w:lang w:val="en-US" w:eastAsia="zh-CN" w:bidi="ar-SA"/>
            </w:rPr>
            <w:fldChar w:fldCharType="separate"/>
          </w:r>
          <w:r>
            <w:rPr>
              <w:rFonts w:hint="eastAsia" w:ascii="宋体" w:hAnsi="宋体" w:eastAsia="宋体" w:cs="宋体"/>
              <w:sz w:val="24"/>
              <w:szCs w:val="28"/>
              <w:highlight w:val="none"/>
            </w:rPr>
            <w:t>第七章  响应文件构成及格式</w:t>
          </w:r>
          <w:r>
            <w:rPr>
              <w:sz w:val="24"/>
              <w:szCs w:val="28"/>
            </w:rPr>
            <w:tab/>
          </w:r>
          <w:r>
            <w:rPr>
              <w:sz w:val="24"/>
              <w:szCs w:val="28"/>
            </w:rPr>
            <w:fldChar w:fldCharType="begin"/>
          </w:r>
          <w:r>
            <w:rPr>
              <w:sz w:val="24"/>
              <w:szCs w:val="28"/>
            </w:rPr>
            <w:instrText xml:space="preserve"> PAGEREF _Toc11388 \h </w:instrText>
          </w:r>
          <w:r>
            <w:rPr>
              <w:sz w:val="24"/>
              <w:szCs w:val="28"/>
            </w:rPr>
            <w:fldChar w:fldCharType="separate"/>
          </w:r>
          <w:r>
            <w:rPr>
              <w:sz w:val="24"/>
              <w:szCs w:val="28"/>
            </w:rPr>
            <w:t>62</w:t>
          </w:r>
          <w:r>
            <w:rPr>
              <w:sz w:val="24"/>
              <w:szCs w:val="28"/>
            </w:rPr>
            <w:fldChar w:fldCharType="end"/>
          </w:r>
          <w:r>
            <w:rPr>
              <w:rFonts w:hint="eastAsia" w:ascii="等线" w:hAnsi="等线" w:eastAsia="等线" w:cs="Times New Roman"/>
              <w:color w:val="auto"/>
              <w:kern w:val="2"/>
              <w:sz w:val="24"/>
              <w:szCs w:val="28"/>
              <w:highlight w:val="none"/>
              <w:lang w:val="en-US" w:eastAsia="zh-CN" w:bidi="ar-SA"/>
            </w:rPr>
            <w:fldChar w:fldCharType="end"/>
          </w:r>
        </w:p>
        <w:p w14:paraId="47D64DD2">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等线" w:hAnsi="等线" w:eastAsia="等线" w:cs="Times New Roman"/>
              <w:color w:val="auto"/>
              <w:kern w:val="2"/>
              <w:sz w:val="24"/>
              <w:szCs w:val="28"/>
              <w:highlight w:val="none"/>
              <w:lang w:val="en-US" w:eastAsia="zh-CN" w:bidi="ar-SA"/>
            </w:rPr>
          </w:pPr>
          <w:r>
            <w:rPr>
              <w:rFonts w:hint="eastAsia" w:ascii="等线" w:hAnsi="等线" w:eastAsia="等线" w:cs="Times New Roman"/>
              <w:color w:val="auto"/>
              <w:kern w:val="2"/>
              <w:sz w:val="24"/>
              <w:szCs w:val="28"/>
              <w:highlight w:val="none"/>
              <w:lang w:val="en-US" w:eastAsia="zh-CN" w:bidi="ar-SA"/>
            </w:rPr>
            <w:fldChar w:fldCharType="end"/>
          </w:r>
        </w:p>
      </w:sdtContent>
    </w:sdt>
    <w:p w14:paraId="0C47BFC3">
      <w:pPr>
        <w:spacing w:line="460" w:lineRule="atLeast"/>
        <w:rPr>
          <w:rFonts w:hint="eastAsia" w:ascii="等线" w:hAnsi="等线" w:eastAsia="等线" w:cs="Times New Roman"/>
          <w:color w:val="auto"/>
          <w:kern w:val="2"/>
          <w:sz w:val="21"/>
          <w:szCs w:val="22"/>
          <w:highlight w:val="none"/>
          <w:lang w:val="en-US" w:eastAsia="zh-CN" w:bidi="ar-SA"/>
        </w:rPr>
      </w:pPr>
    </w:p>
    <w:p w14:paraId="18CF7D0D">
      <w:pPr>
        <w:spacing w:line="460" w:lineRule="atLeast"/>
        <w:rPr>
          <w:rFonts w:hint="eastAsia" w:ascii="宋体" w:hAnsi="宋体" w:eastAsia="宋体" w:cs="宋体"/>
          <w:color w:val="auto"/>
          <w:highlight w:val="none"/>
        </w:rPr>
      </w:pPr>
      <w:r>
        <w:rPr>
          <w:rFonts w:hint="eastAsia" w:ascii="宋体" w:hAnsi="宋体" w:eastAsia="宋体" w:cs="宋体"/>
          <w:bCs/>
          <w:color w:val="auto"/>
          <w:sz w:val="24"/>
          <w:szCs w:val="24"/>
          <w:highlight w:val="none"/>
          <w:lang w:val="zh-CN"/>
        </w:rPr>
        <w:fldChar w:fldCharType="end"/>
      </w:r>
    </w:p>
    <w:p w14:paraId="6AFD2141">
      <w:pPr>
        <w:spacing w:line="460" w:lineRule="atLeast"/>
        <w:rPr>
          <w:rFonts w:hint="eastAsia" w:ascii="宋体" w:hAnsi="宋体" w:eastAsia="宋体" w:cs="宋体"/>
          <w:color w:val="auto"/>
          <w:highlight w:val="none"/>
        </w:rPr>
      </w:pPr>
    </w:p>
    <w:p w14:paraId="7B9663DD">
      <w:pPr>
        <w:pStyle w:val="31"/>
        <w:spacing w:before="381" w:after="381" w:line="460" w:lineRule="atLeast"/>
        <w:outlineLvl w:val="0"/>
        <w:rPr>
          <w:rFonts w:hint="default" w:ascii="宋体" w:hAnsi="宋体" w:eastAsia="宋体" w:cs="宋体"/>
          <w:color w:val="auto"/>
          <w:highlight w:val="none"/>
          <w:lang w:val="en-US" w:eastAsia="zh-CN"/>
        </w:rPr>
        <w:sectPr>
          <w:pgSz w:w="11906" w:h="16838"/>
          <w:pgMar w:top="1440" w:right="1440" w:bottom="1440" w:left="1440" w:header="851" w:footer="992" w:gutter="0"/>
          <w:cols w:space="720" w:num="1"/>
          <w:docGrid w:linePitch="312" w:charSpace="0"/>
        </w:sectPr>
      </w:pPr>
      <w:bookmarkStart w:id="2" w:name="_Toc162282437"/>
      <w:r>
        <w:rPr>
          <w:rFonts w:hint="eastAsia" w:ascii="宋体" w:hAnsi="宋体" w:eastAsia="宋体" w:cs="宋体"/>
          <w:color w:val="auto"/>
          <w:highlight w:val="none"/>
          <w:lang w:val="en-US" w:eastAsia="zh-CN"/>
        </w:rPr>
        <w:t xml:space="preserve">                                                                                             </w:t>
      </w:r>
    </w:p>
    <w:bookmarkEnd w:id="2"/>
    <w:p w14:paraId="07BABC7E">
      <w:pPr>
        <w:keepNext w:val="0"/>
        <w:keepLines w:val="0"/>
        <w:pageBreakBefore w:val="0"/>
        <w:kinsoku/>
        <w:overflowPunct/>
        <w:topLinePunct w:val="0"/>
        <w:autoSpaceDE/>
        <w:autoSpaceDN/>
        <w:bidi w:val="0"/>
        <w:adjustRightInd/>
        <w:snapToGrid w:val="0"/>
        <w:spacing w:line="360" w:lineRule="auto"/>
        <w:jc w:val="center"/>
        <w:textAlignment w:val="auto"/>
        <w:outlineLvl w:val="0"/>
        <w:rPr>
          <w:rFonts w:ascii="宋体" w:hAnsi="宋体" w:eastAsia="宋体" w:cs="宋体"/>
          <w:b/>
          <w:color w:val="auto"/>
          <w:sz w:val="28"/>
          <w:szCs w:val="28"/>
          <w:lang w:val="en-US" w:eastAsia="zh-CN" w:bidi="ar-SA"/>
        </w:rPr>
      </w:pPr>
      <w:bookmarkStart w:id="3" w:name="_Toc20077"/>
      <w:r>
        <w:rPr>
          <w:rFonts w:ascii="宋体" w:hAnsi="宋体" w:eastAsia="宋体" w:cs="宋体"/>
          <w:b/>
          <w:color w:val="auto"/>
          <w:sz w:val="28"/>
          <w:szCs w:val="28"/>
          <w:lang w:val="en-US" w:eastAsia="zh-CN" w:bidi="ar-SA"/>
        </w:rPr>
        <w:t>第一</w:t>
      </w:r>
      <w:r>
        <w:rPr>
          <w:rFonts w:hint="eastAsia" w:ascii="宋体" w:hAnsi="宋体" w:eastAsia="宋体" w:cs="宋体"/>
          <w:b/>
          <w:color w:val="auto"/>
          <w:sz w:val="28"/>
          <w:szCs w:val="28"/>
          <w:lang w:val="en-US" w:eastAsia="zh-CN" w:bidi="ar-SA"/>
        </w:rPr>
        <w:t>章</w:t>
      </w:r>
      <w:r>
        <w:rPr>
          <w:rFonts w:ascii="宋体" w:hAnsi="宋体" w:eastAsia="宋体" w:cs="宋体"/>
          <w:b/>
          <w:color w:val="auto"/>
          <w:sz w:val="28"/>
          <w:szCs w:val="28"/>
          <w:lang w:val="en-US" w:eastAsia="zh-CN" w:bidi="ar-SA"/>
        </w:rPr>
        <w:t xml:space="preserve">  </w:t>
      </w:r>
      <w:r>
        <w:rPr>
          <w:rFonts w:hint="eastAsia" w:ascii="宋体" w:hAnsi="宋体" w:eastAsia="宋体" w:cs="宋体"/>
          <w:b/>
          <w:color w:val="auto"/>
          <w:sz w:val="28"/>
          <w:szCs w:val="28"/>
          <w:lang w:val="en-US" w:eastAsia="zh-CN" w:bidi="ar-SA"/>
        </w:rPr>
        <w:t>竞争性磋商</w:t>
      </w:r>
      <w:r>
        <w:rPr>
          <w:rFonts w:ascii="宋体" w:hAnsi="宋体" w:eastAsia="宋体" w:cs="宋体"/>
          <w:b/>
          <w:color w:val="auto"/>
          <w:sz w:val="28"/>
          <w:szCs w:val="28"/>
          <w:lang w:val="en-US" w:eastAsia="zh-CN" w:bidi="ar-SA"/>
        </w:rPr>
        <w:t>公告</w:t>
      </w:r>
      <w:bookmarkEnd w:id="3"/>
    </w:p>
    <w:p w14:paraId="2A4575E6">
      <w:pPr>
        <w:keepNext w:val="0"/>
        <w:keepLines w:val="0"/>
        <w:pageBreakBefore w:val="0"/>
        <w:widowControl w:val="0"/>
        <w:kinsoku/>
        <w:overflowPunct/>
        <w:topLinePunct w:val="0"/>
        <w:autoSpaceDE/>
        <w:autoSpaceDN/>
        <w:bidi w:val="0"/>
        <w:adjustRightInd/>
        <w:spacing w:line="360" w:lineRule="auto"/>
        <w:ind w:left="0" w:leftChars="0" w:firstLine="478" w:firstLineChars="228"/>
        <w:jc w:val="both"/>
        <w:textAlignment w:val="auto"/>
        <w:rPr>
          <w:rFonts w:hint="eastAsia" w:ascii="宋体" w:hAnsi="宋体" w:eastAsia="宋体" w:cs="Times New Roman"/>
          <w:b w:val="0"/>
          <w:bCs w:val="0"/>
          <w:color w:val="auto"/>
          <w:kern w:val="2"/>
          <w:sz w:val="21"/>
          <w:szCs w:val="21"/>
          <w:lang w:val="en-US" w:eastAsia="zh-CN" w:bidi="ar-SA"/>
        </w:rPr>
      </w:pPr>
      <w:r>
        <w:rPr>
          <w:rFonts w:hint="eastAsia" w:ascii="宋体" w:hAnsi="宋体" w:eastAsia="宋体" w:cs="Times New Roman"/>
          <w:b w:val="0"/>
          <w:bCs w:val="0"/>
          <w:color w:val="auto"/>
          <w:kern w:val="2"/>
          <w:sz w:val="21"/>
          <w:szCs w:val="21"/>
          <w:lang w:val="en-US" w:eastAsia="zh-CN" w:bidi="ar-SA"/>
        </w:rPr>
        <w:t>项目概况</w:t>
      </w:r>
    </w:p>
    <w:p w14:paraId="5814B4D2">
      <w:pPr>
        <w:keepNext w:val="0"/>
        <w:keepLines w:val="0"/>
        <w:pageBreakBefore w:val="0"/>
        <w:widowControl w:val="0"/>
        <w:kinsoku/>
        <w:overflowPunct/>
        <w:topLinePunct w:val="0"/>
        <w:autoSpaceDE/>
        <w:autoSpaceDN/>
        <w:bidi w:val="0"/>
        <w:adjustRightInd/>
        <w:spacing w:line="360" w:lineRule="auto"/>
        <w:ind w:left="0" w:leftChars="0" w:firstLine="478" w:firstLineChars="228"/>
        <w:jc w:val="both"/>
        <w:textAlignment w:val="auto"/>
        <w:rPr>
          <w:rFonts w:hint="eastAsia" w:ascii="宋体" w:hAnsi="宋体" w:eastAsia="宋体" w:cs="Times New Roman"/>
          <w:b w:val="0"/>
          <w:bCs w:val="0"/>
          <w:color w:val="auto"/>
          <w:kern w:val="2"/>
          <w:sz w:val="21"/>
          <w:szCs w:val="21"/>
          <w:lang w:val="en-US" w:eastAsia="zh-CN" w:bidi="ar-SA"/>
        </w:rPr>
      </w:pPr>
      <w:r>
        <w:rPr>
          <w:rFonts w:hint="eastAsia" w:ascii="宋体" w:hAnsi="宋体" w:eastAsia="宋体" w:cs="Times New Roman"/>
          <w:b w:val="0"/>
          <w:bCs w:val="0"/>
          <w:color w:val="auto"/>
          <w:kern w:val="2"/>
          <w:sz w:val="21"/>
          <w:szCs w:val="21"/>
          <w:lang w:val="en-US" w:eastAsia="zh-CN" w:bidi="ar-SA"/>
        </w:rPr>
        <w:t>旬邑县养老中心服务设施提升改造项目检测及监测服务的潜在供应商应在陕西省西安市雁塔区高新三路财富中心二期B座906室获取采购文件，并于2026年9月22日14时30分（北京时间）前提交响应文件。</w:t>
      </w:r>
    </w:p>
    <w:p w14:paraId="0FFF57D9">
      <w:pPr>
        <w:keepNext w:val="0"/>
        <w:keepLines w:val="0"/>
        <w:pageBreakBefore w:val="0"/>
        <w:kinsoku/>
        <w:overflowPunct/>
        <w:topLinePunct w:val="0"/>
        <w:autoSpaceDE/>
        <w:autoSpaceDN/>
        <w:bidi w:val="0"/>
        <w:adjustRightInd/>
        <w:snapToGrid w:val="0"/>
        <w:spacing w:line="360" w:lineRule="auto"/>
        <w:textAlignment w:val="auto"/>
        <w:rPr>
          <w:rStyle w:val="26"/>
          <w:rFonts w:hint="eastAsia" w:ascii="宋体" w:hAnsi="宋体" w:eastAsia="宋体" w:cs="宋体"/>
          <w:color w:val="auto"/>
          <w:sz w:val="18"/>
          <w:szCs w:val="18"/>
          <w:lang w:val="en-US" w:eastAsia="zh-CN" w:bidi="ar-SA"/>
        </w:rPr>
      </w:pPr>
      <w:r>
        <w:rPr>
          <w:rStyle w:val="26"/>
          <w:rFonts w:hint="eastAsia" w:ascii="宋体" w:hAnsi="宋体" w:eastAsia="宋体" w:cs="宋体"/>
          <w:color w:val="auto"/>
          <w:sz w:val="21"/>
          <w:szCs w:val="21"/>
          <w:lang w:val="en-US" w:eastAsia="zh-CN" w:bidi="ar-SA"/>
        </w:rPr>
        <w:t>一、项目基本情况</w:t>
      </w:r>
    </w:p>
    <w:p w14:paraId="5E55CAFD">
      <w:pPr>
        <w:keepNext w:val="0"/>
        <w:keepLines w:val="0"/>
        <w:pageBreakBefore w:val="0"/>
        <w:widowControl w:val="0"/>
        <w:kinsoku/>
        <w:overflowPunct/>
        <w:topLinePunct w:val="0"/>
        <w:autoSpaceDE/>
        <w:autoSpaceDN/>
        <w:bidi w:val="0"/>
        <w:adjustRightInd/>
        <w:spacing w:line="360" w:lineRule="auto"/>
        <w:ind w:left="0" w:leftChars="0" w:firstLine="478" w:firstLineChars="228"/>
        <w:jc w:val="both"/>
        <w:textAlignment w:val="auto"/>
        <w:rPr>
          <w:rFonts w:hint="default"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项目编号：YSCG-2026-001F</w:t>
      </w:r>
      <w:r>
        <w:rPr>
          <w:rFonts w:hint="eastAsia" w:ascii="宋体" w:hAnsi="宋体" w:eastAsia="宋体" w:cs="Times New Roman"/>
          <w:color w:val="auto"/>
          <w:kern w:val="2"/>
          <w:sz w:val="21"/>
          <w:szCs w:val="21"/>
          <w:lang w:val="en-US" w:eastAsia="zh-CN" w:bidi="ar-SA"/>
        </w:rPr>
        <w:tab/>
      </w:r>
    </w:p>
    <w:p w14:paraId="1648771B">
      <w:pPr>
        <w:keepNext w:val="0"/>
        <w:keepLines w:val="0"/>
        <w:pageBreakBefore w:val="0"/>
        <w:widowControl/>
        <w:kinsoku/>
        <w:overflowPunct/>
        <w:topLinePunct w:val="0"/>
        <w:autoSpaceDE/>
        <w:autoSpaceDN/>
        <w:bidi w:val="0"/>
        <w:adjustRightInd/>
        <w:spacing w:line="360" w:lineRule="auto"/>
        <w:ind w:left="0" w:leftChars="0" w:firstLine="478" w:firstLineChars="228"/>
        <w:jc w:val="both"/>
        <w:textAlignment w:val="auto"/>
        <w:rPr>
          <w:rFonts w:hint="eastAsia" w:ascii="宋体" w:hAnsi="宋体" w:eastAsia="宋体" w:cs="Times New Roman"/>
          <w:color w:val="auto"/>
          <w:kern w:val="2"/>
          <w:sz w:val="21"/>
          <w:szCs w:val="21"/>
          <w:lang w:val="en-US" w:eastAsia="zh-CN" w:bidi="ar-SA"/>
        </w:rPr>
      </w:pPr>
      <w:r>
        <w:rPr>
          <w:rFonts w:hint="eastAsia" w:ascii="宋体" w:hAnsi="宋体" w:eastAsia="宋体" w:cs="宋体"/>
          <w:color w:val="auto"/>
          <w:kern w:val="0"/>
          <w:sz w:val="21"/>
          <w:szCs w:val="21"/>
        </w:rPr>
        <w:t>项目</w:t>
      </w:r>
      <w:r>
        <w:rPr>
          <w:rFonts w:hint="eastAsia" w:ascii="宋体" w:hAnsi="宋体" w:eastAsia="宋体" w:cs="宋体"/>
          <w:color w:val="auto"/>
          <w:kern w:val="0"/>
          <w:sz w:val="21"/>
          <w:szCs w:val="21"/>
          <w:lang w:val="en-US" w:eastAsia="zh-CN"/>
        </w:rPr>
        <w:t>名称</w:t>
      </w:r>
      <w:r>
        <w:rPr>
          <w:rFonts w:hint="eastAsia" w:ascii="宋体" w:hAnsi="宋体" w:eastAsia="宋体" w:cs="宋体"/>
          <w:color w:val="auto"/>
          <w:kern w:val="0"/>
          <w:sz w:val="21"/>
          <w:szCs w:val="21"/>
        </w:rPr>
        <w:t>：</w:t>
      </w:r>
      <w:r>
        <w:rPr>
          <w:rFonts w:hint="eastAsia" w:ascii="宋体" w:hAnsi="宋体" w:eastAsia="宋体" w:cs="Times New Roman"/>
          <w:b w:val="0"/>
          <w:bCs w:val="0"/>
          <w:color w:val="auto"/>
          <w:kern w:val="2"/>
          <w:sz w:val="21"/>
          <w:szCs w:val="21"/>
          <w:lang w:val="en-US" w:eastAsia="zh-CN" w:bidi="ar-SA"/>
        </w:rPr>
        <w:t>旬邑县养老中心服务设施提升改造项目检测及监测服务</w:t>
      </w:r>
    </w:p>
    <w:p w14:paraId="7FDA0602">
      <w:pPr>
        <w:keepNext w:val="0"/>
        <w:keepLines w:val="0"/>
        <w:pageBreakBefore w:val="0"/>
        <w:widowControl w:val="0"/>
        <w:kinsoku/>
        <w:overflowPunct/>
        <w:topLinePunct w:val="0"/>
        <w:autoSpaceDE/>
        <w:autoSpaceDN/>
        <w:bidi w:val="0"/>
        <w:adjustRightInd/>
        <w:spacing w:line="360" w:lineRule="auto"/>
        <w:ind w:left="0" w:leftChars="0" w:firstLine="478" w:firstLineChars="228"/>
        <w:jc w:val="both"/>
        <w:textAlignment w:val="auto"/>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采购方式：竞争性磋商</w:t>
      </w:r>
    </w:p>
    <w:p w14:paraId="3DB9D170">
      <w:pPr>
        <w:keepNext w:val="0"/>
        <w:keepLines w:val="0"/>
        <w:pageBreakBefore w:val="0"/>
        <w:widowControl w:val="0"/>
        <w:kinsoku/>
        <w:overflowPunct/>
        <w:topLinePunct w:val="0"/>
        <w:autoSpaceDE/>
        <w:autoSpaceDN/>
        <w:bidi w:val="0"/>
        <w:adjustRightInd/>
        <w:spacing w:line="360" w:lineRule="auto"/>
        <w:ind w:left="0" w:leftChars="0" w:firstLine="478" w:firstLineChars="228"/>
        <w:jc w:val="both"/>
        <w:textAlignment w:val="auto"/>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预算金额：985,000.00</w:t>
      </w:r>
      <w:r>
        <w:rPr>
          <w:rFonts w:hint="eastAsia" w:ascii="宋体" w:hAnsi="宋体" w:eastAsia="宋体" w:cs="Times New Roman"/>
          <w:color w:val="auto"/>
          <w:kern w:val="2"/>
          <w:sz w:val="21"/>
          <w:szCs w:val="21"/>
          <w:highlight w:val="none"/>
          <w:lang w:val="en-US" w:eastAsia="zh-CN" w:bidi="ar-SA"/>
        </w:rPr>
        <w:t>元</w:t>
      </w:r>
    </w:p>
    <w:p w14:paraId="1A02212B">
      <w:pPr>
        <w:keepNext w:val="0"/>
        <w:keepLines w:val="0"/>
        <w:pageBreakBefore w:val="0"/>
        <w:widowControl w:val="0"/>
        <w:kinsoku/>
        <w:overflowPunct/>
        <w:topLinePunct w:val="0"/>
        <w:autoSpaceDE/>
        <w:autoSpaceDN/>
        <w:bidi w:val="0"/>
        <w:adjustRightInd/>
        <w:spacing w:line="360" w:lineRule="auto"/>
        <w:ind w:left="0" w:leftChars="0" w:firstLine="478" w:firstLineChars="228"/>
        <w:jc w:val="both"/>
        <w:textAlignment w:val="auto"/>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采购需求：</w:t>
      </w:r>
    </w:p>
    <w:p w14:paraId="40B8E568">
      <w:pPr>
        <w:keepNext w:val="0"/>
        <w:keepLines w:val="0"/>
        <w:pageBreakBefore w:val="0"/>
        <w:kinsoku/>
        <w:overflowPunct/>
        <w:topLinePunct w:val="0"/>
        <w:autoSpaceDE/>
        <w:autoSpaceDN/>
        <w:bidi w:val="0"/>
        <w:adjustRightInd/>
        <w:spacing w:before="0" w:beforeAutospacing="0" w:after="0" w:afterAutospacing="0" w:line="360" w:lineRule="auto"/>
        <w:ind w:left="0" w:leftChars="0" w:firstLine="478" w:firstLineChars="228"/>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合同包1(旬邑县养老中心服务设施提升改造项目地基检测服务):</w:t>
      </w:r>
    </w:p>
    <w:p w14:paraId="64B6B1B3">
      <w:pPr>
        <w:keepNext w:val="0"/>
        <w:keepLines w:val="0"/>
        <w:pageBreakBefore w:val="0"/>
        <w:widowControl w:val="0"/>
        <w:kinsoku/>
        <w:overflowPunct/>
        <w:topLinePunct w:val="0"/>
        <w:autoSpaceDE/>
        <w:autoSpaceDN/>
        <w:bidi w:val="0"/>
        <w:adjustRightInd/>
        <w:spacing w:line="360" w:lineRule="auto"/>
        <w:ind w:firstLine="630"/>
        <w:jc w:val="both"/>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lang w:val="en-US" w:eastAsia="zh-CN" w:bidi="ar-SA"/>
        </w:rPr>
        <w:t>合同包预算金额：</w:t>
      </w:r>
      <w:r>
        <w:rPr>
          <w:rFonts w:hint="eastAsia" w:ascii="宋体" w:hAnsi="宋体" w:eastAsia="宋体" w:cs="宋体"/>
          <w:color w:val="auto"/>
          <w:kern w:val="2"/>
          <w:sz w:val="21"/>
          <w:szCs w:val="21"/>
          <w:lang w:val="en-US" w:eastAsia="zh-CN" w:bidi="ar-SA"/>
        </w:rPr>
        <w:t>650,000.00</w:t>
      </w:r>
      <w:r>
        <w:rPr>
          <w:rFonts w:hint="eastAsia" w:ascii="宋体" w:hAnsi="宋体" w:eastAsia="宋体" w:cs="Times New Roman"/>
          <w:color w:val="auto"/>
          <w:kern w:val="2"/>
          <w:sz w:val="21"/>
          <w:szCs w:val="21"/>
          <w:highlight w:val="none"/>
          <w:lang w:val="en-US" w:eastAsia="zh-CN" w:bidi="ar-SA"/>
        </w:rPr>
        <w:t>元</w:t>
      </w:r>
    </w:p>
    <w:p w14:paraId="7D93519B">
      <w:pPr>
        <w:keepNext w:val="0"/>
        <w:keepLines w:val="0"/>
        <w:pageBreakBefore w:val="0"/>
        <w:widowControl w:val="0"/>
        <w:kinsoku/>
        <w:overflowPunct/>
        <w:topLinePunct w:val="0"/>
        <w:autoSpaceDE/>
        <w:autoSpaceDN/>
        <w:bidi w:val="0"/>
        <w:adjustRightInd/>
        <w:spacing w:line="360" w:lineRule="auto"/>
        <w:ind w:firstLine="630"/>
        <w:jc w:val="both"/>
        <w:textAlignment w:val="auto"/>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highlight w:val="none"/>
          <w:lang w:val="en-US" w:eastAsia="zh-CN" w:bidi="ar-SA"/>
        </w:rPr>
        <w:t>合同包最高限价：</w:t>
      </w:r>
      <w:r>
        <w:rPr>
          <w:rFonts w:hint="eastAsia" w:ascii="宋体" w:hAnsi="宋体" w:eastAsia="宋体" w:cs="宋体"/>
          <w:color w:val="auto"/>
          <w:kern w:val="2"/>
          <w:sz w:val="21"/>
          <w:szCs w:val="21"/>
          <w:lang w:val="en-US" w:eastAsia="zh-CN" w:bidi="ar-SA"/>
        </w:rPr>
        <w:t>650,000.00</w:t>
      </w:r>
      <w:r>
        <w:rPr>
          <w:rFonts w:hint="eastAsia" w:ascii="宋体" w:hAnsi="宋体" w:eastAsia="宋体" w:cs="Times New Roman"/>
          <w:color w:val="auto"/>
          <w:kern w:val="2"/>
          <w:sz w:val="21"/>
          <w:szCs w:val="21"/>
          <w:highlight w:val="none"/>
          <w:lang w:val="en-US" w:eastAsia="zh-CN" w:bidi="ar-SA"/>
        </w:rPr>
        <w:t>元</w:t>
      </w:r>
    </w:p>
    <w:tbl>
      <w:tblPr>
        <w:tblStyle w:val="23"/>
        <w:tblW w:w="5000" w:type="pct"/>
        <w:tblInd w:w="128" w:type="dxa"/>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autofit"/>
        <w:tblCellMar>
          <w:top w:w="0" w:type="dxa"/>
          <w:left w:w="0" w:type="dxa"/>
          <w:bottom w:w="0" w:type="dxa"/>
          <w:right w:w="0" w:type="dxa"/>
        </w:tblCellMar>
      </w:tblPr>
      <w:tblGrid>
        <w:gridCol w:w="729"/>
        <w:gridCol w:w="1215"/>
        <w:gridCol w:w="1510"/>
        <w:gridCol w:w="1074"/>
        <w:gridCol w:w="1523"/>
        <w:gridCol w:w="1480"/>
        <w:gridCol w:w="1481"/>
      </w:tblGrid>
      <w:tr w14:paraId="28A157AC">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728" w:hRule="atLeast"/>
          <w:tblHeader/>
        </w:trPr>
        <w:tc>
          <w:tcPr>
            <w:tcW w:w="77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E07A465">
            <w:pPr>
              <w:keepNext w:val="0"/>
              <w:keepLines w:val="0"/>
              <w:pageBreakBefore w:val="0"/>
              <w:widowControl/>
              <w:kinsoku/>
              <w:overflowPunct/>
              <w:topLinePunct w:val="0"/>
              <w:autoSpaceDE/>
              <w:autoSpaceDN/>
              <w:bidi w:val="0"/>
              <w:adjustRightInd/>
              <w:spacing w:line="360" w:lineRule="auto"/>
              <w:jc w:val="center"/>
              <w:textAlignment w:val="auto"/>
              <w:rPr>
                <w:rFonts w:hint="eastAsia" w:ascii="宋体" w:hAnsi="宋体" w:eastAsia="宋体" w:cs="宋体"/>
                <w:b/>
                <w:bCs/>
                <w:color w:val="auto"/>
                <w:kern w:val="0"/>
                <w:sz w:val="21"/>
                <w:szCs w:val="21"/>
              </w:rPr>
            </w:pPr>
            <w:r>
              <w:rPr>
                <w:rFonts w:ascii="宋体" w:hAnsi="宋体" w:eastAsia="宋体" w:cs="宋体"/>
                <w:b/>
                <w:bCs/>
                <w:color w:val="auto"/>
                <w:kern w:val="0"/>
                <w:sz w:val="21"/>
                <w:szCs w:val="21"/>
              </w:rPr>
              <w:t>品目号</w:t>
            </w:r>
          </w:p>
        </w:tc>
        <w:tc>
          <w:tcPr>
            <w:tcW w:w="143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6A5591F">
            <w:pPr>
              <w:keepNext w:val="0"/>
              <w:keepLines w:val="0"/>
              <w:pageBreakBefore w:val="0"/>
              <w:widowControl/>
              <w:kinsoku/>
              <w:overflowPunct/>
              <w:topLinePunct w:val="0"/>
              <w:autoSpaceDE/>
              <w:autoSpaceDN/>
              <w:bidi w:val="0"/>
              <w:adjustRightInd/>
              <w:spacing w:line="360" w:lineRule="auto"/>
              <w:jc w:val="center"/>
              <w:textAlignment w:val="auto"/>
              <w:rPr>
                <w:rFonts w:ascii="宋体" w:hAnsi="宋体" w:eastAsia="宋体" w:cs="宋体"/>
                <w:b/>
                <w:bCs/>
                <w:color w:val="auto"/>
                <w:kern w:val="0"/>
                <w:sz w:val="21"/>
                <w:szCs w:val="21"/>
              </w:rPr>
            </w:pPr>
            <w:r>
              <w:rPr>
                <w:rFonts w:ascii="宋体" w:hAnsi="宋体" w:eastAsia="宋体" w:cs="宋体"/>
                <w:b/>
                <w:bCs/>
                <w:color w:val="auto"/>
                <w:kern w:val="0"/>
                <w:sz w:val="21"/>
                <w:szCs w:val="21"/>
              </w:rPr>
              <w:t>品目名称</w:t>
            </w:r>
          </w:p>
        </w:tc>
        <w:tc>
          <w:tcPr>
            <w:tcW w:w="181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428C292">
            <w:pPr>
              <w:keepNext w:val="0"/>
              <w:keepLines w:val="0"/>
              <w:pageBreakBefore w:val="0"/>
              <w:widowControl/>
              <w:kinsoku/>
              <w:overflowPunct/>
              <w:topLinePunct w:val="0"/>
              <w:autoSpaceDE/>
              <w:autoSpaceDN/>
              <w:bidi w:val="0"/>
              <w:adjustRightInd/>
              <w:spacing w:line="360" w:lineRule="auto"/>
              <w:jc w:val="center"/>
              <w:textAlignment w:val="auto"/>
              <w:rPr>
                <w:rFonts w:ascii="宋体" w:hAnsi="宋体" w:eastAsia="宋体" w:cs="宋体"/>
                <w:b/>
                <w:bCs/>
                <w:color w:val="auto"/>
                <w:kern w:val="0"/>
                <w:sz w:val="21"/>
                <w:szCs w:val="21"/>
              </w:rPr>
            </w:pPr>
            <w:r>
              <w:rPr>
                <w:rFonts w:ascii="宋体" w:hAnsi="宋体" w:eastAsia="宋体" w:cs="宋体"/>
                <w:b/>
                <w:bCs/>
                <w:color w:val="auto"/>
                <w:kern w:val="0"/>
                <w:sz w:val="21"/>
                <w:szCs w:val="21"/>
              </w:rPr>
              <w:t>采购标的</w:t>
            </w:r>
          </w:p>
        </w:tc>
        <w:tc>
          <w:tcPr>
            <w:tcW w:w="113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E4BDC56">
            <w:pPr>
              <w:keepNext w:val="0"/>
              <w:keepLines w:val="0"/>
              <w:pageBreakBefore w:val="0"/>
              <w:widowControl/>
              <w:kinsoku/>
              <w:overflowPunct/>
              <w:topLinePunct w:val="0"/>
              <w:autoSpaceDE/>
              <w:autoSpaceDN/>
              <w:bidi w:val="0"/>
              <w:adjustRightInd/>
              <w:spacing w:line="360" w:lineRule="auto"/>
              <w:jc w:val="center"/>
              <w:textAlignment w:val="auto"/>
              <w:rPr>
                <w:rFonts w:ascii="宋体" w:hAnsi="宋体" w:eastAsia="宋体" w:cs="宋体"/>
                <w:b/>
                <w:bCs/>
                <w:color w:val="auto"/>
                <w:kern w:val="0"/>
                <w:sz w:val="21"/>
                <w:szCs w:val="21"/>
              </w:rPr>
            </w:pPr>
            <w:r>
              <w:rPr>
                <w:rFonts w:ascii="宋体" w:hAnsi="宋体" w:eastAsia="宋体" w:cs="宋体"/>
                <w:b/>
                <w:bCs/>
                <w:color w:val="auto"/>
                <w:kern w:val="0"/>
                <w:sz w:val="21"/>
                <w:szCs w:val="21"/>
              </w:rPr>
              <w:t>数量</w:t>
            </w:r>
          </w:p>
          <w:p w14:paraId="3BC47195">
            <w:pPr>
              <w:keepNext w:val="0"/>
              <w:keepLines w:val="0"/>
              <w:pageBreakBefore w:val="0"/>
              <w:widowControl/>
              <w:kinsoku/>
              <w:overflowPunct/>
              <w:topLinePunct w:val="0"/>
              <w:autoSpaceDE/>
              <w:autoSpaceDN/>
              <w:bidi w:val="0"/>
              <w:adjustRightInd/>
              <w:spacing w:line="360" w:lineRule="auto"/>
              <w:jc w:val="center"/>
              <w:textAlignment w:val="auto"/>
              <w:rPr>
                <w:rFonts w:ascii="宋体" w:hAnsi="宋体" w:eastAsia="宋体" w:cs="宋体"/>
                <w:b/>
                <w:bCs/>
                <w:color w:val="auto"/>
                <w:kern w:val="0"/>
                <w:sz w:val="21"/>
                <w:szCs w:val="21"/>
              </w:rPr>
            </w:pPr>
            <w:r>
              <w:rPr>
                <w:rFonts w:ascii="宋体" w:hAnsi="宋体" w:eastAsia="宋体" w:cs="宋体"/>
                <w:b/>
                <w:bCs/>
                <w:color w:val="auto"/>
                <w:kern w:val="0"/>
                <w:sz w:val="21"/>
                <w:szCs w:val="21"/>
              </w:rPr>
              <w:t>（单位）</w:t>
            </w:r>
          </w:p>
        </w:tc>
        <w:tc>
          <w:tcPr>
            <w:tcW w:w="176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0D5E144">
            <w:pPr>
              <w:keepNext w:val="0"/>
              <w:keepLines w:val="0"/>
              <w:pageBreakBefore w:val="0"/>
              <w:widowControl/>
              <w:kinsoku/>
              <w:overflowPunct/>
              <w:topLinePunct w:val="0"/>
              <w:autoSpaceDE/>
              <w:autoSpaceDN/>
              <w:bidi w:val="0"/>
              <w:adjustRightInd/>
              <w:spacing w:line="360" w:lineRule="auto"/>
              <w:jc w:val="center"/>
              <w:textAlignment w:val="auto"/>
              <w:rPr>
                <w:rFonts w:ascii="宋体" w:hAnsi="宋体" w:eastAsia="宋体" w:cs="宋体"/>
                <w:b/>
                <w:bCs/>
                <w:color w:val="auto"/>
                <w:kern w:val="0"/>
                <w:sz w:val="21"/>
                <w:szCs w:val="21"/>
              </w:rPr>
            </w:pPr>
            <w:r>
              <w:rPr>
                <w:rFonts w:ascii="宋体" w:hAnsi="宋体" w:eastAsia="宋体" w:cs="宋体"/>
                <w:b/>
                <w:bCs/>
                <w:color w:val="auto"/>
                <w:kern w:val="0"/>
                <w:sz w:val="21"/>
                <w:szCs w:val="21"/>
              </w:rPr>
              <w:t>技术规格、参数及要求</w:t>
            </w:r>
          </w:p>
        </w:tc>
        <w:tc>
          <w:tcPr>
            <w:tcW w:w="153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A507E99">
            <w:pPr>
              <w:keepNext w:val="0"/>
              <w:keepLines w:val="0"/>
              <w:pageBreakBefore w:val="0"/>
              <w:widowControl/>
              <w:kinsoku/>
              <w:overflowPunct/>
              <w:topLinePunct w:val="0"/>
              <w:autoSpaceDE/>
              <w:autoSpaceDN/>
              <w:bidi w:val="0"/>
              <w:adjustRightInd/>
              <w:spacing w:line="360" w:lineRule="auto"/>
              <w:jc w:val="center"/>
              <w:textAlignment w:val="auto"/>
              <w:rPr>
                <w:rFonts w:ascii="宋体" w:hAnsi="宋体" w:eastAsia="宋体" w:cs="宋体"/>
                <w:b/>
                <w:bCs/>
                <w:color w:val="auto"/>
                <w:kern w:val="0"/>
                <w:sz w:val="21"/>
                <w:szCs w:val="21"/>
                <w:highlight w:val="none"/>
              </w:rPr>
            </w:pPr>
            <w:r>
              <w:rPr>
                <w:rFonts w:ascii="宋体" w:hAnsi="宋体" w:eastAsia="宋体" w:cs="宋体"/>
                <w:b/>
                <w:bCs/>
                <w:color w:val="auto"/>
                <w:kern w:val="0"/>
                <w:sz w:val="21"/>
                <w:szCs w:val="21"/>
                <w:highlight w:val="none"/>
              </w:rPr>
              <w:t>品目预算(元)</w:t>
            </w:r>
          </w:p>
        </w:tc>
        <w:tc>
          <w:tcPr>
            <w:tcW w:w="153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3B2488D">
            <w:pPr>
              <w:keepNext w:val="0"/>
              <w:keepLines w:val="0"/>
              <w:pageBreakBefore w:val="0"/>
              <w:widowControl/>
              <w:kinsoku/>
              <w:overflowPunct/>
              <w:topLinePunct w:val="0"/>
              <w:autoSpaceDE/>
              <w:autoSpaceDN/>
              <w:bidi w:val="0"/>
              <w:adjustRightInd/>
              <w:spacing w:line="360" w:lineRule="auto"/>
              <w:jc w:val="center"/>
              <w:textAlignment w:val="auto"/>
              <w:rPr>
                <w:rFonts w:ascii="宋体" w:hAnsi="宋体" w:eastAsia="宋体" w:cs="宋体"/>
                <w:b/>
                <w:bCs/>
                <w:color w:val="auto"/>
                <w:kern w:val="0"/>
                <w:sz w:val="21"/>
                <w:szCs w:val="21"/>
                <w:highlight w:val="none"/>
              </w:rPr>
            </w:pPr>
            <w:r>
              <w:rPr>
                <w:rFonts w:ascii="宋体" w:hAnsi="宋体" w:eastAsia="宋体" w:cs="宋体"/>
                <w:b/>
                <w:bCs/>
                <w:color w:val="auto"/>
                <w:kern w:val="0"/>
                <w:sz w:val="21"/>
                <w:szCs w:val="21"/>
                <w:highlight w:val="none"/>
              </w:rPr>
              <w:t>最高限价(元)</w:t>
            </w:r>
          </w:p>
        </w:tc>
      </w:tr>
      <w:tr w14:paraId="2DDE3747">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480" w:hRule="atLeast"/>
        </w:trPr>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6F96BB8">
            <w:pPr>
              <w:keepNext w:val="0"/>
              <w:keepLines w:val="0"/>
              <w:pageBreakBefore w:val="0"/>
              <w:widowControl/>
              <w:kinsoku/>
              <w:overflowPunct/>
              <w:topLinePunct w:val="0"/>
              <w:autoSpaceDE/>
              <w:autoSpaceDN/>
              <w:bidi w:val="0"/>
              <w:adjustRightInd/>
              <w:spacing w:line="360" w:lineRule="auto"/>
              <w:jc w:val="center"/>
              <w:textAlignment w:val="auto"/>
              <w:rPr>
                <w:rFonts w:ascii="宋体" w:hAnsi="宋体" w:eastAsia="宋体" w:cs="宋体"/>
                <w:color w:val="auto"/>
                <w:kern w:val="0"/>
                <w:sz w:val="21"/>
                <w:szCs w:val="21"/>
              </w:rPr>
            </w:pPr>
            <w:r>
              <w:rPr>
                <w:rFonts w:ascii="宋体" w:hAnsi="宋体" w:eastAsia="宋体" w:cs="宋体"/>
                <w:color w:val="auto"/>
                <w:kern w:val="0"/>
                <w:sz w:val="21"/>
                <w:szCs w:val="21"/>
              </w:rPr>
              <w:t>1-1</w:t>
            </w:r>
          </w:p>
        </w:tc>
        <w:tc>
          <w:tcPr>
            <w:tcW w:w="143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51E63C2">
            <w:pPr>
              <w:keepNext w:val="0"/>
              <w:keepLines w:val="0"/>
              <w:pageBreakBefore w:val="0"/>
              <w:widowControl/>
              <w:kinsoku/>
              <w:overflowPunct/>
              <w:topLinePunct w:val="0"/>
              <w:autoSpaceDE/>
              <w:autoSpaceDN/>
              <w:bidi w:val="0"/>
              <w:adjustRightInd/>
              <w:spacing w:line="360" w:lineRule="auto"/>
              <w:jc w:val="center"/>
              <w:textAlignment w:val="auto"/>
              <w:rPr>
                <w:rFonts w:hint="default" w:ascii="宋体" w:hAnsi="宋体" w:eastAsia="宋体" w:cs="宋体"/>
                <w:color w:val="auto"/>
                <w:kern w:val="0"/>
                <w:sz w:val="21"/>
                <w:szCs w:val="21"/>
                <w:lang w:val="en-US" w:eastAsia="zh-CN"/>
              </w:rPr>
            </w:pPr>
            <w:r>
              <w:rPr>
                <w:rFonts w:hint="eastAsia" w:ascii="宋体" w:hAnsi="宋体" w:eastAsia="宋体" w:cs="宋体"/>
                <w:color w:val="auto"/>
                <w:sz w:val="21"/>
                <w:szCs w:val="21"/>
                <w:highlight w:val="none"/>
                <w:shd w:val="clear" w:color="auto" w:fill="FFFFFF"/>
              </w:rPr>
              <w:t>技术测试和分析服务</w:t>
            </w:r>
          </w:p>
        </w:tc>
        <w:tc>
          <w:tcPr>
            <w:tcW w:w="181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B2C6EF3">
            <w:pPr>
              <w:keepNext w:val="0"/>
              <w:keepLines w:val="0"/>
              <w:pageBreakBefore w:val="0"/>
              <w:widowControl/>
              <w:kinsoku/>
              <w:overflowPunct/>
              <w:topLinePunct w:val="0"/>
              <w:autoSpaceDE/>
              <w:autoSpaceDN/>
              <w:bidi w:val="0"/>
              <w:adjustRightInd/>
              <w:spacing w:line="360" w:lineRule="auto"/>
              <w:jc w:val="center"/>
              <w:textAlignment w:val="auto"/>
              <w:rPr>
                <w:rFonts w:hint="default" w:ascii="宋体" w:hAnsi="宋体" w:eastAsia="宋体" w:cs="宋体"/>
                <w:color w:val="auto"/>
                <w:kern w:val="0"/>
                <w:sz w:val="21"/>
                <w:szCs w:val="21"/>
                <w:lang w:val="en-US" w:eastAsia="zh-CN"/>
              </w:rPr>
            </w:pPr>
            <w:r>
              <w:rPr>
                <w:rFonts w:hint="eastAsia" w:ascii="宋体" w:hAnsi="宋体" w:eastAsia="宋体" w:cs="宋体"/>
                <w:color w:val="auto"/>
                <w:sz w:val="21"/>
                <w:szCs w:val="21"/>
                <w:lang w:val="en-US" w:eastAsia="zh-CN" w:bidi="ar-SA"/>
              </w:rPr>
              <w:t>旬邑县养老中心服务设施提升改造项目地基检测服务</w:t>
            </w:r>
          </w:p>
        </w:tc>
        <w:tc>
          <w:tcPr>
            <w:tcW w:w="113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468588C">
            <w:pPr>
              <w:keepNext w:val="0"/>
              <w:keepLines w:val="0"/>
              <w:pageBreakBefore w:val="0"/>
              <w:widowControl/>
              <w:kinsoku/>
              <w:overflowPunct/>
              <w:topLinePunct w:val="0"/>
              <w:autoSpaceDE/>
              <w:autoSpaceDN/>
              <w:bidi w:val="0"/>
              <w:adjustRightInd/>
              <w:spacing w:line="360" w:lineRule="auto"/>
              <w:jc w:val="center"/>
              <w:textAlignment w:val="auto"/>
              <w:rPr>
                <w:rFonts w:hint="default"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1（项）</w:t>
            </w:r>
          </w:p>
        </w:tc>
        <w:tc>
          <w:tcPr>
            <w:tcW w:w="176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9A31F10">
            <w:pPr>
              <w:keepNext w:val="0"/>
              <w:keepLines w:val="0"/>
              <w:pageBreakBefore w:val="0"/>
              <w:widowControl/>
              <w:kinsoku/>
              <w:overflowPunct/>
              <w:topLinePunct w:val="0"/>
              <w:autoSpaceDE/>
              <w:autoSpaceDN/>
              <w:bidi w:val="0"/>
              <w:adjustRightInd/>
              <w:spacing w:line="360" w:lineRule="auto"/>
              <w:jc w:val="center"/>
              <w:textAlignment w:val="auto"/>
              <w:rPr>
                <w:rFonts w:ascii="宋体" w:hAnsi="宋体" w:eastAsia="宋体" w:cs="宋体"/>
                <w:color w:val="auto"/>
                <w:kern w:val="0"/>
                <w:sz w:val="21"/>
                <w:szCs w:val="21"/>
              </w:rPr>
            </w:pPr>
            <w:r>
              <w:rPr>
                <w:rFonts w:ascii="宋体" w:hAnsi="宋体" w:eastAsia="宋体" w:cs="宋体"/>
                <w:color w:val="auto"/>
                <w:kern w:val="0"/>
                <w:sz w:val="21"/>
                <w:szCs w:val="21"/>
              </w:rPr>
              <w:t>详见采购文件</w:t>
            </w:r>
          </w:p>
        </w:tc>
        <w:tc>
          <w:tcPr>
            <w:tcW w:w="153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AC88D9C">
            <w:pPr>
              <w:keepNext w:val="0"/>
              <w:keepLines w:val="0"/>
              <w:pageBreakBefore w:val="0"/>
              <w:widowControl/>
              <w:kinsoku/>
              <w:overflowPunct/>
              <w:topLinePunct w:val="0"/>
              <w:autoSpaceDE/>
              <w:autoSpaceDN/>
              <w:bidi w:val="0"/>
              <w:adjustRightInd/>
              <w:spacing w:line="360" w:lineRule="auto"/>
              <w:jc w:val="center"/>
              <w:textAlignment w:val="auto"/>
              <w:rPr>
                <w:rFonts w:hint="default" w:ascii="宋体" w:hAnsi="宋体" w:eastAsia="宋体" w:cs="宋体"/>
                <w:color w:val="auto"/>
                <w:kern w:val="0"/>
                <w:sz w:val="21"/>
                <w:szCs w:val="21"/>
                <w:lang w:val="en-US" w:eastAsia="zh-CN"/>
              </w:rPr>
            </w:pPr>
            <w:r>
              <w:rPr>
                <w:rFonts w:hint="eastAsia" w:ascii="宋体" w:hAnsi="宋体" w:eastAsia="宋体" w:cs="宋体"/>
                <w:color w:val="auto"/>
                <w:kern w:val="2"/>
                <w:sz w:val="21"/>
                <w:szCs w:val="21"/>
                <w:lang w:val="en-US" w:eastAsia="zh-CN" w:bidi="ar-SA"/>
              </w:rPr>
              <w:t>650,000.00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684A55D">
            <w:pPr>
              <w:keepNext w:val="0"/>
              <w:keepLines w:val="0"/>
              <w:pageBreakBefore w:val="0"/>
              <w:widowControl/>
              <w:kinsoku/>
              <w:overflowPunct/>
              <w:topLinePunct w:val="0"/>
              <w:autoSpaceDE/>
              <w:autoSpaceDN/>
              <w:bidi w:val="0"/>
              <w:adjustRightInd/>
              <w:spacing w:line="360" w:lineRule="auto"/>
              <w:jc w:val="center"/>
              <w:textAlignment w:val="auto"/>
              <w:rPr>
                <w:rFonts w:ascii="宋体" w:hAnsi="宋体" w:eastAsia="宋体" w:cs="宋体"/>
                <w:color w:val="auto"/>
                <w:kern w:val="0"/>
                <w:sz w:val="21"/>
                <w:szCs w:val="21"/>
              </w:rPr>
            </w:pPr>
            <w:r>
              <w:rPr>
                <w:rFonts w:hint="eastAsia" w:ascii="宋体" w:hAnsi="宋体" w:eastAsia="宋体" w:cs="宋体"/>
                <w:color w:val="auto"/>
                <w:kern w:val="2"/>
                <w:sz w:val="21"/>
                <w:szCs w:val="21"/>
                <w:lang w:val="en-US" w:eastAsia="zh-CN" w:bidi="ar-SA"/>
              </w:rPr>
              <w:t>650,000.00</w:t>
            </w:r>
          </w:p>
        </w:tc>
      </w:tr>
    </w:tbl>
    <w:p w14:paraId="3A2AB568">
      <w:pPr>
        <w:keepNext w:val="0"/>
        <w:keepLines w:val="0"/>
        <w:pageBreakBefore w:val="0"/>
        <w:widowControl w:val="0"/>
        <w:kinsoku/>
        <w:overflowPunct/>
        <w:topLinePunct w:val="0"/>
        <w:autoSpaceDE/>
        <w:autoSpaceDN/>
        <w:bidi w:val="0"/>
        <w:adjustRightInd/>
        <w:spacing w:line="360" w:lineRule="auto"/>
        <w:ind w:left="0" w:leftChars="0" w:firstLine="478" w:firstLineChars="228"/>
        <w:jc w:val="both"/>
        <w:textAlignment w:val="auto"/>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本合同包</w:t>
      </w:r>
      <w:r>
        <w:rPr>
          <w:rStyle w:val="71"/>
          <w:rFonts w:hint="eastAsia" w:ascii="宋体" w:hAnsi="宋体" w:eastAsia="宋体" w:cs="宋体"/>
          <w:color w:val="auto"/>
          <w:kern w:val="2"/>
          <w:sz w:val="21"/>
          <w:szCs w:val="21"/>
          <w:lang w:val="en-US" w:eastAsia="zh-CN" w:bidi="ar-SA"/>
        </w:rPr>
        <w:t>不接受</w:t>
      </w:r>
      <w:r>
        <w:rPr>
          <w:rFonts w:hint="eastAsia" w:ascii="宋体" w:hAnsi="宋体" w:eastAsia="宋体" w:cs="Times New Roman"/>
          <w:color w:val="auto"/>
          <w:kern w:val="2"/>
          <w:sz w:val="21"/>
          <w:szCs w:val="21"/>
          <w:lang w:val="en-US" w:eastAsia="zh-CN" w:bidi="ar-SA"/>
        </w:rPr>
        <w:t>联合体投标</w:t>
      </w:r>
    </w:p>
    <w:p w14:paraId="5C6119D2">
      <w:pPr>
        <w:keepNext w:val="0"/>
        <w:keepLines w:val="0"/>
        <w:pageBreakBefore w:val="0"/>
        <w:widowControl w:val="0"/>
        <w:kinsoku/>
        <w:overflowPunct/>
        <w:topLinePunct w:val="0"/>
        <w:autoSpaceDE/>
        <w:autoSpaceDN/>
        <w:bidi w:val="0"/>
        <w:adjustRightInd/>
        <w:spacing w:line="360" w:lineRule="auto"/>
        <w:ind w:left="0" w:leftChars="0" w:firstLine="478" w:firstLineChars="228"/>
        <w:jc w:val="both"/>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lang w:val="en-US" w:eastAsia="zh-CN" w:bidi="ar-SA"/>
        </w:rPr>
        <w:t>合同履行期限：</w:t>
      </w:r>
      <w:r>
        <w:rPr>
          <w:rFonts w:hint="eastAsia" w:ascii="宋体" w:hAnsi="宋体" w:eastAsia="宋体" w:cs="宋体"/>
          <w:color w:val="auto"/>
          <w:sz w:val="21"/>
          <w:szCs w:val="21"/>
          <w:highlight w:val="none"/>
          <w:lang w:val="en-US" w:eastAsia="zh-CN"/>
        </w:rPr>
        <w:t>开始工作至本项目工程结束（具体随工程项目进展调整）</w:t>
      </w:r>
      <w:r>
        <w:rPr>
          <w:rFonts w:hint="eastAsia" w:ascii="宋体" w:hAnsi="宋体" w:eastAsia="宋体" w:cs="宋体"/>
          <w:color w:val="auto"/>
          <w:sz w:val="21"/>
          <w:szCs w:val="21"/>
          <w:highlight w:val="none"/>
          <w:lang w:eastAsia="zh-CN"/>
        </w:rPr>
        <w:t>。</w:t>
      </w:r>
    </w:p>
    <w:p w14:paraId="11027BDB">
      <w:pPr>
        <w:keepNext w:val="0"/>
        <w:keepLines w:val="0"/>
        <w:pageBreakBefore w:val="0"/>
        <w:kinsoku/>
        <w:overflowPunct/>
        <w:topLinePunct w:val="0"/>
        <w:autoSpaceDE/>
        <w:autoSpaceDN/>
        <w:bidi w:val="0"/>
        <w:adjustRightInd/>
        <w:spacing w:before="0" w:beforeAutospacing="0" w:after="0" w:afterAutospacing="0" w:line="360" w:lineRule="auto"/>
        <w:ind w:left="0" w:leftChars="0" w:firstLine="478" w:firstLineChars="228"/>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合同包2(旬邑县养老中心服务设施提升改造项目基坑变形监测及主体沉降观测):</w:t>
      </w:r>
    </w:p>
    <w:p w14:paraId="23EA7E22">
      <w:pPr>
        <w:keepNext w:val="0"/>
        <w:keepLines w:val="0"/>
        <w:pageBreakBefore w:val="0"/>
        <w:widowControl w:val="0"/>
        <w:kinsoku/>
        <w:overflowPunct/>
        <w:topLinePunct w:val="0"/>
        <w:autoSpaceDE/>
        <w:autoSpaceDN/>
        <w:bidi w:val="0"/>
        <w:adjustRightInd/>
        <w:spacing w:line="360" w:lineRule="auto"/>
        <w:ind w:firstLine="630"/>
        <w:jc w:val="both"/>
        <w:textAlignment w:val="auto"/>
        <w:rPr>
          <w:rFonts w:hint="default"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合同包预算金额：</w:t>
      </w:r>
      <w:r>
        <w:rPr>
          <w:rFonts w:hint="eastAsia" w:ascii="宋体" w:hAnsi="宋体" w:eastAsia="宋体" w:cs="宋体"/>
          <w:color w:val="auto"/>
          <w:kern w:val="2"/>
          <w:sz w:val="21"/>
          <w:szCs w:val="21"/>
          <w:lang w:val="en-US" w:eastAsia="zh-CN" w:bidi="ar-SA"/>
        </w:rPr>
        <w:t>335,000.00</w:t>
      </w:r>
      <w:r>
        <w:rPr>
          <w:rFonts w:hint="eastAsia" w:ascii="宋体" w:hAnsi="宋体" w:eastAsia="宋体" w:cs="宋体"/>
          <w:color w:val="auto"/>
          <w:kern w:val="0"/>
          <w:sz w:val="21"/>
          <w:szCs w:val="21"/>
          <w:lang w:val="en-US" w:eastAsia="zh-CN" w:bidi="ar-SA"/>
        </w:rPr>
        <w:t>元</w:t>
      </w:r>
      <w:r>
        <w:rPr>
          <w:rFonts w:hint="eastAsia" w:ascii="宋体" w:hAnsi="宋体" w:eastAsia="宋体" w:cs="宋体"/>
          <w:color w:val="auto"/>
          <w:kern w:val="0"/>
          <w:sz w:val="21"/>
          <w:szCs w:val="21"/>
          <w:lang w:val="en-US" w:eastAsia="zh-CN" w:bidi="ar-SA"/>
        </w:rPr>
        <w:tab/>
      </w:r>
    </w:p>
    <w:p w14:paraId="136A2DD6">
      <w:pPr>
        <w:keepNext w:val="0"/>
        <w:keepLines w:val="0"/>
        <w:pageBreakBefore w:val="0"/>
        <w:widowControl w:val="0"/>
        <w:kinsoku/>
        <w:overflowPunct/>
        <w:topLinePunct w:val="0"/>
        <w:autoSpaceDE/>
        <w:autoSpaceDN/>
        <w:bidi w:val="0"/>
        <w:adjustRightInd/>
        <w:spacing w:line="360" w:lineRule="auto"/>
        <w:ind w:firstLine="630"/>
        <w:jc w:val="both"/>
        <w:textAlignment w:val="auto"/>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合同包最高限价：</w:t>
      </w:r>
      <w:r>
        <w:rPr>
          <w:rFonts w:hint="eastAsia" w:ascii="宋体" w:hAnsi="宋体" w:eastAsia="宋体" w:cs="宋体"/>
          <w:color w:val="auto"/>
          <w:kern w:val="2"/>
          <w:sz w:val="21"/>
          <w:szCs w:val="21"/>
          <w:lang w:val="en-US" w:eastAsia="zh-CN" w:bidi="ar-SA"/>
        </w:rPr>
        <w:t>335,000.00</w:t>
      </w:r>
      <w:r>
        <w:rPr>
          <w:rFonts w:hint="eastAsia" w:ascii="宋体" w:hAnsi="宋体" w:eastAsia="宋体" w:cs="宋体"/>
          <w:color w:val="auto"/>
          <w:kern w:val="0"/>
          <w:sz w:val="21"/>
          <w:szCs w:val="21"/>
          <w:lang w:val="en-US" w:eastAsia="zh-CN" w:bidi="ar-SA"/>
        </w:rPr>
        <w:t>元</w:t>
      </w:r>
    </w:p>
    <w:tbl>
      <w:tblPr>
        <w:tblStyle w:val="23"/>
        <w:tblW w:w="5000" w:type="pct"/>
        <w:tblInd w:w="128" w:type="dxa"/>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autofit"/>
        <w:tblCellMar>
          <w:top w:w="0" w:type="dxa"/>
          <w:left w:w="0" w:type="dxa"/>
          <w:bottom w:w="0" w:type="dxa"/>
          <w:right w:w="0" w:type="dxa"/>
        </w:tblCellMar>
      </w:tblPr>
      <w:tblGrid>
        <w:gridCol w:w="730"/>
        <w:gridCol w:w="1220"/>
        <w:gridCol w:w="1517"/>
        <w:gridCol w:w="1053"/>
        <w:gridCol w:w="1529"/>
        <w:gridCol w:w="1481"/>
        <w:gridCol w:w="1482"/>
      </w:tblGrid>
      <w:tr w14:paraId="070CB432">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PrEx>
        <w:trPr>
          <w:trHeight w:val="728" w:hRule="atLeast"/>
          <w:tblHeader/>
        </w:trPr>
        <w:tc>
          <w:tcPr>
            <w:tcW w:w="77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F81825B">
            <w:pPr>
              <w:keepNext w:val="0"/>
              <w:keepLines w:val="0"/>
              <w:pageBreakBefore w:val="0"/>
              <w:widowControl/>
              <w:kinsoku/>
              <w:overflowPunct/>
              <w:topLinePunct w:val="0"/>
              <w:autoSpaceDE/>
              <w:autoSpaceDN/>
              <w:bidi w:val="0"/>
              <w:adjustRightInd/>
              <w:spacing w:line="360" w:lineRule="auto"/>
              <w:jc w:val="center"/>
              <w:textAlignment w:val="auto"/>
              <w:rPr>
                <w:rFonts w:hint="eastAsia" w:ascii="宋体" w:hAnsi="宋体" w:eastAsia="宋体" w:cs="宋体"/>
                <w:b/>
                <w:bCs/>
                <w:color w:val="auto"/>
                <w:kern w:val="0"/>
                <w:sz w:val="21"/>
                <w:szCs w:val="21"/>
              </w:rPr>
            </w:pPr>
            <w:r>
              <w:rPr>
                <w:rFonts w:ascii="宋体" w:hAnsi="宋体" w:eastAsia="宋体" w:cs="宋体"/>
                <w:b/>
                <w:bCs/>
                <w:color w:val="auto"/>
                <w:kern w:val="0"/>
                <w:sz w:val="21"/>
                <w:szCs w:val="21"/>
              </w:rPr>
              <w:t>品目号</w:t>
            </w:r>
          </w:p>
        </w:tc>
        <w:tc>
          <w:tcPr>
            <w:tcW w:w="143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D98C570">
            <w:pPr>
              <w:keepNext w:val="0"/>
              <w:keepLines w:val="0"/>
              <w:pageBreakBefore w:val="0"/>
              <w:widowControl/>
              <w:kinsoku/>
              <w:overflowPunct/>
              <w:topLinePunct w:val="0"/>
              <w:autoSpaceDE/>
              <w:autoSpaceDN/>
              <w:bidi w:val="0"/>
              <w:adjustRightInd/>
              <w:spacing w:line="360" w:lineRule="auto"/>
              <w:jc w:val="center"/>
              <w:textAlignment w:val="auto"/>
              <w:rPr>
                <w:rFonts w:ascii="宋体" w:hAnsi="宋体" w:eastAsia="宋体" w:cs="宋体"/>
                <w:b/>
                <w:bCs/>
                <w:color w:val="auto"/>
                <w:kern w:val="0"/>
                <w:sz w:val="21"/>
                <w:szCs w:val="21"/>
              </w:rPr>
            </w:pPr>
            <w:r>
              <w:rPr>
                <w:rFonts w:ascii="宋体" w:hAnsi="宋体" w:eastAsia="宋体" w:cs="宋体"/>
                <w:b/>
                <w:bCs/>
                <w:color w:val="auto"/>
                <w:kern w:val="0"/>
                <w:sz w:val="21"/>
                <w:szCs w:val="21"/>
              </w:rPr>
              <w:t>品目名称</w:t>
            </w:r>
          </w:p>
        </w:tc>
        <w:tc>
          <w:tcPr>
            <w:tcW w:w="181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0540F14">
            <w:pPr>
              <w:keepNext w:val="0"/>
              <w:keepLines w:val="0"/>
              <w:pageBreakBefore w:val="0"/>
              <w:widowControl/>
              <w:kinsoku/>
              <w:overflowPunct/>
              <w:topLinePunct w:val="0"/>
              <w:autoSpaceDE/>
              <w:autoSpaceDN/>
              <w:bidi w:val="0"/>
              <w:adjustRightInd/>
              <w:spacing w:line="360" w:lineRule="auto"/>
              <w:jc w:val="center"/>
              <w:textAlignment w:val="auto"/>
              <w:rPr>
                <w:rFonts w:ascii="宋体" w:hAnsi="宋体" w:eastAsia="宋体" w:cs="宋体"/>
                <w:b/>
                <w:bCs/>
                <w:color w:val="auto"/>
                <w:kern w:val="0"/>
                <w:sz w:val="21"/>
                <w:szCs w:val="21"/>
              </w:rPr>
            </w:pPr>
            <w:r>
              <w:rPr>
                <w:rFonts w:ascii="宋体" w:hAnsi="宋体" w:eastAsia="宋体" w:cs="宋体"/>
                <w:b/>
                <w:bCs/>
                <w:color w:val="auto"/>
                <w:kern w:val="0"/>
                <w:sz w:val="21"/>
                <w:szCs w:val="21"/>
              </w:rPr>
              <w:t>采购标的</w:t>
            </w:r>
          </w:p>
        </w:tc>
        <w:tc>
          <w:tcPr>
            <w:tcW w:w="113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D60D821">
            <w:pPr>
              <w:keepNext w:val="0"/>
              <w:keepLines w:val="0"/>
              <w:pageBreakBefore w:val="0"/>
              <w:widowControl/>
              <w:kinsoku/>
              <w:overflowPunct/>
              <w:topLinePunct w:val="0"/>
              <w:autoSpaceDE/>
              <w:autoSpaceDN/>
              <w:bidi w:val="0"/>
              <w:adjustRightInd/>
              <w:spacing w:line="360" w:lineRule="auto"/>
              <w:jc w:val="center"/>
              <w:textAlignment w:val="auto"/>
              <w:rPr>
                <w:rFonts w:ascii="宋体" w:hAnsi="宋体" w:eastAsia="宋体" w:cs="宋体"/>
                <w:b/>
                <w:bCs/>
                <w:color w:val="auto"/>
                <w:kern w:val="0"/>
                <w:sz w:val="21"/>
                <w:szCs w:val="21"/>
              </w:rPr>
            </w:pPr>
            <w:r>
              <w:rPr>
                <w:rFonts w:ascii="宋体" w:hAnsi="宋体" w:eastAsia="宋体" w:cs="宋体"/>
                <w:b/>
                <w:bCs/>
                <w:color w:val="auto"/>
                <w:kern w:val="0"/>
                <w:sz w:val="21"/>
                <w:szCs w:val="21"/>
              </w:rPr>
              <w:t>数量</w:t>
            </w:r>
          </w:p>
          <w:p w14:paraId="6CBC4102">
            <w:pPr>
              <w:keepNext w:val="0"/>
              <w:keepLines w:val="0"/>
              <w:pageBreakBefore w:val="0"/>
              <w:widowControl/>
              <w:kinsoku/>
              <w:overflowPunct/>
              <w:topLinePunct w:val="0"/>
              <w:autoSpaceDE/>
              <w:autoSpaceDN/>
              <w:bidi w:val="0"/>
              <w:adjustRightInd/>
              <w:spacing w:line="360" w:lineRule="auto"/>
              <w:jc w:val="center"/>
              <w:textAlignment w:val="auto"/>
              <w:rPr>
                <w:rFonts w:ascii="宋体" w:hAnsi="宋体" w:eastAsia="宋体" w:cs="宋体"/>
                <w:b/>
                <w:bCs/>
                <w:color w:val="auto"/>
                <w:kern w:val="0"/>
                <w:sz w:val="21"/>
                <w:szCs w:val="21"/>
              </w:rPr>
            </w:pPr>
            <w:r>
              <w:rPr>
                <w:rFonts w:ascii="宋体" w:hAnsi="宋体" w:eastAsia="宋体" w:cs="宋体"/>
                <w:b/>
                <w:bCs/>
                <w:color w:val="auto"/>
                <w:kern w:val="0"/>
                <w:sz w:val="21"/>
                <w:szCs w:val="21"/>
              </w:rPr>
              <w:t>（单位）</w:t>
            </w:r>
          </w:p>
        </w:tc>
        <w:tc>
          <w:tcPr>
            <w:tcW w:w="176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35E32C6">
            <w:pPr>
              <w:keepNext w:val="0"/>
              <w:keepLines w:val="0"/>
              <w:pageBreakBefore w:val="0"/>
              <w:widowControl/>
              <w:kinsoku/>
              <w:overflowPunct/>
              <w:topLinePunct w:val="0"/>
              <w:autoSpaceDE/>
              <w:autoSpaceDN/>
              <w:bidi w:val="0"/>
              <w:adjustRightInd/>
              <w:spacing w:line="360" w:lineRule="auto"/>
              <w:jc w:val="center"/>
              <w:textAlignment w:val="auto"/>
              <w:rPr>
                <w:rFonts w:ascii="宋体" w:hAnsi="宋体" w:eastAsia="宋体" w:cs="宋体"/>
                <w:b/>
                <w:bCs/>
                <w:color w:val="auto"/>
                <w:kern w:val="0"/>
                <w:sz w:val="21"/>
                <w:szCs w:val="21"/>
              </w:rPr>
            </w:pPr>
            <w:r>
              <w:rPr>
                <w:rFonts w:ascii="宋体" w:hAnsi="宋体" w:eastAsia="宋体" w:cs="宋体"/>
                <w:b/>
                <w:bCs/>
                <w:color w:val="auto"/>
                <w:kern w:val="0"/>
                <w:sz w:val="21"/>
                <w:szCs w:val="21"/>
              </w:rPr>
              <w:t>技术规格、参数及要求</w:t>
            </w:r>
          </w:p>
        </w:tc>
        <w:tc>
          <w:tcPr>
            <w:tcW w:w="153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1D2EC70">
            <w:pPr>
              <w:keepNext w:val="0"/>
              <w:keepLines w:val="0"/>
              <w:pageBreakBefore w:val="0"/>
              <w:widowControl/>
              <w:kinsoku/>
              <w:overflowPunct/>
              <w:topLinePunct w:val="0"/>
              <w:autoSpaceDE/>
              <w:autoSpaceDN/>
              <w:bidi w:val="0"/>
              <w:adjustRightInd/>
              <w:spacing w:line="360" w:lineRule="auto"/>
              <w:jc w:val="center"/>
              <w:textAlignment w:val="auto"/>
              <w:rPr>
                <w:rFonts w:ascii="宋体" w:hAnsi="宋体" w:eastAsia="宋体" w:cs="宋体"/>
                <w:b/>
                <w:bCs/>
                <w:color w:val="auto"/>
                <w:kern w:val="0"/>
                <w:sz w:val="21"/>
                <w:szCs w:val="21"/>
                <w:highlight w:val="none"/>
              </w:rPr>
            </w:pPr>
            <w:r>
              <w:rPr>
                <w:rFonts w:ascii="宋体" w:hAnsi="宋体" w:eastAsia="宋体" w:cs="宋体"/>
                <w:b/>
                <w:bCs/>
                <w:color w:val="auto"/>
                <w:kern w:val="0"/>
                <w:sz w:val="21"/>
                <w:szCs w:val="21"/>
                <w:highlight w:val="none"/>
              </w:rPr>
              <w:t>品目预算(元)</w:t>
            </w:r>
          </w:p>
        </w:tc>
        <w:tc>
          <w:tcPr>
            <w:tcW w:w="153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D9145AE">
            <w:pPr>
              <w:keepNext w:val="0"/>
              <w:keepLines w:val="0"/>
              <w:pageBreakBefore w:val="0"/>
              <w:widowControl/>
              <w:kinsoku/>
              <w:overflowPunct/>
              <w:topLinePunct w:val="0"/>
              <w:autoSpaceDE/>
              <w:autoSpaceDN/>
              <w:bidi w:val="0"/>
              <w:adjustRightInd/>
              <w:spacing w:line="360" w:lineRule="auto"/>
              <w:jc w:val="center"/>
              <w:textAlignment w:val="auto"/>
              <w:rPr>
                <w:rFonts w:ascii="宋体" w:hAnsi="宋体" w:eastAsia="宋体" w:cs="宋体"/>
                <w:b/>
                <w:bCs/>
                <w:color w:val="auto"/>
                <w:kern w:val="0"/>
                <w:sz w:val="21"/>
                <w:szCs w:val="21"/>
                <w:highlight w:val="none"/>
              </w:rPr>
            </w:pPr>
            <w:r>
              <w:rPr>
                <w:rFonts w:ascii="宋体" w:hAnsi="宋体" w:eastAsia="宋体" w:cs="宋体"/>
                <w:b/>
                <w:bCs/>
                <w:color w:val="auto"/>
                <w:kern w:val="0"/>
                <w:sz w:val="21"/>
                <w:szCs w:val="21"/>
                <w:highlight w:val="none"/>
              </w:rPr>
              <w:t>最高限价(元)</w:t>
            </w:r>
          </w:p>
        </w:tc>
      </w:tr>
      <w:tr w14:paraId="2F58658B">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480" w:hRule="atLeast"/>
        </w:trPr>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5CAAA4E">
            <w:pPr>
              <w:keepNext w:val="0"/>
              <w:keepLines w:val="0"/>
              <w:pageBreakBefore w:val="0"/>
              <w:widowControl/>
              <w:kinsoku/>
              <w:overflowPunct/>
              <w:topLinePunct w:val="0"/>
              <w:autoSpaceDE/>
              <w:autoSpaceDN/>
              <w:bidi w:val="0"/>
              <w:adjustRightInd/>
              <w:spacing w:line="360" w:lineRule="auto"/>
              <w:jc w:val="center"/>
              <w:textAlignment w:val="auto"/>
              <w:rPr>
                <w:rFonts w:ascii="宋体" w:hAnsi="宋体" w:eastAsia="宋体" w:cs="宋体"/>
                <w:color w:val="auto"/>
                <w:kern w:val="0"/>
                <w:sz w:val="21"/>
                <w:szCs w:val="21"/>
              </w:rPr>
            </w:pPr>
            <w:r>
              <w:rPr>
                <w:rFonts w:hint="eastAsia" w:ascii="宋体" w:hAnsi="宋体" w:eastAsia="宋体" w:cs="宋体"/>
                <w:color w:val="auto"/>
                <w:kern w:val="0"/>
                <w:sz w:val="21"/>
                <w:szCs w:val="21"/>
                <w:lang w:val="en-US" w:eastAsia="zh-CN"/>
              </w:rPr>
              <w:t>2</w:t>
            </w:r>
            <w:r>
              <w:rPr>
                <w:rFonts w:ascii="宋体" w:hAnsi="宋体" w:eastAsia="宋体" w:cs="宋体"/>
                <w:color w:val="auto"/>
                <w:kern w:val="0"/>
                <w:sz w:val="21"/>
                <w:szCs w:val="21"/>
              </w:rPr>
              <w:t>-1</w:t>
            </w:r>
          </w:p>
        </w:tc>
        <w:tc>
          <w:tcPr>
            <w:tcW w:w="143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E6ECDF8">
            <w:pPr>
              <w:keepNext w:val="0"/>
              <w:keepLines w:val="0"/>
              <w:pageBreakBefore w:val="0"/>
              <w:widowControl/>
              <w:kinsoku/>
              <w:overflowPunct/>
              <w:topLinePunct w:val="0"/>
              <w:autoSpaceDE/>
              <w:autoSpaceDN/>
              <w:bidi w:val="0"/>
              <w:adjustRightInd/>
              <w:spacing w:line="360" w:lineRule="auto"/>
              <w:jc w:val="center"/>
              <w:textAlignment w:val="auto"/>
              <w:rPr>
                <w:rFonts w:hint="default" w:ascii="宋体" w:hAnsi="宋体" w:eastAsia="宋体" w:cs="宋体"/>
                <w:color w:val="auto"/>
                <w:kern w:val="0"/>
                <w:sz w:val="21"/>
                <w:szCs w:val="21"/>
                <w:lang w:val="en-US" w:eastAsia="zh-CN"/>
              </w:rPr>
            </w:pPr>
            <w:r>
              <w:rPr>
                <w:rFonts w:hint="eastAsia" w:ascii="宋体" w:hAnsi="宋体" w:eastAsia="宋体" w:cs="宋体"/>
                <w:color w:val="auto"/>
                <w:sz w:val="21"/>
                <w:szCs w:val="21"/>
                <w:highlight w:val="none"/>
                <w:shd w:val="clear" w:color="auto" w:fill="FFFFFF"/>
              </w:rPr>
              <w:t>技术测试和分析服务</w:t>
            </w:r>
          </w:p>
        </w:tc>
        <w:tc>
          <w:tcPr>
            <w:tcW w:w="181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1A20CF0">
            <w:pPr>
              <w:keepNext w:val="0"/>
              <w:keepLines w:val="0"/>
              <w:pageBreakBefore w:val="0"/>
              <w:widowControl/>
              <w:kinsoku/>
              <w:overflowPunct/>
              <w:topLinePunct w:val="0"/>
              <w:autoSpaceDE/>
              <w:autoSpaceDN/>
              <w:bidi w:val="0"/>
              <w:adjustRightInd/>
              <w:spacing w:line="360" w:lineRule="auto"/>
              <w:jc w:val="center"/>
              <w:textAlignment w:val="auto"/>
              <w:rPr>
                <w:rFonts w:hint="default" w:ascii="宋体" w:hAnsi="宋体" w:eastAsia="宋体" w:cs="宋体"/>
                <w:color w:val="auto"/>
                <w:kern w:val="0"/>
                <w:sz w:val="21"/>
                <w:szCs w:val="21"/>
                <w:lang w:val="en-US" w:eastAsia="zh-CN"/>
              </w:rPr>
            </w:pPr>
            <w:r>
              <w:rPr>
                <w:rFonts w:hint="eastAsia" w:ascii="宋体" w:hAnsi="宋体" w:eastAsia="宋体" w:cs="宋体"/>
                <w:color w:val="auto"/>
                <w:sz w:val="21"/>
                <w:szCs w:val="21"/>
                <w:lang w:val="en-US" w:eastAsia="zh-CN" w:bidi="ar-SA"/>
              </w:rPr>
              <w:t>旬邑县养老中心服务设施提升改造项目基坑变形监测及主体沉降观测</w:t>
            </w:r>
          </w:p>
        </w:tc>
        <w:tc>
          <w:tcPr>
            <w:tcW w:w="113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4FA14B5">
            <w:pPr>
              <w:keepNext w:val="0"/>
              <w:keepLines w:val="0"/>
              <w:pageBreakBefore w:val="0"/>
              <w:widowControl/>
              <w:kinsoku/>
              <w:overflowPunct/>
              <w:topLinePunct w:val="0"/>
              <w:autoSpaceDE/>
              <w:autoSpaceDN/>
              <w:bidi w:val="0"/>
              <w:adjustRightInd/>
              <w:spacing w:line="360" w:lineRule="auto"/>
              <w:jc w:val="center"/>
              <w:textAlignment w:val="auto"/>
              <w:rPr>
                <w:rFonts w:hint="default" w:ascii="宋体" w:hAnsi="宋体" w:eastAsia="宋体" w:cs="宋体"/>
                <w:color w:val="auto"/>
                <w:kern w:val="0"/>
                <w:sz w:val="21"/>
                <w:szCs w:val="21"/>
                <w:lang w:val="en-US"/>
              </w:rPr>
            </w:pPr>
            <w:r>
              <w:rPr>
                <w:rFonts w:ascii="宋体" w:hAnsi="宋体" w:eastAsia="宋体" w:cs="宋体"/>
                <w:color w:val="auto"/>
                <w:kern w:val="0"/>
                <w:sz w:val="21"/>
                <w:szCs w:val="21"/>
              </w:rPr>
              <w:t>1(</w:t>
            </w:r>
            <w:r>
              <w:rPr>
                <w:rFonts w:hint="eastAsia" w:ascii="宋体" w:hAnsi="宋体" w:eastAsia="宋体" w:cs="宋体"/>
                <w:color w:val="auto"/>
                <w:kern w:val="0"/>
                <w:sz w:val="21"/>
                <w:szCs w:val="21"/>
                <w:lang w:val="en-US" w:eastAsia="zh-CN"/>
              </w:rPr>
              <w:t>项</w:t>
            </w:r>
            <w:r>
              <w:rPr>
                <w:rFonts w:ascii="宋体" w:hAnsi="宋体" w:eastAsia="宋体" w:cs="宋体"/>
                <w:color w:val="auto"/>
                <w:kern w:val="0"/>
                <w:sz w:val="21"/>
                <w:szCs w:val="21"/>
              </w:rPr>
              <w:t>)</w:t>
            </w:r>
          </w:p>
        </w:tc>
        <w:tc>
          <w:tcPr>
            <w:tcW w:w="176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8E3C4FF">
            <w:pPr>
              <w:keepNext w:val="0"/>
              <w:keepLines w:val="0"/>
              <w:pageBreakBefore w:val="0"/>
              <w:widowControl/>
              <w:kinsoku/>
              <w:overflowPunct/>
              <w:topLinePunct w:val="0"/>
              <w:autoSpaceDE/>
              <w:autoSpaceDN/>
              <w:bidi w:val="0"/>
              <w:adjustRightInd/>
              <w:spacing w:line="360" w:lineRule="auto"/>
              <w:jc w:val="center"/>
              <w:textAlignment w:val="auto"/>
              <w:rPr>
                <w:rFonts w:ascii="宋体" w:hAnsi="宋体" w:eastAsia="宋体" w:cs="宋体"/>
                <w:color w:val="auto"/>
                <w:kern w:val="0"/>
                <w:sz w:val="21"/>
                <w:szCs w:val="21"/>
              </w:rPr>
            </w:pPr>
            <w:r>
              <w:rPr>
                <w:rFonts w:ascii="宋体" w:hAnsi="宋体" w:eastAsia="宋体" w:cs="宋体"/>
                <w:color w:val="auto"/>
                <w:kern w:val="0"/>
                <w:sz w:val="21"/>
                <w:szCs w:val="21"/>
              </w:rPr>
              <w:t>详见采购文件</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2EB53AE">
            <w:pPr>
              <w:keepNext w:val="0"/>
              <w:keepLines w:val="0"/>
              <w:pageBreakBefore w:val="0"/>
              <w:widowControl/>
              <w:kinsoku/>
              <w:overflowPunct/>
              <w:topLinePunct w:val="0"/>
              <w:autoSpaceDE/>
              <w:autoSpaceDN/>
              <w:bidi w:val="0"/>
              <w:adjustRightInd/>
              <w:spacing w:line="360" w:lineRule="auto"/>
              <w:jc w:val="center"/>
              <w:textAlignment w:val="auto"/>
              <w:rPr>
                <w:rFonts w:hint="default" w:ascii="宋体" w:hAnsi="宋体" w:eastAsia="宋体" w:cs="宋体"/>
                <w:color w:val="auto"/>
                <w:kern w:val="0"/>
                <w:sz w:val="21"/>
                <w:szCs w:val="21"/>
                <w:lang w:val="en-US" w:eastAsia="zh-CN"/>
              </w:rPr>
            </w:pPr>
            <w:r>
              <w:rPr>
                <w:rFonts w:hint="eastAsia" w:ascii="宋体" w:hAnsi="宋体" w:eastAsia="宋体" w:cs="宋体"/>
                <w:color w:val="auto"/>
                <w:kern w:val="2"/>
                <w:sz w:val="21"/>
                <w:szCs w:val="21"/>
                <w:lang w:val="en-US" w:eastAsia="zh-CN" w:bidi="ar-SA"/>
              </w:rPr>
              <w:t>335,000.00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DCAA047">
            <w:pPr>
              <w:keepNext w:val="0"/>
              <w:keepLines w:val="0"/>
              <w:pageBreakBefore w:val="0"/>
              <w:widowControl/>
              <w:kinsoku/>
              <w:overflowPunct/>
              <w:topLinePunct w:val="0"/>
              <w:autoSpaceDE/>
              <w:autoSpaceDN/>
              <w:bidi w:val="0"/>
              <w:adjustRightInd/>
              <w:spacing w:line="360" w:lineRule="auto"/>
              <w:jc w:val="center"/>
              <w:textAlignment w:val="auto"/>
              <w:rPr>
                <w:rFonts w:ascii="宋体" w:hAnsi="宋体" w:eastAsia="宋体" w:cs="宋体"/>
                <w:color w:val="auto"/>
                <w:kern w:val="0"/>
                <w:sz w:val="21"/>
                <w:szCs w:val="21"/>
              </w:rPr>
            </w:pPr>
            <w:r>
              <w:rPr>
                <w:rFonts w:hint="eastAsia" w:ascii="宋体" w:hAnsi="宋体" w:eastAsia="宋体" w:cs="宋体"/>
                <w:color w:val="auto"/>
                <w:kern w:val="2"/>
                <w:sz w:val="21"/>
                <w:szCs w:val="21"/>
                <w:lang w:val="en-US" w:eastAsia="zh-CN" w:bidi="ar-SA"/>
              </w:rPr>
              <w:t>335,000.00</w:t>
            </w:r>
          </w:p>
        </w:tc>
      </w:tr>
    </w:tbl>
    <w:p w14:paraId="537EFAA9">
      <w:pPr>
        <w:keepNext w:val="0"/>
        <w:keepLines w:val="0"/>
        <w:pageBreakBefore w:val="0"/>
        <w:widowControl w:val="0"/>
        <w:kinsoku/>
        <w:overflowPunct/>
        <w:topLinePunct w:val="0"/>
        <w:autoSpaceDE/>
        <w:autoSpaceDN/>
        <w:bidi w:val="0"/>
        <w:adjustRightInd/>
        <w:spacing w:line="360" w:lineRule="auto"/>
        <w:ind w:firstLine="630"/>
        <w:jc w:val="both"/>
        <w:textAlignment w:val="auto"/>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本合同包</w:t>
      </w:r>
      <w:r>
        <w:rPr>
          <w:rStyle w:val="71"/>
          <w:rFonts w:hint="eastAsia" w:ascii="宋体" w:hAnsi="宋体" w:eastAsia="宋体" w:cs="宋体"/>
          <w:color w:val="auto"/>
          <w:kern w:val="2"/>
          <w:sz w:val="21"/>
          <w:szCs w:val="21"/>
          <w:lang w:val="en-US" w:eastAsia="zh-CN" w:bidi="ar-SA"/>
        </w:rPr>
        <w:t>不接受</w:t>
      </w:r>
      <w:r>
        <w:rPr>
          <w:rFonts w:hint="eastAsia" w:ascii="宋体" w:hAnsi="宋体" w:eastAsia="宋体" w:cs="Times New Roman"/>
          <w:color w:val="auto"/>
          <w:kern w:val="2"/>
          <w:sz w:val="21"/>
          <w:szCs w:val="21"/>
          <w:lang w:val="en-US" w:eastAsia="zh-CN" w:bidi="ar-SA"/>
        </w:rPr>
        <w:t>联合体投标</w:t>
      </w:r>
    </w:p>
    <w:p w14:paraId="370C8E54">
      <w:pPr>
        <w:keepNext w:val="0"/>
        <w:keepLines w:val="0"/>
        <w:pageBreakBefore w:val="0"/>
        <w:widowControl w:val="0"/>
        <w:kinsoku/>
        <w:overflowPunct/>
        <w:topLinePunct w:val="0"/>
        <w:autoSpaceDE/>
        <w:autoSpaceDN/>
        <w:bidi w:val="0"/>
        <w:adjustRightInd/>
        <w:spacing w:line="360" w:lineRule="auto"/>
        <w:ind w:firstLine="630"/>
        <w:jc w:val="both"/>
        <w:textAlignment w:val="auto"/>
        <w:rPr>
          <w:rFonts w:hint="default"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lang w:val="en-US" w:eastAsia="zh-CN" w:bidi="ar-SA"/>
        </w:rPr>
        <w:t>合同履行期限：</w:t>
      </w:r>
      <w:r>
        <w:rPr>
          <w:rFonts w:hint="eastAsia" w:ascii="宋体" w:hAnsi="宋体" w:eastAsia="宋体" w:cs="宋体"/>
          <w:color w:val="auto"/>
          <w:sz w:val="21"/>
          <w:szCs w:val="21"/>
          <w:highlight w:val="none"/>
          <w:lang w:val="en-US" w:eastAsia="zh-CN"/>
        </w:rPr>
        <w:t>开始工作至本项目工程结束（具体随工程项目进展调整）</w:t>
      </w:r>
      <w:r>
        <w:rPr>
          <w:rFonts w:hint="eastAsia" w:ascii="宋体" w:hAnsi="宋体" w:eastAsia="宋体" w:cs="宋体"/>
          <w:color w:val="auto"/>
          <w:sz w:val="21"/>
          <w:szCs w:val="21"/>
          <w:highlight w:val="none"/>
          <w:lang w:eastAsia="zh-CN"/>
        </w:rPr>
        <w:t>。</w:t>
      </w:r>
    </w:p>
    <w:p w14:paraId="7F336154">
      <w:pPr>
        <w:keepNext w:val="0"/>
        <w:keepLines w:val="0"/>
        <w:pageBreakBefore w:val="0"/>
        <w:kinsoku/>
        <w:overflowPunct/>
        <w:topLinePunct w:val="0"/>
        <w:autoSpaceDE/>
        <w:autoSpaceDN/>
        <w:bidi w:val="0"/>
        <w:adjustRightInd/>
        <w:snapToGrid w:val="0"/>
        <w:spacing w:line="360" w:lineRule="auto"/>
        <w:textAlignment w:val="auto"/>
        <w:rPr>
          <w:rStyle w:val="26"/>
          <w:rFonts w:hint="eastAsia" w:ascii="宋体" w:hAnsi="宋体" w:eastAsia="宋体" w:cs="宋体"/>
          <w:color w:val="auto"/>
          <w:sz w:val="18"/>
          <w:szCs w:val="18"/>
          <w:lang w:val="en-US" w:eastAsia="zh-CN" w:bidi="ar-SA"/>
        </w:rPr>
      </w:pPr>
      <w:r>
        <w:rPr>
          <w:rStyle w:val="26"/>
          <w:rFonts w:hint="eastAsia" w:ascii="宋体" w:hAnsi="宋体" w:eastAsia="宋体" w:cs="宋体"/>
          <w:color w:val="auto"/>
          <w:sz w:val="21"/>
          <w:szCs w:val="21"/>
          <w:lang w:val="en-US" w:eastAsia="zh-CN" w:bidi="ar-SA"/>
        </w:rPr>
        <w:t>二、申请人的资格要求：</w:t>
      </w:r>
    </w:p>
    <w:p w14:paraId="13C602E0">
      <w:pPr>
        <w:keepNext w:val="0"/>
        <w:keepLines w:val="0"/>
        <w:pageBreakBefore w:val="0"/>
        <w:widowControl w:val="0"/>
        <w:kinsoku/>
        <w:overflowPunct/>
        <w:topLinePunct w:val="0"/>
        <w:autoSpaceDE/>
        <w:autoSpaceDN/>
        <w:bidi w:val="0"/>
        <w:adjustRightInd/>
        <w:spacing w:line="360" w:lineRule="auto"/>
        <w:ind w:firstLine="480"/>
        <w:jc w:val="both"/>
        <w:textAlignment w:val="auto"/>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1.满足《中华人民共和国政府釆购法》第二十二条规定;</w:t>
      </w:r>
    </w:p>
    <w:p w14:paraId="2AAC791B">
      <w:pPr>
        <w:keepNext w:val="0"/>
        <w:keepLines w:val="0"/>
        <w:pageBreakBefore w:val="0"/>
        <w:widowControl w:val="0"/>
        <w:kinsoku/>
        <w:overflowPunct/>
        <w:topLinePunct w:val="0"/>
        <w:autoSpaceDE/>
        <w:autoSpaceDN/>
        <w:bidi w:val="0"/>
        <w:adjustRightInd/>
        <w:spacing w:line="360" w:lineRule="auto"/>
        <w:ind w:firstLine="480"/>
        <w:jc w:val="both"/>
        <w:textAlignment w:val="auto"/>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2.落实政府采购政策需满足的资格要求：</w:t>
      </w:r>
    </w:p>
    <w:p w14:paraId="11F8BDB9">
      <w:pPr>
        <w:keepNext w:val="0"/>
        <w:keepLines w:val="0"/>
        <w:pageBreakBefore w:val="0"/>
        <w:widowControl w:val="0"/>
        <w:kinsoku/>
        <w:overflowPunct/>
        <w:topLinePunct w:val="0"/>
        <w:autoSpaceDE/>
        <w:autoSpaceDN/>
        <w:bidi w:val="0"/>
        <w:adjustRightInd/>
        <w:spacing w:line="360" w:lineRule="auto"/>
        <w:ind w:firstLine="480"/>
        <w:jc w:val="both"/>
        <w:textAlignment w:val="auto"/>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合同包1(</w:t>
      </w:r>
      <w:r>
        <w:rPr>
          <w:rFonts w:hint="eastAsia" w:ascii="宋体" w:hAnsi="宋体" w:eastAsia="宋体" w:cs="宋体"/>
          <w:color w:val="auto"/>
          <w:sz w:val="21"/>
          <w:szCs w:val="21"/>
          <w:lang w:val="en-US" w:eastAsia="zh-CN" w:bidi="ar-SA"/>
        </w:rPr>
        <w:t>旬邑县养老中心服务设施提升改造项目地基检测服务</w:t>
      </w:r>
      <w:r>
        <w:rPr>
          <w:rFonts w:hint="eastAsia" w:ascii="宋体" w:hAnsi="宋体" w:eastAsia="宋体" w:cs="Times New Roman"/>
          <w:color w:val="auto"/>
          <w:kern w:val="2"/>
          <w:sz w:val="21"/>
          <w:szCs w:val="21"/>
          <w:lang w:val="en-US" w:eastAsia="zh-CN" w:bidi="ar-SA"/>
        </w:rPr>
        <w:t>)落实政府采购政策需满足的资格要求如下:</w:t>
      </w:r>
    </w:p>
    <w:p w14:paraId="23A23EEE">
      <w:pPr>
        <w:keepNext w:val="0"/>
        <w:keepLines w:val="0"/>
        <w:pageBreakBefore w:val="0"/>
        <w:widowControl w:val="0"/>
        <w:kinsoku/>
        <w:overflowPunct/>
        <w:topLinePunct w:val="0"/>
        <w:autoSpaceDE/>
        <w:autoSpaceDN/>
        <w:bidi w:val="0"/>
        <w:adjustRightInd/>
        <w:spacing w:line="360" w:lineRule="auto"/>
        <w:ind w:firstLine="480"/>
        <w:jc w:val="both"/>
        <w:textAlignment w:val="auto"/>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本项目为专门面向中小企业项目；供应商应为中型企业或小型、微型企业或监狱企业或残疾人福利性单位。供应商为中小企业的，提供《中小企业声明函》；供应商为监狱企业的，应提供监狱企业的证明文件；供应商为残疾人福利性单位的，应提供《残疾人福利性单位声明函》（监狱企业或残疾人福利性单位视同小型、微型企业）。</w:t>
      </w:r>
    </w:p>
    <w:p w14:paraId="2DF491BC">
      <w:pPr>
        <w:keepNext w:val="0"/>
        <w:keepLines w:val="0"/>
        <w:pageBreakBefore w:val="0"/>
        <w:widowControl w:val="0"/>
        <w:kinsoku/>
        <w:overflowPunct/>
        <w:topLinePunct w:val="0"/>
        <w:autoSpaceDE/>
        <w:autoSpaceDN/>
        <w:bidi w:val="0"/>
        <w:adjustRightInd/>
        <w:spacing w:line="360" w:lineRule="auto"/>
        <w:ind w:firstLine="480"/>
        <w:jc w:val="both"/>
        <w:textAlignment w:val="auto"/>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合同包2(</w:t>
      </w:r>
      <w:r>
        <w:rPr>
          <w:rFonts w:hint="eastAsia" w:ascii="宋体" w:hAnsi="宋体" w:eastAsia="宋体" w:cs="宋体"/>
          <w:color w:val="auto"/>
          <w:sz w:val="21"/>
          <w:szCs w:val="21"/>
          <w:lang w:val="en-US" w:eastAsia="zh-CN" w:bidi="ar-SA"/>
        </w:rPr>
        <w:t>旬邑县养老中心服务设施提升改造项目基坑变形监测及主体沉降观测</w:t>
      </w:r>
      <w:r>
        <w:rPr>
          <w:rFonts w:hint="eastAsia" w:ascii="宋体" w:hAnsi="宋体" w:eastAsia="宋体" w:cs="Times New Roman"/>
          <w:color w:val="auto"/>
          <w:kern w:val="2"/>
          <w:sz w:val="21"/>
          <w:szCs w:val="21"/>
          <w:lang w:val="en-US" w:eastAsia="zh-CN" w:bidi="ar-SA"/>
        </w:rPr>
        <w:t>)落实政府采购政策需满足的资格要求如下:</w:t>
      </w:r>
    </w:p>
    <w:p w14:paraId="3EED500F">
      <w:pPr>
        <w:keepNext w:val="0"/>
        <w:keepLines w:val="0"/>
        <w:pageBreakBefore w:val="0"/>
        <w:widowControl w:val="0"/>
        <w:kinsoku/>
        <w:overflowPunct/>
        <w:topLinePunct w:val="0"/>
        <w:autoSpaceDE/>
        <w:autoSpaceDN/>
        <w:bidi w:val="0"/>
        <w:adjustRightInd/>
        <w:spacing w:line="360" w:lineRule="auto"/>
        <w:ind w:firstLine="480"/>
        <w:jc w:val="both"/>
        <w:textAlignment w:val="auto"/>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本项目为专门面向中小企业项目；供应商应为中型企业或小型、微型企业或监狱企业或残疾人福利性单位。供应商为中小企业的，提供《中小企业声明函》；供应商为监狱企业的，应提供监狱企业的证明文件；供应商为残疾人福利性单位的，应提供《残疾人福利性单位声明函》（监狱企业或残疾人福利性单位视同小型、微型企业）。</w:t>
      </w:r>
    </w:p>
    <w:p w14:paraId="70746884">
      <w:pPr>
        <w:keepNext w:val="0"/>
        <w:keepLines w:val="0"/>
        <w:pageBreakBefore w:val="0"/>
        <w:widowControl w:val="0"/>
        <w:kinsoku/>
        <w:overflowPunct/>
        <w:topLinePunct w:val="0"/>
        <w:autoSpaceDE/>
        <w:autoSpaceDN/>
        <w:bidi w:val="0"/>
        <w:adjustRightInd/>
        <w:spacing w:line="360" w:lineRule="auto"/>
        <w:ind w:firstLine="480"/>
        <w:jc w:val="both"/>
        <w:textAlignment w:val="auto"/>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3.本项目的特定资格要求：</w:t>
      </w:r>
    </w:p>
    <w:p w14:paraId="7A0124E0">
      <w:pPr>
        <w:keepNext w:val="0"/>
        <w:keepLines w:val="0"/>
        <w:pageBreakBefore w:val="0"/>
        <w:widowControl w:val="0"/>
        <w:kinsoku/>
        <w:overflowPunct/>
        <w:topLinePunct w:val="0"/>
        <w:autoSpaceDE/>
        <w:autoSpaceDN/>
        <w:bidi w:val="0"/>
        <w:adjustRightInd/>
        <w:spacing w:line="360" w:lineRule="auto"/>
        <w:ind w:firstLine="480"/>
        <w:jc w:val="both"/>
        <w:textAlignment w:val="auto"/>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合同包1(</w:t>
      </w:r>
      <w:r>
        <w:rPr>
          <w:rFonts w:hint="eastAsia" w:ascii="宋体" w:hAnsi="宋体" w:eastAsia="宋体" w:cs="宋体"/>
          <w:color w:val="auto"/>
          <w:sz w:val="21"/>
          <w:szCs w:val="21"/>
          <w:lang w:val="en-US" w:eastAsia="zh-CN" w:bidi="ar-SA"/>
        </w:rPr>
        <w:t>旬邑县养老中心服务设施提升改造项目地基检测服务</w:t>
      </w:r>
      <w:r>
        <w:rPr>
          <w:rFonts w:hint="eastAsia" w:ascii="宋体" w:hAnsi="宋体" w:eastAsia="宋体" w:cs="Times New Roman"/>
          <w:color w:val="auto"/>
          <w:kern w:val="2"/>
          <w:sz w:val="21"/>
          <w:szCs w:val="21"/>
          <w:lang w:val="en-US" w:eastAsia="zh-CN" w:bidi="ar-SA"/>
        </w:rPr>
        <w:t>)特定资格要求如下:</w:t>
      </w:r>
      <w:r>
        <w:rPr>
          <w:rFonts w:hint="eastAsia" w:ascii="宋体" w:hAnsi="宋体" w:eastAsia="宋体" w:cs="Times New Roman"/>
          <w:color w:val="auto"/>
          <w:kern w:val="2"/>
          <w:sz w:val="21"/>
          <w:szCs w:val="21"/>
          <w:lang w:val="en-US" w:eastAsia="zh-CN" w:bidi="ar-SA"/>
        </w:rPr>
        <w:tab/>
      </w:r>
    </w:p>
    <w:p w14:paraId="4B52072B">
      <w:pPr>
        <w:keepNext w:val="0"/>
        <w:keepLines w:val="0"/>
        <w:pageBreakBefore w:val="0"/>
        <w:widowControl/>
        <w:kinsoku/>
        <w:overflowPunct/>
        <w:topLinePunct w:val="0"/>
        <w:autoSpaceDE/>
        <w:autoSpaceDN/>
        <w:bidi w:val="0"/>
        <w:adjustRightInd/>
        <w:spacing w:line="360" w:lineRule="auto"/>
        <w:ind w:firstLine="420" w:firstLineChars="200"/>
        <w:jc w:val="left"/>
        <w:textAlignment w:val="auto"/>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（1）有效的主体资格证明：供应商应是独立承担民事责任能力的法人、其他组织或自然人，法人、其他组织须提供合法有效的营业执照(或事业单位法人证书)等证明资料，自然人须提供身份证明。</w:t>
      </w:r>
    </w:p>
    <w:p w14:paraId="2C4BECAF">
      <w:pPr>
        <w:keepNext w:val="0"/>
        <w:keepLines w:val="0"/>
        <w:pageBreakBefore w:val="0"/>
        <w:widowControl/>
        <w:kinsoku/>
        <w:overflowPunct/>
        <w:topLinePunct w:val="0"/>
        <w:autoSpaceDE/>
        <w:autoSpaceDN/>
        <w:bidi w:val="0"/>
        <w:adjustRightInd/>
        <w:spacing w:line="360" w:lineRule="auto"/>
        <w:ind w:firstLine="420" w:firstLineChars="200"/>
        <w:jc w:val="left"/>
        <w:textAlignment w:val="auto"/>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2）财务状况报告：提供2025年度经审计的财务审计报告（成立时间至开标时间不足一年的可提供成立后任意时段的资产负债表）或磋商截止时间前六个月内其基本账户银行出具的资信证明或政府采购信用担保机构出具的担保函；(以上三种形式的资料提供任何一种即可)；</w:t>
      </w:r>
    </w:p>
    <w:p w14:paraId="33C98B12">
      <w:pPr>
        <w:keepNext w:val="0"/>
        <w:keepLines w:val="0"/>
        <w:pageBreakBefore w:val="0"/>
        <w:widowControl/>
        <w:kinsoku/>
        <w:overflowPunct/>
        <w:topLinePunct w:val="0"/>
        <w:autoSpaceDE/>
        <w:autoSpaceDN/>
        <w:bidi w:val="0"/>
        <w:adjustRightInd/>
        <w:spacing w:line="360" w:lineRule="auto"/>
        <w:ind w:firstLine="420" w:firstLineChars="200"/>
        <w:jc w:val="left"/>
        <w:textAlignment w:val="auto"/>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 xml:space="preserve">（3）社保缴纳证明：提供2026年1月1日至磋商截止时间前任意一个月已缴纳的社会保障资金的凭据（专用收据或社会保险缴纳清单）；依法不需要缴纳社会保障资金的供应商应提供相关文件证明；  </w:t>
      </w:r>
    </w:p>
    <w:p w14:paraId="5CEF6526">
      <w:pPr>
        <w:keepNext w:val="0"/>
        <w:keepLines w:val="0"/>
        <w:pageBreakBefore w:val="0"/>
        <w:widowControl/>
        <w:kinsoku/>
        <w:overflowPunct/>
        <w:topLinePunct w:val="0"/>
        <w:autoSpaceDE/>
        <w:autoSpaceDN/>
        <w:bidi w:val="0"/>
        <w:adjustRightInd/>
        <w:spacing w:line="360" w:lineRule="auto"/>
        <w:ind w:firstLine="420" w:firstLineChars="200"/>
        <w:jc w:val="left"/>
        <w:textAlignment w:val="auto"/>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（4）税收缴纳证明：提供2026年1月1日至磋商截止时间前任意一个月的纳税证明或完税证明，凭据应有税务机关或代收机关的公章或业务专用章。依法免税或无须缴纳税收的供应商，应提供相应证明文件；</w:t>
      </w:r>
    </w:p>
    <w:p w14:paraId="6ECC45E2">
      <w:pPr>
        <w:keepNext w:val="0"/>
        <w:keepLines w:val="0"/>
        <w:pageBreakBefore w:val="0"/>
        <w:kinsoku/>
        <w:overflowPunct/>
        <w:topLinePunct w:val="0"/>
        <w:autoSpaceDE/>
        <w:autoSpaceDN/>
        <w:bidi w:val="0"/>
        <w:adjustRightInd/>
        <w:spacing w:line="360" w:lineRule="auto"/>
        <w:ind w:firstLine="420" w:firstLineChars="200"/>
        <w:textAlignment w:val="auto"/>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（5）书面声明：参加磋商活动前 3 年内，在经营活动中没有重大违法记录的书面声明；</w:t>
      </w:r>
    </w:p>
    <w:p w14:paraId="7C912070">
      <w:pPr>
        <w:keepNext w:val="0"/>
        <w:keepLines w:val="0"/>
        <w:pageBreakBefore w:val="0"/>
        <w:widowControl/>
        <w:kinsoku/>
        <w:wordWrap w:val="0"/>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6）供应商不得为“信用中国”网站(http://www.creditchina.gov.cn)列入“失信被执行人（页面跳转至“中国执行信息公开网http://zxgk.court.gov.cn/shixin/）、重大税收违法失信主体、政府采购严重违法失信行为记录名单”的供应商；不得为中国政府采购网 (http://www.ccgp.gov.cn)“政府采购严重违法失信行为记录名单”中的供应商。</w:t>
      </w:r>
    </w:p>
    <w:p w14:paraId="3BD90949">
      <w:pPr>
        <w:keepNext w:val="0"/>
        <w:keepLines w:val="0"/>
        <w:pageBreakBefore w:val="0"/>
        <w:widowControl/>
        <w:kinsoku/>
        <w:overflowPunct/>
        <w:topLinePunct w:val="0"/>
        <w:autoSpaceDE/>
        <w:autoSpaceDN/>
        <w:bidi w:val="0"/>
        <w:adjustRightInd/>
        <w:spacing w:line="360" w:lineRule="auto"/>
        <w:ind w:firstLine="420" w:firstLineChars="200"/>
        <w:jc w:val="left"/>
        <w:textAlignment w:val="auto"/>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 xml:space="preserve">（7）控股管理关系：单位负责人为同一人或者存在直接控股、管理关系的不同供应商、不得参加同一合同项下的政府采购活动。与大企业的负责人为同一人，或者与大企业存在直接控股、管理关系的不得参加本项目政府采购活动； </w:t>
      </w:r>
    </w:p>
    <w:p w14:paraId="2CFDCB47">
      <w:pPr>
        <w:keepNext w:val="0"/>
        <w:keepLines w:val="0"/>
        <w:pageBreakBefore w:val="0"/>
        <w:widowControl/>
        <w:kinsoku/>
        <w:overflowPunct/>
        <w:topLinePunct w:val="0"/>
        <w:autoSpaceDE/>
        <w:autoSpaceDN/>
        <w:bidi w:val="0"/>
        <w:adjustRightInd/>
        <w:spacing w:line="360" w:lineRule="auto"/>
        <w:ind w:firstLine="420" w:firstLineChars="200"/>
        <w:jc w:val="left"/>
        <w:textAlignment w:val="auto"/>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（8）书面声明：提供书面声明，包括声明具有履行合同所必需的设备和专业技术能力；</w:t>
      </w:r>
    </w:p>
    <w:p w14:paraId="021ACC50">
      <w:pPr>
        <w:keepNext w:val="0"/>
        <w:keepLines w:val="0"/>
        <w:pageBreakBefore w:val="0"/>
        <w:widowControl/>
        <w:kinsoku/>
        <w:overflowPunct/>
        <w:topLinePunct w:val="0"/>
        <w:autoSpaceDE/>
        <w:autoSpaceDN/>
        <w:bidi w:val="0"/>
        <w:adjustRightInd/>
        <w:spacing w:line="360" w:lineRule="auto"/>
        <w:ind w:firstLine="420" w:firstLineChars="200"/>
        <w:jc w:val="left"/>
        <w:textAlignment w:val="auto"/>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（9）法定代表人授权委托书（附法定代表人身份证复印件及被授权人身份证复印件）；法定代表人直接参加磋商只需提供法定代表人身份证明书（附法定代表人身份证复印件）；</w:t>
      </w:r>
    </w:p>
    <w:p w14:paraId="13EE67AB">
      <w:pPr>
        <w:keepNext w:val="0"/>
        <w:keepLines w:val="0"/>
        <w:pageBreakBefore w:val="0"/>
        <w:widowControl/>
        <w:kinsoku/>
        <w:overflowPunct/>
        <w:topLinePunct w:val="0"/>
        <w:autoSpaceDE/>
        <w:autoSpaceDN/>
        <w:bidi w:val="0"/>
        <w:adjustRightInd/>
        <w:spacing w:line="360" w:lineRule="auto"/>
        <w:ind w:firstLine="420" w:firstLineChars="200"/>
        <w:jc w:val="left"/>
        <w:textAlignment w:val="auto"/>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（10）供应商须具备建设主管部门颁发的《建设工程质量检测机构资质证书》综合资质或专项资质(地基基础工程检测)；</w:t>
      </w:r>
    </w:p>
    <w:p w14:paraId="087862AF">
      <w:pPr>
        <w:keepNext w:val="0"/>
        <w:keepLines w:val="0"/>
        <w:pageBreakBefore w:val="0"/>
        <w:widowControl/>
        <w:kinsoku/>
        <w:overflowPunct/>
        <w:topLinePunct w:val="0"/>
        <w:autoSpaceDE/>
        <w:autoSpaceDN/>
        <w:bidi w:val="0"/>
        <w:adjustRightInd/>
        <w:spacing w:line="360" w:lineRule="auto"/>
        <w:ind w:firstLine="420" w:firstLineChars="200"/>
        <w:jc w:val="left"/>
        <w:textAlignment w:val="auto"/>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（11）供应商拟派项目负责人须为本单位的注册人员，具备注册土木工程师(岩土)执业资格或具有相关专业中级及以上职称。</w:t>
      </w:r>
    </w:p>
    <w:p w14:paraId="4DE3DAA2">
      <w:pPr>
        <w:keepNext w:val="0"/>
        <w:keepLines w:val="0"/>
        <w:pageBreakBefore w:val="0"/>
        <w:widowControl/>
        <w:kinsoku/>
        <w:overflowPunct/>
        <w:topLinePunct w:val="0"/>
        <w:autoSpaceDE/>
        <w:autoSpaceDN/>
        <w:bidi w:val="0"/>
        <w:adjustRightInd/>
        <w:spacing w:line="360" w:lineRule="auto"/>
        <w:ind w:firstLine="420" w:firstLineChars="200"/>
        <w:jc w:val="left"/>
        <w:textAlignment w:val="auto"/>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（12）本项目不接受联合体磋商。</w:t>
      </w:r>
    </w:p>
    <w:p w14:paraId="438B887E">
      <w:pPr>
        <w:keepNext w:val="0"/>
        <w:keepLines w:val="0"/>
        <w:pageBreakBefore w:val="0"/>
        <w:widowControl/>
        <w:kinsoku/>
        <w:overflowPunct/>
        <w:topLinePunct w:val="0"/>
        <w:autoSpaceDE/>
        <w:autoSpaceDN/>
        <w:bidi w:val="0"/>
        <w:adjustRightInd/>
        <w:spacing w:line="360" w:lineRule="auto"/>
        <w:ind w:firstLine="420" w:firstLineChars="200"/>
        <w:jc w:val="left"/>
        <w:textAlignment w:val="auto"/>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合同包2(旬邑县养老中心服务设施提升改造项目基坑变形监测及主体沉降观测)特定资格要求如下:</w:t>
      </w:r>
    </w:p>
    <w:p w14:paraId="41665D1C">
      <w:pPr>
        <w:keepNext w:val="0"/>
        <w:keepLines w:val="0"/>
        <w:pageBreakBefore w:val="0"/>
        <w:widowControl/>
        <w:kinsoku/>
        <w:overflowPunct/>
        <w:topLinePunct w:val="0"/>
        <w:autoSpaceDE/>
        <w:autoSpaceDN/>
        <w:bidi w:val="0"/>
        <w:adjustRightInd/>
        <w:spacing w:line="360" w:lineRule="auto"/>
        <w:ind w:firstLine="420" w:firstLineChars="200"/>
        <w:jc w:val="left"/>
        <w:textAlignment w:val="auto"/>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（1）有效的主体资格证明：供应商应是独立承担民事责任能力的法人、其他组织或自然人，法人、其他组织须提供合法有效的营业执照(或事业单位法人证书)等证明资料，自然人须提供身份证明；</w:t>
      </w:r>
    </w:p>
    <w:p w14:paraId="70399ADE">
      <w:pPr>
        <w:keepNext w:val="0"/>
        <w:keepLines w:val="0"/>
        <w:pageBreakBefore w:val="0"/>
        <w:widowControl/>
        <w:kinsoku/>
        <w:overflowPunct/>
        <w:topLinePunct w:val="0"/>
        <w:autoSpaceDE/>
        <w:autoSpaceDN/>
        <w:bidi w:val="0"/>
        <w:adjustRightInd/>
        <w:spacing w:line="360" w:lineRule="auto"/>
        <w:ind w:firstLine="420" w:firstLineChars="200"/>
        <w:jc w:val="left"/>
        <w:textAlignment w:val="auto"/>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2）财务状况报告：提供2025年度经审计的财务审计报告（成立时间至开标时间不足一年的可提供成立后任意时段的资产负债表）或磋商截止时间前六个月内其基本账户银行出具的资信证明或政府采购信用担保机构出具的担保函；(以上三种形式的资料提供任何一种即可)；</w:t>
      </w:r>
    </w:p>
    <w:p w14:paraId="5585DAA9">
      <w:pPr>
        <w:keepNext w:val="0"/>
        <w:keepLines w:val="0"/>
        <w:pageBreakBefore w:val="0"/>
        <w:widowControl/>
        <w:kinsoku/>
        <w:overflowPunct/>
        <w:topLinePunct w:val="0"/>
        <w:autoSpaceDE/>
        <w:autoSpaceDN/>
        <w:bidi w:val="0"/>
        <w:adjustRightInd/>
        <w:spacing w:line="360" w:lineRule="auto"/>
        <w:ind w:firstLine="420" w:firstLineChars="200"/>
        <w:jc w:val="left"/>
        <w:textAlignment w:val="auto"/>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（3）社保缴纳证明：提供2026年1月1日至磋商截止时间前任意一个月已缴纳的社会保障资金的凭据（专用收据或社会保险缴纳清单）；依法不需要缴纳社会保障资金的供应商应提供相关文件证明；</w:t>
      </w:r>
    </w:p>
    <w:p w14:paraId="60F20CF9">
      <w:pPr>
        <w:keepNext w:val="0"/>
        <w:keepLines w:val="0"/>
        <w:pageBreakBefore w:val="0"/>
        <w:widowControl/>
        <w:kinsoku/>
        <w:overflowPunct/>
        <w:topLinePunct w:val="0"/>
        <w:autoSpaceDE/>
        <w:autoSpaceDN/>
        <w:bidi w:val="0"/>
        <w:adjustRightInd/>
        <w:spacing w:line="360" w:lineRule="auto"/>
        <w:ind w:firstLine="420" w:firstLineChars="200"/>
        <w:jc w:val="left"/>
        <w:textAlignment w:val="auto"/>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（4）税收缴纳证明：提供2026年1月1日至磋商截止时间前任意一个月的纳税证明或完税证明，凭据应有税务机关或代收机关的公章或业务专用章。依法免税或无须缴纳税收的供应商，应提供相应证明文件；</w:t>
      </w:r>
    </w:p>
    <w:p w14:paraId="52E3D4E2">
      <w:pPr>
        <w:keepNext w:val="0"/>
        <w:keepLines w:val="0"/>
        <w:pageBreakBefore w:val="0"/>
        <w:kinsoku/>
        <w:overflowPunct/>
        <w:topLinePunct w:val="0"/>
        <w:autoSpaceDE/>
        <w:autoSpaceDN/>
        <w:bidi w:val="0"/>
        <w:adjustRightInd/>
        <w:spacing w:line="360" w:lineRule="auto"/>
        <w:ind w:firstLine="420" w:firstLineChars="200"/>
        <w:textAlignment w:val="auto"/>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（5）书面声明：参加磋商活动前 3 年内，在经营活动中没有重大违法记录的书面声明；</w:t>
      </w:r>
    </w:p>
    <w:p w14:paraId="0510E59D">
      <w:pPr>
        <w:keepNext w:val="0"/>
        <w:keepLines w:val="0"/>
        <w:pageBreakBefore w:val="0"/>
        <w:widowControl/>
        <w:kinsoku/>
        <w:overflowPunct/>
        <w:topLinePunct w:val="0"/>
        <w:autoSpaceDE/>
        <w:autoSpaceDN/>
        <w:bidi w:val="0"/>
        <w:adjustRightInd/>
        <w:spacing w:line="360" w:lineRule="auto"/>
        <w:ind w:firstLine="420" w:firstLineChars="200"/>
        <w:jc w:val="left"/>
        <w:textAlignment w:val="auto"/>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6）供应商不得为“信用中国”网站(http://www.creditchina.gov.cn)列入“失信被执行人（页面跳转至“中国执行信息公开网http://zxgk.court.gov.cn/shixin/）、重大税收违法失信主体、政府采购严重违法失信行为记录名单”的供应商；不得为中国政府采购网 (http://www.ccgp.gov.cn)“政府采购严重违法失信行为记录名单”中的供应商；</w:t>
      </w:r>
    </w:p>
    <w:p w14:paraId="48A9A2AD">
      <w:pPr>
        <w:keepNext w:val="0"/>
        <w:keepLines w:val="0"/>
        <w:pageBreakBefore w:val="0"/>
        <w:widowControl/>
        <w:kinsoku/>
        <w:overflowPunct/>
        <w:topLinePunct w:val="0"/>
        <w:autoSpaceDE/>
        <w:autoSpaceDN/>
        <w:bidi w:val="0"/>
        <w:adjustRightInd/>
        <w:spacing w:line="360" w:lineRule="auto"/>
        <w:ind w:firstLine="420" w:firstLineChars="200"/>
        <w:jc w:val="left"/>
        <w:textAlignment w:val="auto"/>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 xml:space="preserve">（7）控股管理关系：单位负责人为同一人或者存在直接控股、管理关系的不同供应商、不得参加同一合同项下的政府采购活动。与大企业的负责人为同一人，或者与大企业存在直接控股、管理关系的不得参加本项目政府采购活动； </w:t>
      </w:r>
    </w:p>
    <w:p w14:paraId="21763212">
      <w:pPr>
        <w:keepNext w:val="0"/>
        <w:keepLines w:val="0"/>
        <w:pageBreakBefore w:val="0"/>
        <w:widowControl/>
        <w:kinsoku/>
        <w:overflowPunct/>
        <w:topLinePunct w:val="0"/>
        <w:autoSpaceDE/>
        <w:autoSpaceDN/>
        <w:bidi w:val="0"/>
        <w:adjustRightInd/>
        <w:spacing w:line="360" w:lineRule="auto"/>
        <w:ind w:firstLine="420" w:firstLineChars="200"/>
        <w:jc w:val="left"/>
        <w:textAlignment w:val="auto"/>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（8）书面声明：提供书面声明，包括声明具有履行合同所必需的设备和专业技术能力；</w:t>
      </w:r>
    </w:p>
    <w:p w14:paraId="5144459A">
      <w:pPr>
        <w:keepNext w:val="0"/>
        <w:keepLines w:val="0"/>
        <w:pageBreakBefore w:val="0"/>
        <w:widowControl/>
        <w:kinsoku/>
        <w:overflowPunct/>
        <w:topLinePunct w:val="0"/>
        <w:autoSpaceDE/>
        <w:autoSpaceDN/>
        <w:bidi w:val="0"/>
        <w:adjustRightInd/>
        <w:spacing w:line="360" w:lineRule="auto"/>
        <w:ind w:firstLine="420" w:firstLineChars="200"/>
        <w:jc w:val="left"/>
        <w:textAlignment w:val="auto"/>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（9）法定代表人授权委托书（附法定代表人身份证复印件及被授权人身份证复印件）；法定代表人直接参加磋商只需提供法定代表人身份证明书（附法定代表人身份证复印件）；</w:t>
      </w:r>
    </w:p>
    <w:p w14:paraId="056EE9D5">
      <w:pPr>
        <w:keepNext w:val="0"/>
        <w:keepLines w:val="0"/>
        <w:pageBreakBefore w:val="0"/>
        <w:widowControl/>
        <w:kinsoku/>
        <w:overflowPunct/>
        <w:topLinePunct w:val="0"/>
        <w:autoSpaceDE/>
        <w:autoSpaceDN/>
        <w:bidi w:val="0"/>
        <w:adjustRightInd/>
        <w:spacing w:line="360" w:lineRule="auto"/>
        <w:ind w:firstLine="420" w:firstLineChars="200"/>
        <w:jc w:val="left"/>
        <w:textAlignment w:val="auto"/>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（10）供应商须具备建筑主管部门颁发的工程勘察综合甲级资质或工程勘察专业资质（工程测量）乙级及以上资质且同时具有工程勘察专业资质（岩土工程勘察分项）乙级及以上资质。</w:t>
      </w:r>
    </w:p>
    <w:p w14:paraId="03319E3A">
      <w:pPr>
        <w:keepNext w:val="0"/>
        <w:keepLines w:val="0"/>
        <w:pageBreakBefore w:val="0"/>
        <w:widowControl/>
        <w:kinsoku/>
        <w:overflowPunct/>
        <w:topLinePunct w:val="0"/>
        <w:autoSpaceDE/>
        <w:autoSpaceDN/>
        <w:bidi w:val="0"/>
        <w:adjustRightInd/>
        <w:spacing w:line="360" w:lineRule="auto"/>
        <w:ind w:firstLine="420" w:firstLineChars="200"/>
        <w:jc w:val="left"/>
        <w:textAlignment w:val="auto"/>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（11）供应商拟派项目负责人具备注册测绘师资格证书且在本单位注册或具有相关专业中级及以上职称。</w:t>
      </w:r>
    </w:p>
    <w:p w14:paraId="4E565C3E">
      <w:pPr>
        <w:keepNext w:val="0"/>
        <w:keepLines w:val="0"/>
        <w:pageBreakBefore w:val="0"/>
        <w:widowControl/>
        <w:kinsoku/>
        <w:overflowPunct/>
        <w:topLinePunct w:val="0"/>
        <w:autoSpaceDE/>
        <w:autoSpaceDN/>
        <w:bidi w:val="0"/>
        <w:adjustRightInd/>
        <w:spacing w:line="360" w:lineRule="auto"/>
        <w:ind w:firstLine="420" w:firstLineChars="200"/>
        <w:jc w:val="left"/>
        <w:textAlignment w:val="auto"/>
        <w:rPr>
          <w:rStyle w:val="26"/>
          <w:rFonts w:hint="eastAsia" w:ascii="宋体" w:hAnsi="宋体" w:eastAsia="宋体" w:cs="宋体"/>
          <w:color w:val="auto"/>
          <w:kern w:val="0"/>
          <w:sz w:val="21"/>
          <w:szCs w:val="21"/>
        </w:rPr>
      </w:pPr>
      <w:r>
        <w:rPr>
          <w:rFonts w:hint="eastAsia" w:ascii="宋体" w:hAnsi="宋体" w:eastAsia="宋体" w:cs="Times New Roman"/>
          <w:color w:val="auto"/>
          <w:kern w:val="2"/>
          <w:sz w:val="21"/>
          <w:szCs w:val="21"/>
          <w:lang w:val="en-US" w:eastAsia="zh-CN" w:bidi="ar-SA"/>
        </w:rPr>
        <w:t>（12）本项目不接受联合体磋商。</w:t>
      </w:r>
    </w:p>
    <w:p w14:paraId="01596914">
      <w:pPr>
        <w:keepNext w:val="0"/>
        <w:keepLines w:val="0"/>
        <w:pageBreakBefore w:val="0"/>
        <w:kinsoku/>
        <w:overflowPunct/>
        <w:topLinePunct w:val="0"/>
        <w:autoSpaceDE/>
        <w:autoSpaceDN/>
        <w:bidi w:val="0"/>
        <w:adjustRightInd/>
        <w:snapToGrid w:val="0"/>
        <w:spacing w:line="360" w:lineRule="auto"/>
        <w:ind w:firstLine="211" w:firstLineChars="100"/>
        <w:textAlignment w:val="auto"/>
        <w:rPr>
          <w:rStyle w:val="26"/>
          <w:rFonts w:hint="eastAsia" w:ascii="宋体" w:hAnsi="宋体" w:eastAsia="宋体" w:cs="宋体"/>
          <w:color w:val="auto"/>
          <w:sz w:val="18"/>
          <w:szCs w:val="18"/>
          <w:lang w:val="en-US" w:eastAsia="zh-CN" w:bidi="ar-SA"/>
        </w:rPr>
      </w:pPr>
      <w:r>
        <w:rPr>
          <w:rStyle w:val="26"/>
          <w:rFonts w:hint="eastAsia" w:ascii="宋体" w:hAnsi="宋体" w:eastAsia="宋体" w:cs="宋体"/>
          <w:color w:val="auto"/>
          <w:sz w:val="21"/>
          <w:szCs w:val="21"/>
          <w:lang w:val="en-US" w:eastAsia="zh-CN" w:bidi="ar-SA"/>
        </w:rPr>
        <w:t>三、获取采购文件</w:t>
      </w:r>
    </w:p>
    <w:p w14:paraId="1EF5C1E1">
      <w:pPr>
        <w:keepNext w:val="0"/>
        <w:keepLines w:val="0"/>
        <w:pageBreakBefore w:val="0"/>
        <w:widowControl w:val="0"/>
        <w:kinsoku/>
        <w:overflowPunct/>
        <w:topLinePunct w:val="0"/>
        <w:autoSpaceDE/>
        <w:autoSpaceDN/>
        <w:bidi w:val="0"/>
        <w:adjustRightInd/>
        <w:spacing w:line="360" w:lineRule="auto"/>
        <w:ind w:firstLine="480"/>
        <w:jc w:val="both"/>
        <w:textAlignment w:val="auto"/>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时间</w:t>
      </w:r>
      <w:r>
        <w:rPr>
          <w:rFonts w:hint="eastAsia" w:ascii="宋体" w:hAnsi="宋体" w:eastAsia="宋体" w:cs="Times New Roman"/>
          <w:color w:val="auto"/>
          <w:kern w:val="2"/>
          <w:sz w:val="21"/>
          <w:szCs w:val="21"/>
          <w:highlight w:val="none"/>
          <w:lang w:val="en-US" w:eastAsia="zh-CN" w:bidi="ar-SA"/>
        </w:rPr>
        <w:t>：</w:t>
      </w:r>
      <w:r>
        <w:rPr>
          <w:rStyle w:val="71"/>
          <w:rFonts w:hint="eastAsia" w:ascii="宋体" w:hAnsi="宋体" w:eastAsia="宋体" w:cs="宋体"/>
          <w:color w:val="auto"/>
          <w:kern w:val="2"/>
          <w:sz w:val="21"/>
          <w:szCs w:val="21"/>
          <w:highlight w:val="none"/>
          <w:lang w:val="en-US" w:eastAsia="zh-CN" w:bidi="ar-SA"/>
        </w:rPr>
        <w:t>2026年9月11日</w:t>
      </w:r>
      <w:r>
        <w:rPr>
          <w:rStyle w:val="72"/>
          <w:rFonts w:hint="eastAsia" w:ascii="宋体" w:hAnsi="宋体" w:eastAsia="宋体" w:cs="宋体"/>
          <w:color w:val="auto"/>
          <w:kern w:val="2"/>
          <w:sz w:val="21"/>
          <w:szCs w:val="21"/>
          <w:highlight w:val="none"/>
          <w:lang w:val="en-US" w:eastAsia="zh-CN" w:bidi="ar-SA"/>
        </w:rPr>
        <w:t>至</w:t>
      </w:r>
      <w:r>
        <w:rPr>
          <w:rStyle w:val="71"/>
          <w:rFonts w:hint="eastAsia" w:ascii="宋体" w:hAnsi="宋体" w:eastAsia="宋体" w:cs="宋体"/>
          <w:color w:val="auto"/>
          <w:kern w:val="2"/>
          <w:sz w:val="21"/>
          <w:szCs w:val="21"/>
          <w:highlight w:val="none"/>
          <w:lang w:val="en-US" w:eastAsia="zh-CN" w:bidi="ar-SA"/>
        </w:rPr>
        <w:t>2026年9月17日</w:t>
      </w:r>
      <w:r>
        <w:rPr>
          <w:rStyle w:val="72"/>
          <w:rFonts w:hint="eastAsia" w:ascii="宋体" w:hAnsi="宋体" w:eastAsia="宋体" w:cs="宋体"/>
          <w:color w:val="auto"/>
          <w:kern w:val="2"/>
          <w:sz w:val="21"/>
          <w:szCs w:val="21"/>
          <w:highlight w:val="none"/>
          <w:lang w:val="en-US" w:eastAsia="zh-CN" w:bidi="ar-SA"/>
        </w:rPr>
        <w:t>，每天上午</w:t>
      </w:r>
      <w:r>
        <w:rPr>
          <w:rStyle w:val="71"/>
          <w:rFonts w:hint="eastAsia" w:ascii="宋体" w:hAnsi="宋体" w:eastAsia="宋体" w:cs="宋体"/>
          <w:color w:val="auto"/>
          <w:kern w:val="2"/>
          <w:sz w:val="21"/>
          <w:szCs w:val="21"/>
          <w:highlight w:val="none"/>
          <w:lang w:val="en-US" w:eastAsia="zh-CN" w:bidi="ar-SA"/>
        </w:rPr>
        <w:t>09</w:t>
      </w:r>
      <w:r>
        <w:rPr>
          <w:rStyle w:val="71"/>
          <w:rFonts w:hint="eastAsia" w:ascii="宋体" w:hAnsi="宋体" w:eastAsia="宋体" w:cs="宋体"/>
          <w:color w:val="auto"/>
          <w:kern w:val="2"/>
          <w:sz w:val="21"/>
          <w:szCs w:val="21"/>
          <w:lang w:val="en-US" w:eastAsia="zh-CN" w:bidi="ar-SA"/>
        </w:rPr>
        <w:t>:00:00</w:t>
      </w:r>
      <w:r>
        <w:rPr>
          <w:rStyle w:val="72"/>
          <w:rFonts w:hint="eastAsia" w:ascii="宋体" w:hAnsi="宋体" w:eastAsia="宋体" w:cs="宋体"/>
          <w:color w:val="auto"/>
          <w:kern w:val="2"/>
          <w:sz w:val="21"/>
          <w:szCs w:val="21"/>
          <w:lang w:val="en-US" w:eastAsia="zh-CN" w:bidi="ar-SA"/>
        </w:rPr>
        <w:t>至</w:t>
      </w:r>
      <w:r>
        <w:rPr>
          <w:rStyle w:val="71"/>
          <w:rFonts w:hint="eastAsia" w:ascii="宋体" w:hAnsi="宋体" w:eastAsia="宋体" w:cs="宋体"/>
          <w:color w:val="auto"/>
          <w:kern w:val="2"/>
          <w:sz w:val="21"/>
          <w:szCs w:val="21"/>
          <w:lang w:val="en-US" w:eastAsia="zh-CN" w:bidi="ar-SA"/>
        </w:rPr>
        <w:t>12:00:00</w:t>
      </w:r>
      <w:r>
        <w:rPr>
          <w:rStyle w:val="72"/>
          <w:rFonts w:hint="eastAsia" w:ascii="宋体" w:hAnsi="宋体" w:eastAsia="宋体" w:cs="宋体"/>
          <w:color w:val="auto"/>
          <w:kern w:val="2"/>
          <w:sz w:val="21"/>
          <w:szCs w:val="21"/>
          <w:lang w:val="en-US" w:eastAsia="zh-CN" w:bidi="ar-SA"/>
        </w:rPr>
        <w:t>，下午</w:t>
      </w:r>
      <w:r>
        <w:rPr>
          <w:rStyle w:val="71"/>
          <w:rFonts w:hint="eastAsia" w:ascii="宋体" w:hAnsi="宋体" w:eastAsia="宋体" w:cs="宋体"/>
          <w:color w:val="auto"/>
          <w:kern w:val="2"/>
          <w:sz w:val="21"/>
          <w:szCs w:val="21"/>
          <w:lang w:val="en-US" w:eastAsia="zh-CN" w:bidi="ar-SA"/>
        </w:rPr>
        <w:t>13:00:00</w:t>
      </w:r>
      <w:r>
        <w:rPr>
          <w:rStyle w:val="72"/>
          <w:rFonts w:hint="eastAsia" w:ascii="宋体" w:hAnsi="宋体" w:eastAsia="宋体" w:cs="宋体"/>
          <w:color w:val="auto"/>
          <w:kern w:val="2"/>
          <w:sz w:val="21"/>
          <w:szCs w:val="21"/>
          <w:lang w:val="en-US" w:eastAsia="zh-CN" w:bidi="ar-SA"/>
        </w:rPr>
        <w:t>至</w:t>
      </w:r>
      <w:r>
        <w:rPr>
          <w:rStyle w:val="71"/>
          <w:rFonts w:hint="eastAsia" w:ascii="宋体" w:hAnsi="宋体" w:eastAsia="宋体" w:cs="宋体"/>
          <w:color w:val="auto"/>
          <w:kern w:val="2"/>
          <w:sz w:val="21"/>
          <w:szCs w:val="21"/>
          <w:lang w:val="en-US" w:eastAsia="zh-CN" w:bidi="ar-SA"/>
        </w:rPr>
        <w:t>18:00:00</w:t>
      </w:r>
      <w:r>
        <w:rPr>
          <w:rStyle w:val="72"/>
          <w:rFonts w:hint="eastAsia" w:ascii="宋体" w:hAnsi="宋体" w:eastAsia="宋体" w:cs="宋体"/>
          <w:color w:val="auto"/>
          <w:kern w:val="2"/>
          <w:sz w:val="21"/>
          <w:szCs w:val="21"/>
          <w:lang w:val="en-US" w:eastAsia="zh-CN" w:bidi="ar-SA"/>
        </w:rPr>
        <w:t>（北京时间,法定节假日除外）</w:t>
      </w:r>
    </w:p>
    <w:p w14:paraId="268CA478">
      <w:pPr>
        <w:keepNext w:val="0"/>
        <w:keepLines w:val="0"/>
        <w:pageBreakBefore w:val="0"/>
        <w:widowControl w:val="0"/>
        <w:kinsoku/>
        <w:overflowPunct/>
        <w:topLinePunct w:val="0"/>
        <w:autoSpaceDE/>
        <w:autoSpaceDN/>
        <w:bidi w:val="0"/>
        <w:adjustRightInd/>
        <w:spacing w:line="360" w:lineRule="auto"/>
        <w:ind w:firstLine="480"/>
        <w:jc w:val="both"/>
        <w:textAlignment w:val="auto"/>
        <w:rPr>
          <w:rFonts w:hint="default"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途径：陕西省西安市雁塔区高新三路财富中心二期B座906室</w:t>
      </w:r>
    </w:p>
    <w:p w14:paraId="019E9C65">
      <w:pPr>
        <w:keepNext w:val="0"/>
        <w:keepLines w:val="0"/>
        <w:pageBreakBefore w:val="0"/>
        <w:widowControl w:val="0"/>
        <w:kinsoku/>
        <w:overflowPunct/>
        <w:topLinePunct w:val="0"/>
        <w:autoSpaceDE/>
        <w:autoSpaceDN/>
        <w:bidi w:val="0"/>
        <w:adjustRightInd/>
        <w:spacing w:line="360" w:lineRule="auto"/>
        <w:ind w:firstLine="480"/>
        <w:jc w:val="both"/>
        <w:textAlignment w:val="auto"/>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方式：现场获取</w:t>
      </w:r>
    </w:p>
    <w:p w14:paraId="787D13E1">
      <w:pPr>
        <w:keepNext w:val="0"/>
        <w:keepLines w:val="0"/>
        <w:pageBreakBefore w:val="0"/>
        <w:widowControl w:val="0"/>
        <w:kinsoku/>
        <w:overflowPunct/>
        <w:topLinePunct w:val="0"/>
        <w:autoSpaceDE/>
        <w:autoSpaceDN/>
        <w:bidi w:val="0"/>
        <w:adjustRightInd/>
        <w:spacing w:line="360" w:lineRule="auto"/>
        <w:ind w:firstLine="480"/>
        <w:jc w:val="both"/>
        <w:textAlignment w:val="auto"/>
        <w:rPr>
          <w:rFonts w:hint="default"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售价：</w:t>
      </w:r>
      <w:r>
        <w:rPr>
          <w:rStyle w:val="71"/>
          <w:rFonts w:hint="eastAsia" w:ascii="宋体" w:hAnsi="宋体" w:eastAsia="宋体" w:cs="宋体"/>
          <w:color w:val="auto"/>
          <w:kern w:val="2"/>
          <w:sz w:val="21"/>
          <w:szCs w:val="21"/>
          <w:lang w:val="en-US" w:eastAsia="zh-CN" w:bidi="ar-SA"/>
        </w:rPr>
        <w:t>0元</w:t>
      </w:r>
    </w:p>
    <w:p w14:paraId="69C5DF2B">
      <w:pPr>
        <w:keepNext w:val="0"/>
        <w:keepLines w:val="0"/>
        <w:pageBreakBefore w:val="0"/>
        <w:kinsoku/>
        <w:overflowPunct/>
        <w:topLinePunct w:val="0"/>
        <w:autoSpaceDE/>
        <w:autoSpaceDN/>
        <w:bidi w:val="0"/>
        <w:adjustRightInd/>
        <w:snapToGrid w:val="0"/>
        <w:spacing w:line="360" w:lineRule="auto"/>
        <w:textAlignment w:val="auto"/>
        <w:rPr>
          <w:rStyle w:val="26"/>
          <w:rFonts w:hint="eastAsia" w:ascii="宋体" w:hAnsi="宋体" w:eastAsia="宋体" w:cs="宋体"/>
          <w:color w:val="auto"/>
          <w:sz w:val="18"/>
          <w:szCs w:val="18"/>
          <w:lang w:val="en-US" w:eastAsia="zh-CN" w:bidi="ar-SA"/>
        </w:rPr>
      </w:pPr>
      <w:r>
        <w:rPr>
          <w:rStyle w:val="26"/>
          <w:rFonts w:hint="eastAsia" w:ascii="宋体" w:hAnsi="宋体" w:eastAsia="宋体" w:cs="宋体"/>
          <w:color w:val="auto"/>
          <w:sz w:val="21"/>
          <w:szCs w:val="21"/>
          <w:lang w:val="en-US" w:eastAsia="zh-CN" w:bidi="ar-SA"/>
        </w:rPr>
        <w:t>四、响应文件提交</w:t>
      </w:r>
    </w:p>
    <w:p w14:paraId="77D98B31">
      <w:pPr>
        <w:keepNext w:val="0"/>
        <w:keepLines w:val="0"/>
        <w:pageBreakBefore w:val="0"/>
        <w:widowControl w:val="0"/>
        <w:kinsoku/>
        <w:overflowPunct/>
        <w:topLinePunct w:val="0"/>
        <w:autoSpaceDE/>
        <w:autoSpaceDN/>
        <w:bidi w:val="0"/>
        <w:adjustRightInd/>
        <w:spacing w:line="360" w:lineRule="auto"/>
        <w:ind w:firstLine="480"/>
        <w:jc w:val="both"/>
        <w:textAlignment w:val="auto"/>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截止时</w:t>
      </w:r>
      <w:r>
        <w:rPr>
          <w:rFonts w:hint="eastAsia" w:ascii="宋体" w:hAnsi="宋体" w:eastAsia="宋体" w:cs="Times New Roman"/>
          <w:color w:val="auto"/>
          <w:kern w:val="2"/>
          <w:sz w:val="21"/>
          <w:szCs w:val="21"/>
          <w:highlight w:val="none"/>
          <w:lang w:val="en-US" w:eastAsia="zh-CN" w:bidi="ar-SA"/>
        </w:rPr>
        <w:t>间：</w:t>
      </w:r>
      <w:r>
        <w:rPr>
          <w:rStyle w:val="71"/>
          <w:rFonts w:hint="eastAsia" w:ascii="宋体" w:hAnsi="宋体" w:eastAsia="宋体" w:cs="宋体"/>
          <w:color w:val="auto"/>
          <w:kern w:val="2"/>
          <w:sz w:val="21"/>
          <w:szCs w:val="21"/>
          <w:highlight w:val="none"/>
          <w:lang w:val="en-US" w:eastAsia="zh-CN" w:bidi="ar-SA"/>
        </w:rPr>
        <w:t>2026年9月22日14时30分</w:t>
      </w:r>
      <w:r>
        <w:rPr>
          <w:rStyle w:val="71"/>
          <w:rFonts w:ascii="宋体" w:hAnsi="宋体" w:eastAsia="宋体" w:cs="宋体"/>
          <w:color w:val="auto"/>
          <w:kern w:val="2"/>
          <w:sz w:val="21"/>
          <w:szCs w:val="21"/>
          <w:highlight w:val="none"/>
          <w:lang w:val="en-US" w:eastAsia="zh-CN" w:bidi="ar-SA"/>
        </w:rPr>
        <w:t>00</w:t>
      </w:r>
      <w:r>
        <w:rPr>
          <w:rStyle w:val="71"/>
          <w:rFonts w:hint="eastAsia" w:ascii="宋体" w:hAnsi="宋体" w:eastAsia="宋体" w:cs="宋体"/>
          <w:color w:val="auto"/>
          <w:kern w:val="2"/>
          <w:sz w:val="21"/>
          <w:szCs w:val="21"/>
          <w:highlight w:val="none"/>
          <w:lang w:val="en-US" w:eastAsia="zh-CN" w:bidi="ar-SA"/>
        </w:rPr>
        <w:t>秒</w:t>
      </w:r>
      <w:r>
        <w:rPr>
          <w:rFonts w:hint="eastAsia" w:ascii="宋体" w:hAnsi="宋体" w:eastAsia="宋体" w:cs="Times New Roman"/>
          <w:color w:val="auto"/>
          <w:kern w:val="2"/>
          <w:sz w:val="21"/>
          <w:szCs w:val="21"/>
          <w:highlight w:val="none"/>
          <w:lang w:val="en-US" w:eastAsia="zh-CN" w:bidi="ar-SA"/>
        </w:rPr>
        <w:t>（北京</w:t>
      </w:r>
      <w:r>
        <w:rPr>
          <w:rFonts w:hint="eastAsia" w:ascii="宋体" w:hAnsi="宋体" w:eastAsia="宋体" w:cs="Times New Roman"/>
          <w:color w:val="auto"/>
          <w:kern w:val="2"/>
          <w:sz w:val="21"/>
          <w:szCs w:val="21"/>
          <w:lang w:val="en-US" w:eastAsia="zh-CN" w:bidi="ar-SA"/>
        </w:rPr>
        <w:t>时间）</w:t>
      </w:r>
    </w:p>
    <w:p w14:paraId="5687E4B4">
      <w:pPr>
        <w:keepNext w:val="0"/>
        <w:keepLines w:val="0"/>
        <w:pageBreakBefore w:val="0"/>
        <w:widowControl w:val="0"/>
        <w:kinsoku/>
        <w:overflowPunct/>
        <w:topLinePunct w:val="0"/>
        <w:autoSpaceDE/>
        <w:autoSpaceDN/>
        <w:bidi w:val="0"/>
        <w:adjustRightInd/>
        <w:spacing w:line="360" w:lineRule="auto"/>
        <w:ind w:firstLine="480"/>
        <w:jc w:val="both"/>
        <w:textAlignment w:val="auto"/>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地点：陕西省西安市雁塔区高新三路财富中心二期B座906会议室</w:t>
      </w:r>
    </w:p>
    <w:p w14:paraId="694C7851">
      <w:pPr>
        <w:keepNext w:val="0"/>
        <w:keepLines w:val="0"/>
        <w:pageBreakBefore w:val="0"/>
        <w:kinsoku/>
        <w:overflowPunct/>
        <w:topLinePunct w:val="0"/>
        <w:autoSpaceDE/>
        <w:autoSpaceDN/>
        <w:bidi w:val="0"/>
        <w:adjustRightInd/>
        <w:snapToGrid w:val="0"/>
        <w:spacing w:line="360" w:lineRule="auto"/>
        <w:textAlignment w:val="auto"/>
        <w:rPr>
          <w:rStyle w:val="26"/>
          <w:rFonts w:hint="eastAsia" w:ascii="宋体" w:hAnsi="宋体" w:eastAsia="宋体" w:cs="宋体"/>
          <w:color w:val="auto"/>
          <w:sz w:val="18"/>
          <w:szCs w:val="18"/>
          <w:lang w:val="en-US" w:eastAsia="zh-CN" w:bidi="ar-SA"/>
        </w:rPr>
      </w:pPr>
      <w:r>
        <w:rPr>
          <w:rStyle w:val="26"/>
          <w:rFonts w:hint="eastAsia" w:ascii="宋体" w:hAnsi="宋体" w:eastAsia="宋体" w:cs="宋体"/>
          <w:color w:val="auto"/>
          <w:sz w:val="21"/>
          <w:szCs w:val="21"/>
          <w:lang w:val="en-US" w:eastAsia="zh-CN" w:bidi="ar-SA"/>
        </w:rPr>
        <w:t>五、开启</w:t>
      </w:r>
    </w:p>
    <w:p w14:paraId="68FA6B00">
      <w:pPr>
        <w:keepNext w:val="0"/>
        <w:keepLines w:val="0"/>
        <w:pageBreakBefore w:val="0"/>
        <w:widowControl w:val="0"/>
        <w:kinsoku/>
        <w:overflowPunct/>
        <w:topLinePunct w:val="0"/>
        <w:autoSpaceDE/>
        <w:autoSpaceDN/>
        <w:bidi w:val="0"/>
        <w:adjustRightInd/>
        <w:spacing w:line="360" w:lineRule="auto"/>
        <w:ind w:firstLine="480"/>
        <w:jc w:val="both"/>
        <w:textAlignment w:val="auto"/>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时</w:t>
      </w:r>
      <w:r>
        <w:rPr>
          <w:rFonts w:hint="eastAsia" w:ascii="宋体" w:hAnsi="宋体" w:eastAsia="宋体" w:cs="Times New Roman"/>
          <w:color w:val="auto"/>
          <w:kern w:val="2"/>
          <w:sz w:val="21"/>
          <w:szCs w:val="21"/>
          <w:highlight w:val="none"/>
          <w:lang w:val="en-US" w:eastAsia="zh-CN" w:bidi="ar-SA"/>
        </w:rPr>
        <w:t>间：</w:t>
      </w:r>
      <w:r>
        <w:rPr>
          <w:rFonts w:hint="eastAsia" w:ascii="宋体" w:hAnsi="宋体" w:eastAsia="宋体" w:cs="宋体"/>
          <w:b w:val="0"/>
          <w:bCs/>
          <w:color w:val="auto"/>
          <w:kern w:val="2"/>
          <w:sz w:val="21"/>
          <w:szCs w:val="21"/>
          <w:lang w:val="en-US" w:eastAsia="zh-CN" w:bidi="ar-SA"/>
        </w:rPr>
        <w:t>2026年9月22日</w:t>
      </w:r>
      <w:r>
        <w:rPr>
          <w:rStyle w:val="71"/>
          <w:rFonts w:hint="eastAsia" w:ascii="宋体" w:hAnsi="宋体" w:eastAsia="宋体" w:cs="宋体"/>
          <w:color w:val="auto"/>
          <w:kern w:val="2"/>
          <w:sz w:val="21"/>
          <w:szCs w:val="21"/>
          <w:highlight w:val="none"/>
          <w:lang w:val="en-US" w:eastAsia="zh-CN" w:bidi="ar-SA"/>
        </w:rPr>
        <w:t>14时30分</w:t>
      </w:r>
      <w:r>
        <w:rPr>
          <w:rStyle w:val="71"/>
          <w:rFonts w:ascii="宋体" w:hAnsi="宋体" w:eastAsia="宋体" w:cs="宋体"/>
          <w:color w:val="auto"/>
          <w:kern w:val="2"/>
          <w:sz w:val="21"/>
          <w:szCs w:val="21"/>
          <w:highlight w:val="none"/>
          <w:lang w:val="en-US" w:eastAsia="zh-CN" w:bidi="ar-SA"/>
        </w:rPr>
        <w:t>00</w:t>
      </w:r>
      <w:r>
        <w:rPr>
          <w:rStyle w:val="71"/>
          <w:rFonts w:hint="eastAsia" w:ascii="宋体" w:hAnsi="宋体" w:eastAsia="宋体" w:cs="宋体"/>
          <w:color w:val="auto"/>
          <w:kern w:val="2"/>
          <w:sz w:val="21"/>
          <w:szCs w:val="21"/>
          <w:highlight w:val="none"/>
          <w:lang w:val="en-US" w:eastAsia="zh-CN" w:bidi="ar-SA"/>
        </w:rPr>
        <w:t>秒</w:t>
      </w:r>
      <w:r>
        <w:rPr>
          <w:rFonts w:hint="eastAsia" w:ascii="宋体" w:hAnsi="宋体" w:eastAsia="宋体" w:cs="Times New Roman"/>
          <w:color w:val="auto"/>
          <w:kern w:val="2"/>
          <w:sz w:val="21"/>
          <w:szCs w:val="21"/>
          <w:highlight w:val="none"/>
          <w:lang w:val="en-US" w:eastAsia="zh-CN" w:bidi="ar-SA"/>
        </w:rPr>
        <w:t>（</w:t>
      </w:r>
      <w:r>
        <w:rPr>
          <w:rFonts w:hint="eastAsia" w:ascii="宋体" w:hAnsi="宋体" w:eastAsia="宋体" w:cs="Times New Roman"/>
          <w:color w:val="auto"/>
          <w:kern w:val="2"/>
          <w:sz w:val="21"/>
          <w:szCs w:val="21"/>
          <w:lang w:val="en-US" w:eastAsia="zh-CN" w:bidi="ar-SA"/>
        </w:rPr>
        <w:t>北京时间）</w:t>
      </w:r>
    </w:p>
    <w:p w14:paraId="547D7FDE">
      <w:pPr>
        <w:keepNext w:val="0"/>
        <w:keepLines w:val="0"/>
        <w:pageBreakBefore w:val="0"/>
        <w:widowControl w:val="0"/>
        <w:kinsoku/>
        <w:overflowPunct/>
        <w:topLinePunct w:val="0"/>
        <w:autoSpaceDE/>
        <w:autoSpaceDN/>
        <w:bidi w:val="0"/>
        <w:adjustRightInd/>
        <w:spacing w:line="360" w:lineRule="auto"/>
        <w:ind w:firstLine="480"/>
        <w:jc w:val="both"/>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地点：陕西省西安市雁塔区高新三路财富中心二期B座906会议室</w:t>
      </w:r>
    </w:p>
    <w:p w14:paraId="5CBC1CB9">
      <w:pPr>
        <w:keepNext w:val="0"/>
        <w:keepLines w:val="0"/>
        <w:pageBreakBefore w:val="0"/>
        <w:widowControl w:val="0"/>
        <w:kinsoku/>
        <w:overflowPunct/>
        <w:topLinePunct w:val="0"/>
        <w:autoSpaceDE/>
        <w:autoSpaceDN/>
        <w:bidi w:val="0"/>
        <w:adjustRightInd/>
        <w:spacing w:line="360" w:lineRule="auto"/>
        <w:ind w:left="0" w:leftChars="0" w:firstLine="0" w:firstLineChars="0"/>
        <w:jc w:val="left"/>
        <w:textAlignment w:val="auto"/>
        <w:rPr>
          <w:rFonts w:hint="eastAsia" w:ascii="宋体" w:hAnsi="宋体" w:eastAsia="宋体" w:cs="Times New Roman"/>
          <w:b/>
          <w:bCs/>
          <w:color w:val="auto"/>
          <w:kern w:val="2"/>
          <w:sz w:val="21"/>
          <w:szCs w:val="21"/>
          <w:highlight w:val="none"/>
          <w:lang w:val="en-US" w:eastAsia="zh-CN" w:bidi="ar-SA"/>
        </w:rPr>
      </w:pPr>
      <w:r>
        <w:rPr>
          <w:rFonts w:hint="eastAsia" w:ascii="宋体" w:hAnsi="宋体" w:eastAsia="宋体" w:cs="Times New Roman"/>
          <w:b/>
          <w:bCs/>
          <w:color w:val="auto"/>
          <w:kern w:val="2"/>
          <w:sz w:val="21"/>
          <w:szCs w:val="21"/>
          <w:highlight w:val="none"/>
          <w:lang w:val="en-US" w:eastAsia="zh-CN" w:bidi="ar-SA"/>
        </w:rPr>
        <w:t>六、公告期限</w:t>
      </w:r>
    </w:p>
    <w:p w14:paraId="29BDFE5B">
      <w:pPr>
        <w:keepNext w:val="0"/>
        <w:keepLines w:val="0"/>
        <w:pageBreakBefore w:val="0"/>
        <w:widowControl w:val="0"/>
        <w:kinsoku/>
        <w:overflowPunct/>
        <w:topLinePunct w:val="0"/>
        <w:autoSpaceDE/>
        <w:autoSpaceDN/>
        <w:bidi w:val="0"/>
        <w:adjustRightInd/>
        <w:spacing w:line="360" w:lineRule="auto"/>
        <w:ind w:firstLine="480"/>
        <w:jc w:val="both"/>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自本公告发布之日起3个工作日。</w:t>
      </w:r>
    </w:p>
    <w:p w14:paraId="452A0D9B">
      <w:pPr>
        <w:keepNext w:val="0"/>
        <w:keepLines w:val="0"/>
        <w:pageBreakBefore w:val="0"/>
        <w:widowControl w:val="0"/>
        <w:kinsoku/>
        <w:overflowPunct/>
        <w:topLinePunct w:val="0"/>
        <w:autoSpaceDE/>
        <w:autoSpaceDN/>
        <w:bidi w:val="0"/>
        <w:adjustRightInd/>
        <w:spacing w:line="360" w:lineRule="auto"/>
        <w:ind w:left="0" w:leftChars="0" w:firstLine="0" w:firstLineChars="0"/>
        <w:jc w:val="both"/>
        <w:textAlignment w:val="auto"/>
        <w:rPr>
          <w:rFonts w:hint="eastAsia" w:ascii="宋体" w:hAnsi="宋体" w:eastAsia="宋体" w:cs="Times New Roman"/>
          <w:b/>
          <w:bCs/>
          <w:color w:val="auto"/>
          <w:kern w:val="2"/>
          <w:sz w:val="21"/>
          <w:szCs w:val="21"/>
          <w:highlight w:val="none"/>
          <w:lang w:val="en-US" w:eastAsia="zh-CN" w:bidi="ar-SA"/>
        </w:rPr>
      </w:pPr>
      <w:r>
        <w:rPr>
          <w:rFonts w:hint="eastAsia" w:ascii="宋体" w:hAnsi="宋体" w:eastAsia="宋体" w:cs="Times New Roman"/>
          <w:b/>
          <w:bCs/>
          <w:color w:val="auto"/>
          <w:kern w:val="2"/>
          <w:sz w:val="21"/>
          <w:szCs w:val="21"/>
          <w:highlight w:val="none"/>
          <w:lang w:val="en-US" w:eastAsia="zh-CN" w:bidi="ar-SA"/>
        </w:rPr>
        <w:t>七、其他补充事宜</w:t>
      </w:r>
    </w:p>
    <w:p w14:paraId="2FDF2FAF">
      <w:pPr>
        <w:keepNext w:val="0"/>
        <w:keepLines w:val="0"/>
        <w:pageBreakBefore w:val="0"/>
        <w:widowControl w:val="0"/>
        <w:kinsoku/>
        <w:overflowPunct/>
        <w:topLinePunct w:val="0"/>
        <w:autoSpaceDE/>
        <w:autoSpaceDN/>
        <w:bidi w:val="0"/>
        <w:adjustRightInd/>
        <w:spacing w:line="360" w:lineRule="auto"/>
        <w:ind w:firstLine="480"/>
        <w:jc w:val="both"/>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1.现场获取竞争性磋商文件请携带有效的单位介绍信、经办人身份证原件及加盖单位公章的复印件；</w:t>
      </w:r>
    </w:p>
    <w:p w14:paraId="3648ED06">
      <w:pPr>
        <w:keepNext w:val="0"/>
        <w:keepLines w:val="0"/>
        <w:pageBreakBefore w:val="0"/>
        <w:widowControl w:val="0"/>
        <w:kinsoku/>
        <w:overflowPunct/>
        <w:topLinePunct w:val="0"/>
        <w:autoSpaceDE/>
        <w:autoSpaceDN/>
        <w:bidi w:val="0"/>
        <w:adjustRightInd/>
        <w:spacing w:line="360" w:lineRule="auto"/>
        <w:ind w:firstLine="480"/>
        <w:jc w:val="both"/>
        <w:textAlignment w:val="auto"/>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highlight w:val="none"/>
          <w:lang w:val="en-US" w:eastAsia="zh-CN" w:bidi="ar-SA"/>
        </w:rPr>
        <w:t>2.请供应商按照陕西省财政厅关</w:t>
      </w:r>
      <w:r>
        <w:rPr>
          <w:rFonts w:hint="eastAsia" w:ascii="宋体" w:hAnsi="宋体" w:eastAsia="宋体" w:cs="Times New Roman"/>
          <w:color w:val="auto"/>
          <w:kern w:val="2"/>
          <w:sz w:val="21"/>
          <w:szCs w:val="21"/>
          <w:lang w:val="en-US" w:eastAsia="zh-CN" w:bidi="ar-SA"/>
        </w:rPr>
        <w:t>于政府采购供应商注册登记有关事项的通知中的要求，通过陕西省政府采购网（http://www.ccgp-shaanxi.gov.cn/）注册登记加入陕西省政府采购供应商库；</w:t>
      </w:r>
    </w:p>
    <w:p w14:paraId="70CF3548">
      <w:pPr>
        <w:keepNext w:val="0"/>
        <w:keepLines w:val="0"/>
        <w:pageBreakBefore w:val="0"/>
        <w:widowControl w:val="0"/>
        <w:kinsoku/>
        <w:overflowPunct/>
        <w:topLinePunct w:val="0"/>
        <w:autoSpaceDE/>
        <w:autoSpaceDN/>
        <w:bidi w:val="0"/>
        <w:adjustRightInd/>
        <w:spacing w:line="360" w:lineRule="auto"/>
        <w:ind w:firstLine="480"/>
        <w:jc w:val="left"/>
        <w:textAlignment w:val="auto"/>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3.本项目采购活动执行下列政府采购政策（具体办法详见磋商文件）：</w:t>
      </w:r>
    </w:p>
    <w:p w14:paraId="7AA12B37">
      <w:pPr>
        <w:keepNext w:val="0"/>
        <w:keepLines w:val="0"/>
        <w:pageBreakBefore w:val="0"/>
        <w:kinsoku/>
        <w:overflowPunct/>
        <w:topLinePunct w:val="0"/>
        <w:autoSpaceDE/>
        <w:autoSpaceDN/>
        <w:bidi w:val="0"/>
        <w:adjustRightInd/>
        <w:spacing w:line="360" w:lineRule="auto"/>
        <w:ind w:firstLine="420" w:firstLineChars="200"/>
        <w:jc w:val="left"/>
        <w:textAlignment w:val="auto"/>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（1）《国务院办公厅关于建立政府强制采购节能产品制度的通知》（国办发〔2007〕51号）；</w:t>
      </w:r>
    </w:p>
    <w:p w14:paraId="5CB5B459">
      <w:pPr>
        <w:keepNext w:val="0"/>
        <w:keepLines w:val="0"/>
        <w:pageBreakBefore w:val="0"/>
        <w:kinsoku/>
        <w:overflowPunct/>
        <w:topLinePunct w:val="0"/>
        <w:autoSpaceDE/>
        <w:autoSpaceDN/>
        <w:bidi w:val="0"/>
        <w:adjustRightInd/>
        <w:spacing w:line="360" w:lineRule="auto"/>
        <w:ind w:firstLine="420" w:firstLineChars="200"/>
        <w:jc w:val="left"/>
        <w:textAlignment w:val="auto"/>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（2）《财政部 司法部关于政府采购支持监狱企业发展有关问题的通知》（财库〔2014〕68号）；</w:t>
      </w:r>
    </w:p>
    <w:p w14:paraId="6BD208E2">
      <w:pPr>
        <w:keepNext w:val="0"/>
        <w:keepLines w:val="0"/>
        <w:pageBreakBefore w:val="0"/>
        <w:kinsoku/>
        <w:overflowPunct/>
        <w:topLinePunct w:val="0"/>
        <w:autoSpaceDE/>
        <w:autoSpaceDN/>
        <w:bidi w:val="0"/>
        <w:adjustRightInd/>
        <w:spacing w:line="360" w:lineRule="auto"/>
        <w:ind w:firstLine="420" w:firstLineChars="200"/>
        <w:jc w:val="left"/>
        <w:textAlignment w:val="auto"/>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（3）《财政部、民政部、中国残疾人联合会关于促进残疾人就业政府采购政策的通知》（财库〔2017〕141号）；</w:t>
      </w:r>
    </w:p>
    <w:p w14:paraId="4F0E07C7">
      <w:pPr>
        <w:keepNext w:val="0"/>
        <w:keepLines w:val="0"/>
        <w:pageBreakBefore w:val="0"/>
        <w:kinsoku/>
        <w:overflowPunct/>
        <w:topLinePunct w:val="0"/>
        <w:autoSpaceDE/>
        <w:autoSpaceDN/>
        <w:bidi w:val="0"/>
        <w:adjustRightInd/>
        <w:spacing w:line="360" w:lineRule="auto"/>
        <w:ind w:firstLine="420" w:firstLineChars="200"/>
        <w:jc w:val="left"/>
        <w:textAlignment w:val="auto"/>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（4）《财政部 发展改革委 生态环境部 市场监管总局关于调整优化节能产品、环境标志产品政府采购执行机制的通知》（财库〔2019〕9号）；</w:t>
      </w:r>
    </w:p>
    <w:p w14:paraId="5AA15C3C">
      <w:pPr>
        <w:keepNext w:val="0"/>
        <w:keepLines w:val="0"/>
        <w:pageBreakBefore w:val="0"/>
        <w:kinsoku/>
        <w:overflowPunct/>
        <w:topLinePunct w:val="0"/>
        <w:autoSpaceDE/>
        <w:autoSpaceDN/>
        <w:bidi w:val="0"/>
        <w:adjustRightInd/>
        <w:spacing w:line="360" w:lineRule="auto"/>
        <w:ind w:firstLine="420" w:firstLineChars="200"/>
        <w:jc w:val="left"/>
        <w:textAlignment w:val="auto"/>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（5）《关于运用政府采购政策支持乡村产业振兴的通知》（财库〔2021〕19号）；</w:t>
      </w:r>
    </w:p>
    <w:p w14:paraId="5667F52D">
      <w:pPr>
        <w:keepNext w:val="0"/>
        <w:keepLines w:val="0"/>
        <w:pageBreakBefore w:val="0"/>
        <w:kinsoku/>
        <w:overflowPunct/>
        <w:topLinePunct w:val="0"/>
        <w:autoSpaceDE/>
        <w:autoSpaceDN/>
        <w:bidi w:val="0"/>
        <w:adjustRightInd/>
        <w:spacing w:line="360" w:lineRule="auto"/>
        <w:ind w:firstLine="420" w:firstLineChars="200"/>
        <w:jc w:val="left"/>
        <w:textAlignment w:val="auto"/>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（6）《政府采购促进中小企业发展管理办法》（财库〔2020〕46号）；</w:t>
      </w:r>
    </w:p>
    <w:p w14:paraId="3C239A5C">
      <w:pPr>
        <w:keepNext w:val="0"/>
        <w:keepLines w:val="0"/>
        <w:pageBreakBefore w:val="0"/>
        <w:kinsoku/>
        <w:overflowPunct/>
        <w:topLinePunct w:val="0"/>
        <w:autoSpaceDE/>
        <w:autoSpaceDN/>
        <w:bidi w:val="0"/>
        <w:adjustRightInd/>
        <w:spacing w:line="360" w:lineRule="auto"/>
        <w:ind w:firstLine="420" w:firstLineChars="200"/>
        <w:jc w:val="left"/>
        <w:textAlignment w:val="auto"/>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（7）《陕西省财政厅关于印发&lt;陕西省中小企业政府采购信用融资办法&gt;的通知》（陕财办采〔2018〕23 号；</w:t>
      </w:r>
    </w:p>
    <w:p w14:paraId="68380E19">
      <w:pPr>
        <w:keepNext w:val="0"/>
        <w:keepLines w:val="0"/>
        <w:pageBreakBefore w:val="0"/>
        <w:kinsoku/>
        <w:overflowPunct/>
        <w:topLinePunct w:val="0"/>
        <w:autoSpaceDE/>
        <w:autoSpaceDN/>
        <w:bidi w:val="0"/>
        <w:adjustRightInd/>
        <w:spacing w:line="360" w:lineRule="auto"/>
        <w:ind w:firstLine="420" w:firstLineChars="200"/>
        <w:jc w:val="left"/>
        <w:textAlignment w:val="auto"/>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（8）陕西省财政厅《关于加快推进我省中小企业政府采购信用融资工作的通知》（陕财办采〔2020〕15号）；</w:t>
      </w:r>
    </w:p>
    <w:p w14:paraId="0D4D50E9">
      <w:pPr>
        <w:keepNext w:val="0"/>
        <w:keepLines w:val="0"/>
        <w:pageBreakBefore w:val="0"/>
        <w:kinsoku/>
        <w:overflowPunct/>
        <w:topLinePunct w:val="0"/>
        <w:autoSpaceDE/>
        <w:autoSpaceDN/>
        <w:bidi w:val="0"/>
        <w:adjustRightInd/>
        <w:spacing w:line="360" w:lineRule="auto"/>
        <w:ind w:firstLine="420" w:firstLineChars="200"/>
        <w:jc w:val="left"/>
        <w:textAlignment w:val="auto"/>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（9）陕西省财政厅《关于进一步加强政府绿色采购有关问题的通知》（陕财办采〔2021〕29号）；</w:t>
      </w:r>
    </w:p>
    <w:p w14:paraId="76CD10CD">
      <w:pPr>
        <w:keepNext w:val="0"/>
        <w:keepLines w:val="0"/>
        <w:pageBreakBefore w:val="0"/>
        <w:kinsoku/>
        <w:overflowPunct/>
        <w:topLinePunct w:val="0"/>
        <w:autoSpaceDE/>
        <w:autoSpaceDN/>
        <w:bidi w:val="0"/>
        <w:adjustRightInd/>
        <w:spacing w:line="360" w:lineRule="auto"/>
        <w:ind w:firstLine="420" w:firstLineChars="200"/>
        <w:jc w:val="left"/>
        <w:textAlignment w:val="auto"/>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（10）《陕西省财政厅关于落实政府采购支持中小企业政策有关事项的通知》陕财办采函〔2022〕10号；</w:t>
      </w:r>
    </w:p>
    <w:p w14:paraId="7306ED68">
      <w:pPr>
        <w:keepNext w:val="0"/>
        <w:keepLines w:val="0"/>
        <w:pageBreakBefore w:val="0"/>
        <w:kinsoku/>
        <w:overflowPunct/>
        <w:topLinePunct w:val="0"/>
        <w:autoSpaceDE/>
        <w:autoSpaceDN/>
        <w:bidi w:val="0"/>
        <w:adjustRightInd/>
        <w:spacing w:line="360" w:lineRule="auto"/>
        <w:ind w:firstLine="420" w:firstLineChars="200"/>
        <w:jc w:val="left"/>
        <w:textAlignment w:val="auto"/>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（11）《关于进一步加大政府采购支持中小企业力度的通知》（财库〔2022〕19号；</w:t>
      </w:r>
    </w:p>
    <w:p w14:paraId="778661E3">
      <w:pPr>
        <w:keepNext w:val="0"/>
        <w:keepLines w:val="0"/>
        <w:pageBreakBefore w:val="0"/>
        <w:kinsoku/>
        <w:overflowPunct/>
        <w:topLinePunct w:val="0"/>
        <w:autoSpaceDE/>
        <w:autoSpaceDN/>
        <w:bidi w:val="0"/>
        <w:adjustRightInd/>
        <w:spacing w:line="360" w:lineRule="auto"/>
        <w:ind w:firstLine="420" w:firstLineChars="200"/>
        <w:jc w:val="left"/>
        <w:textAlignment w:val="auto"/>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（12）《关于扩大政府采购支持绿色建材促进建筑品质提升政策实施范围的通知》财库〔2022〕35号；</w:t>
      </w:r>
    </w:p>
    <w:p w14:paraId="079C1F9C">
      <w:pPr>
        <w:keepNext w:val="0"/>
        <w:keepLines w:val="0"/>
        <w:pageBreakBefore w:val="0"/>
        <w:kinsoku/>
        <w:overflowPunct/>
        <w:topLinePunct w:val="0"/>
        <w:autoSpaceDE/>
        <w:autoSpaceDN/>
        <w:bidi w:val="0"/>
        <w:adjustRightInd/>
        <w:spacing w:line="360" w:lineRule="auto"/>
        <w:ind w:firstLine="420" w:firstLineChars="200"/>
        <w:jc w:val="left"/>
        <w:textAlignment w:val="auto"/>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（13）《陕西省财政厅关于进一步落实政府采购支持中小企业相关政策的通知》陕财办采〔2023〕3号；</w:t>
      </w:r>
    </w:p>
    <w:p w14:paraId="0B9AB734">
      <w:pPr>
        <w:keepNext w:val="0"/>
        <w:keepLines w:val="0"/>
        <w:pageBreakBefore w:val="0"/>
        <w:kinsoku/>
        <w:overflowPunct/>
        <w:topLinePunct w:val="0"/>
        <w:autoSpaceDE/>
        <w:autoSpaceDN/>
        <w:bidi w:val="0"/>
        <w:adjustRightInd/>
        <w:spacing w:line="360" w:lineRule="auto"/>
        <w:ind w:firstLine="420" w:firstLineChars="200"/>
        <w:jc w:val="left"/>
        <w:textAlignment w:val="auto"/>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（14）《陕西省财政厅关于进一步优化政府采购营商环境有关事项的通知》陕财办采〔2023〕4号；</w:t>
      </w:r>
    </w:p>
    <w:p w14:paraId="02A6DDE7">
      <w:pPr>
        <w:keepNext w:val="0"/>
        <w:keepLines w:val="0"/>
        <w:pageBreakBefore w:val="0"/>
        <w:kinsoku/>
        <w:overflowPunct/>
        <w:topLinePunct w:val="0"/>
        <w:autoSpaceDE/>
        <w:autoSpaceDN/>
        <w:bidi w:val="0"/>
        <w:adjustRightInd/>
        <w:spacing w:line="360" w:lineRule="auto"/>
        <w:ind w:firstLine="420" w:firstLineChars="200"/>
        <w:jc w:val="left"/>
        <w:textAlignment w:val="auto"/>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（15） 《国务院办公厅关于在政府采购中实施本国产品标准及相关政策的通知》-国办发〔2025〕34号；</w:t>
      </w:r>
    </w:p>
    <w:p w14:paraId="6E9EF6CC">
      <w:pPr>
        <w:keepNext w:val="0"/>
        <w:keepLines w:val="0"/>
        <w:pageBreakBefore w:val="0"/>
        <w:kinsoku/>
        <w:overflowPunct/>
        <w:topLinePunct w:val="0"/>
        <w:autoSpaceDE/>
        <w:autoSpaceDN/>
        <w:bidi w:val="0"/>
        <w:adjustRightInd/>
        <w:spacing w:line="360" w:lineRule="auto"/>
        <w:ind w:firstLine="420" w:firstLineChars="200"/>
        <w:jc w:val="left"/>
        <w:textAlignment w:val="auto"/>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（16）《关于推动解决政府采购异常低价问题的通知》（财库〔2026〕2号）；</w:t>
      </w:r>
    </w:p>
    <w:p w14:paraId="3DFAB291">
      <w:pPr>
        <w:keepNext w:val="0"/>
        <w:keepLines w:val="0"/>
        <w:pageBreakBefore w:val="0"/>
        <w:kinsoku/>
        <w:overflowPunct/>
        <w:topLinePunct w:val="0"/>
        <w:autoSpaceDE/>
        <w:autoSpaceDN/>
        <w:bidi w:val="0"/>
        <w:adjustRightInd/>
        <w:spacing w:line="360" w:lineRule="auto"/>
        <w:ind w:firstLine="420" w:firstLineChars="200"/>
        <w:jc w:val="left"/>
        <w:textAlignment w:val="auto"/>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（17）其他需要落实的政府采购政策。</w:t>
      </w:r>
    </w:p>
    <w:p w14:paraId="4B96B9BF">
      <w:pPr>
        <w:keepNext w:val="0"/>
        <w:keepLines w:val="0"/>
        <w:pageBreakBefore w:val="0"/>
        <w:kinsoku/>
        <w:wordWrap/>
        <w:overflowPunct/>
        <w:topLinePunct w:val="0"/>
        <w:autoSpaceDE/>
        <w:autoSpaceDN/>
        <w:bidi w:val="0"/>
        <w:adjustRightInd/>
        <w:snapToGrid w:val="0"/>
        <w:spacing w:line="360" w:lineRule="auto"/>
        <w:textAlignment w:val="auto"/>
        <w:rPr>
          <w:rStyle w:val="26"/>
          <w:rFonts w:ascii="宋体" w:hAnsi="宋体" w:eastAsia="宋体" w:cs="宋体"/>
          <w:color w:val="auto"/>
          <w:sz w:val="21"/>
          <w:szCs w:val="21"/>
          <w:lang w:val="en-US" w:eastAsia="zh-CN" w:bidi="ar-SA"/>
        </w:rPr>
      </w:pPr>
      <w:r>
        <w:rPr>
          <w:rStyle w:val="26"/>
          <w:rFonts w:hint="eastAsia" w:ascii="宋体" w:hAnsi="宋体" w:eastAsia="宋体" w:cs="宋体"/>
          <w:color w:val="auto"/>
          <w:sz w:val="21"/>
          <w:szCs w:val="21"/>
          <w:lang w:val="en-US" w:eastAsia="zh-CN" w:bidi="ar-SA"/>
        </w:rPr>
        <w:t>八、凡对本次采购提出询问，请按以下方式联系。</w:t>
      </w:r>
    </w:p>
    <w:p w14:paraId="44F56B83">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Times New Roman"/>
          <w:color w:val="auto"/>
          <w:kern w:val="2"/>
          <w:sz w:val="21"/>
          <w:szCs w:val="21"/>
          <w:shd w:val="clear" w:color="auto" w:fill="FFFFFF"/>
          <w:lang w:val="en-US" w:eastAsia="zh-CN" w:bidi="ar-SA"/>
        </w:rPr>
      </w:pPr>
      <w:r>
        <w:rPr>
          <w:rFonts w:hint="eastAsia" w:ascii="宋体" w:hAnsi="宋体" w:eastAsia="宋体" w:cs="Times New Roman"/>
          <w:color w:val="auto"/>
          <w:kern w:val="2"/>
          <w:sz w:val="21"/>
          <w:szCs w:val="21"/>
          <w:shd w:val="clear" w:color="auto" w:fill="FFFFFF"/>
          <w:lang w:val="en-US" w:eastAsia="zh-CN" w:bidi="ar-SA"/>
        </w:rPr>
        <w:t>1.釆购人信息</w:t>
      </w:r>
    </w:p>
    <w:p w14:paraId="7599808C">
      <w:pPr>
        <w:keepNext w:val="0"/>
        <w:keepLines w:val="0"/>
        <w:pageBreakBefore w:val="0"/>
        <w:widowControl w:val="0"/>
        <w:kinsoku/>
        <w:wordWrap/>
        <w:overflowPunct/>
        <w:topLinePunct w:val="0"/>
        <w:autoSpaceDE/>
        <w:autoSpaceDN/>
        <w:bidi w:val="0"/>
        <w:adjustRightInd/>
        <w:spacing w:line="360" w:lineRule="auto"/>
        <w:ind w:firstLine="480"/>
        <w:jc w:val="both"/>
        <w:textAlignment w:val="auto"/>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名称：旬邑县民政局</w:t>
      </w:r>
    </w:p>
    <w:p w14:paraId="3D851CDD">
      <w:pPr>
        <w:keepNext w:val="0"/>
        <w:keepLines w:val="0"/>
        <w:pageBreakBefore w:val="0"/>
        <w:widowControl w:val="0"/>
        <w:kinsoku/>
        <w:wordWrap/>
        <w:overflowPunct/>
        <w:topLinePunct w:val="0"/>
        <w:autoSpaceDE/>
        <w:autoSpaceDN/>
        <w:bidi w:val="0"/>
        <w:adjustRightInd/>
        <w:spacing w:line="360" w:lineRule="auto"/>
        <w:ind w:firstLine="480"/>
        <w:jc w:val="both"/>
        <w:textAlignment w:val="auto"/>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地址：陕西省咸阳市旬邑县城关镇北大街</w:t>
      </w:r>
    </w:p>
    <w:p w14:paraId="0ADC632A">
      <w:pPr>
        <w:keepNext w:val="0"/>
        <w:keepLines w:val="0"/>
        <w:pageBreakBefore w:val="0"/>
        <w:widowControl w:val="0"/>
        <w:kinsoku/>
        <w:wordWrap/>
        <w:overflowPunct/>
        <w:topLinePunct w:val="0"/>
        <w:autoSpaceDE/>
        <w:autoSpaceDN/>
        <w:bidi w:val="0"/>
        <w:adjustRightInd/>
        <w:spacing w:line="360" w:lineRule="auto"/>
        <w:ind w:firstLine="480"/>
        <w:jc w:val="both"/>
        <w:textAlignment w:val="auto"/>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联系方式：</w:t>
      </w:r>
      <w:r>
        <w:rPr>
          <w:rFonts w:hint="eastAsia" w:ascii="宋体" w:hAnsi="宋体" w:eastAsia="宋体" w:cs="宋体"/>
          <w:color w:val="auto"/>
          <w:kern w:val="2"/>
          <w:sz w:val="21"/>
          <w:szCs w:val="21"/>
          <w:highlight w:val="none"/>
          <w:lang w:val="en-US" w:eastAsia="zh-CN" w:bidi="ar-SA"/>
        </w:rPr>
        <w:t>029-34422610</w:t>
      </w:r>
    </w:p>
    <w:p w14:paraId="21D8FF09">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Times New Roman"/>
          <w:b/>
          <w:bCs/>
          <w:color w:val="auto"/>
          <w:kern w:val="2"/>
          <w:sz w:val="21"/>
          <w:szCs w:val="21"/>
          <w:shd w:val="clear" w:color="auto" w:fill="FFFFFF"/>
          <w:lang w:val="en-US" w:eastAsia="zh-CN" w:bidi="ar-SA"/>
        </w:rPr>
      </w:pPr>
      <w:r>
        <w:rPr>
          <w:rFonts w:hint="eastAsia" w:ascii="宋体" w:hAnsi="宋体" w:eastAsia="宋体" w:cs="Times New Roman"/>
          <w:color w:val="auto"/>
          <w:kern w:val="2"/>
          <w:sz w:val="21"/>
          <w:szCs w:val="21"/>
          <w:shd w:val="clear" w:color="auto" w:fill="FFFFFF"/>
          <w:lang w:val="en-US" w:eastAsia="zh-CN" w:bidi="ar-SA"/>
        </w:rPr>
        <w:t>2.釆购代理机构信息</w:t>
      </w:r>
    </w:p>
    <w:p w14:paraId="2F432BA7">
      <w:pPr>
        <w:keepNext w:val="0"/>
        <w:keepLines w:val="0"/>
        <w:pageBreakBefore w:val="0"/>
        <w:widowControl w:val="0"/>
        <w:kinsoku/>
        <w:wordWrap/>
        <w:overflowPunct/>
        <w:topLinePunct w:val="0"/>
        <w:autoSpaceDE/>
        <w:autoSpaceDN/>
        <w:bidi w:val="0"/>
        <w:adjustRightInd/>
        <w:spacing w:line="360" w:lineRule="auto"/>
        <w:ind w:firstLine="482"/>
        <w:jc w:val="both"/>
        <w:textAlignment w:val="auto"/>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名称：陕西益森工程咨询有限公司</w:t>
      </w:r>
    </w:p>
    <w:p w14:paraId="1FC9A1C2">
      <w:pPr>
        <w:keepNext w:val="0"/>
        <w:keepLines w:val="0"/>
        <w:pageBreakBefore w:val="0"/>
        <w:widowControl w:val="0"/>
        <w:kinsoku/>
        <w:wordWrap/>
        <w:overflowPunct/>
        <w:topLinePunct w:val="0"/>
        <w:autoSpaceDE/>
        <w:autoSpaceDN/>
        <w:bidi w:val="0"/>
        <w:adjustRightInd/>
        <w:spacing w:line="360" w:lineRule="auto"/>
        <w:ind w:firstLine="482"/>
        <w:jc w:val="both"/>
        <w:textAlignment w:val="auto"/>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地址：陕西省西安市莲湖区高新三路东财富二期B座9层20905、20906号房</w:t>
      </w:r>
    </w:p>
    <w:p w14:paraId="640E96FB">
      <w:pPr>
        <w:keepNext w:val="0"/>
        <w:keepLines w:val="0"/>
        <w:pageBreakBefore w:val="0"/>
        <w:widowControl w:val="0"/>
        <w:kinsoku/>
        <w:wordWrap/>
        <w:overflowPunct/>
        <w:topLinePunct w:val="0"/>
        <w:autoSpaceDE/>
        <w:autoSpaceDN/>
        <w:bidi w:val="0"/>
        <w:adjustRightInd/>
        <w:spacing w:line="360" w:lineRule="auto"/>
        <w:ind w:firstLine="482"/>
        <w:jc w:val="both"/>
        <w:textAlignment w:val="auto"/>
        <w:rPr>
          <w:rFonts w:hint="default"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联系方式：</w:t>
      </w:r>
      <w:r>
        <w:rPr>
          <w:rFonts w:hint="default" w:ascii="宋体" w:hAnsi="宋体" w:eastAsia="宋体" w:cs="Times New Roman"/>
          <w:color w:val="auto"/>
          <w:kern w:val="2"/>
          <w:sz w:val="21"/>
          <w:szCs w:val="21"/>
          <w:lang w:val="en-US" w:eastAsia="zh-CN" w:bidi="ar-SA"/>
        </w:rPr>
        <w:t>029-68866949</w:t>
      </w:r>
    </w:p>
    <w:p w14:paraId="410EEA99">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Times New Roman"/>
          <w:b/>
          <w:bCs/>
          <w:color w:val="auto"/>
          <w:kern w:val="2"/>
          <w:sz w:val="21"/>
          <w:szCs w:val="21"/>
          <w:shd w:val="clear" w:color="auto" w:fill="FFFFFF"/>
          <w:lang w:val="en-US" w:eastAsia="zh-CN" w:bidi="ar-SA"/>
        </w:rPr>
      </w:pPr>
      <w:r>
        <w:rPr>
          <w:rFonts w:hint="eastAsia" w:ascii="宋体" w:hAnsi="宋体" w:eastAsia="宋体" w:cs="Times New Roman"/>
          <w:b/>
          <w:bCs/>
          <w:color w:val="auto"/>
          <w:kern w:val="2"/>
          <w:sz w:val="21"/>
          <w:szCs w:val="21"/>
          <w:shd w:val="clear" w:color="auto" w:fill="FFFFFF"/>
          <w:lang w:val="en-US" w:eastAsia="zh-CN" w:bidi="ar-SA"/>
        </w:rPr>
        <w:t>3.项目联系方式</w:t>
      </w:r>
    </w:p>
    <w:p w14:paraId="33A62E09">
      <w:pPr>
        <w:keepNext w:val="0"/>
        <w:keepLines w:val="0"/>
        <w:pageBreakBefore w:val="0"/>
        <w:widowControl w:val="0"/>
        <w:kinsoku/>
        <w:wordWrap/>
        <w:overflowPunct/>
        <w:topLinePunct w:val="0"/>
        <w:autoSpaceDE/>
        <w:autoSpaceDN/>
        <w:bidi w:val="0"/>
        <w:adjustRightInd/>
        <w:spacing w:line="360" w:lineRule="auto"/>
        <w:ind w:firstLine="480"/>
        <w:jc w:val="both"/>
        <w:textAlignment w:val="auto"/>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项目联系人：</w:t>
      </w:r>
      <w:r>
        <w:rPr>
          <w:rFonts w:hint="eastAsia" w:ascii="Times New Roman" w:hAnsi="Times New Roman" w:eastAsia="宋体" w:cs="宋体"/>
          <w:b w:val="0"/>
          <w:bCs/>
          <w:color w:val="auto"/>
          <w:kern w:val="2"/>
          <w:sz w:val="21"/>
          <w:szCs w:val="21"/>
          <w:lang w:val="en-US" w:eastAsia="zh-CN" w:bidi="ar-SA"/>
        </w:rPr>
        <w:t>谭琼</w:t>
      </w:r>
    </w:p>
    <w:p w14:paraId="1FE0B75F">
      <w:pPr>
        <w:keepNext w:val="0"/>
        <w:keepLines w:val="0"/>
        <w:pageBreakBefore w:val="0"/>
        <w:widowControl w:val="0"/>
        <w:kinsoku/>
        <w:wordWrap/>
        <w:overflowPunct/>
        <w:topLinePunct w:val="0"/>
        <w:autoSpaceDE/>
        <w:autoSpaceDN/>
        <w:bidi w:val="0"/>
        <w:adjustRightInd/>
        <w:spacing w:line="360" w:lineRule="auto"/>
        <w:ind w:firstLine="482"/>
        <w:jc w:val="both"/>
        <w:textAlignment w:val="auto"/>
        <w:rPr>
          <w:rFonts w:hint="default"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电话：</w:t>
      </w:r>
      <w:r>
        <w:rPr>
          <w:rFonts w:hint="default" w:ascii="宋体" w:hAnsi="宋体" w:eastAsia="宋体" w:cs="Times New Roman"/>
          <w:color w:val="auto"/>
          <w:kern w:val="2"/>
          <w:sz w:val="21"/>
          <w:szCs w:val="21"/>
          <w:lang w:val="en-US" w:eastAsia="zh-CN" w:bidi="ar-SA"/>
        </w:rPr>
        <w:t>029-68866949</w:t>
      </w:r>
    </w:p>
    <w:p w14:paraId="43DABF6A">
      <w:pPr>
        <w:spacing w:line="460" w:lineRule="atLeast"/>
        <w:rPr>
          <w:rFonts w:hint="eastAsia" w:ascii="宋体" w:hAnsi="宋体" w:eastAsia="宋体" w:cs="宋体"/>
          <w:color w:val="auto"/>
          <w:sz w:val="24"/>
          <w:szCs w:val="24"/>
          <w:highlight w:val="none"/>
        </w:rPr>
      </w:pPr>
    </w:p>
    <w:p w14:paraId="4E0F2505">
      <w:pPr>
        <w:widowControl/>
        <w:spacing w:line="460" w:lineRule="atLeas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14:paraId="360C1DD7">
      <w:pPr>
        <w:pStyle w:val="31"/>
        <w:spacing w:before="381" w:after="381" w:line="460" w:lineRule="atLeast"/>
        <w:outlineLvl w:val="0"/>
        <w:rPr>
          <w:rFonts w:hint="eastAsia" w:ascii="宋体" w:hAnsi="宋体" w:eastAsia="宋体" w:cs="宋体"/>
          <w:color w:val="auto"/>
          <w:highlight w:val="none"/>
        </w:rPr>
      </w:pPr>
      <w:bookmarkStart w:id="4" w:name="_Toc22113"/>
      <w:bookmarkStart w:id="5" w:name="_Toc9017"/>
      <w:bookmarkStart w:id="6" w:name="_Toc162282438"/>
      <w:r>
        <w:rPr>
          <w:rFonts w:hint="eastAsia" w:ascii="宋体" w:hAnsi="宋体" w:eastAsia="宋体" w:cs="宋体"/>
          <w:color w:val="auto"/>
          <w:highlight w:val="none"/>
        </w:rPr>
        <w:t>第二章  供应商须知</w:t>
      </w:r>
      <w:bookmarkEnd w:id="4"/>
      <w:bookmarkEnd w:id="5"/>
      <w:bookmarkEnd w:id="6"/>
    </w:p>
    <w:p w14:paraId="09E17F99">
      <w:pPr>
        <w:spacing w:line="46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供应商须知前附表</w:t>
      </w:r>
    </w:p>
    <w:tbl>
      <w:tblPr>
        <w:tblStyle w:val="23"/>
        <w:tblpPr w:leftFromText="180" w:rightFromText="180" w:vertAnchor="text" w:tblpXSpec="center" w:tblpY="1"/>
        <w:tblOverlap w:val="never"/>
        <w:tblW w:w="90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6"/>
        <w:gridCol w:w="2225"/>
        <w:gridCol w:w="6096"/>
      </w:tblGrid>
      <w:tr w14:paraId="0AC81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2AE8D6CB">
            <w:pPr>
              <w:keepNext w:val="0"/>
              <w:keepLines w:val="0"/>
              <w:pageBreakBefore w:val="0"/>
              <w:kinsoku/>
              <w:wordWrap/>
              <w:overflowPunct/>
              <w:topLinePunct w:val="0"/>
              <w:bidi w:val="0"/>
              <w:snapToGrid/>
              <w:spacing w:line="360" w:lineRule="auto"/>
              <w:ind w:left="0" w:leftChars="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序号</w:t>
            </w:r>
          </w:p>
        </w:tc>
        <w:tc>
          <w:tcPr>
            <w:tcW w:w="2225" w:type="dxa"/>
            <w:vAlign w:val="center"/>
          </w:tcPr>
          <w:p w14:paraId="4184E4CA">
            <w:pPr>
              <w:keepNext w:val="0"/>
              <w:keepLines w:val="0"/>
              <w:pageBreakBefore w:val="0"/>
              <w:kinsoku/>
              <w:wordWrap/>
              <w:overflowPunct/>
              <w:topLinePunct w:val="0"/>
              <w:bidi w:val="0"/>
              <w:snapToGrid/>
              <w:spacing w:line="360" w:lineRule="auto"/>
              <w:ind w:left="0" w:leftChars="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条款名称</w:t>
            </w:r>
          </w:p>
        </w:tc>
        <w:tc>
          <w:tcPr>
            <w:tcW w:w="6096" w:type="dxa"/>
            <w:vAlign w:val="center"/>
          </w:tcPr>
          <w:p w14:paraId="2249F852">
            <w:pPr>
              <w:keepNext w:val="0"/>
              <w:keepLines w:val="0"/>
              <w:pageBreakBefore w:val="0"/>
              <w:kinsoku/>
              <w:wordWrap/>
              <w:overflowPunct/>
              <w:topLinePunct w:val="0"/>
              <w:bidi w:val="0"/>
              <w:snapToGrid/>
              <w:spacing w:line="360" w:lineRule="auto"/>
              <w:ind w:left="0" w:leftChars="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编列内容</w:t>
            </w:r>
          </w:p>
        </w:tc>
      </w:tr>
      <w:tr w14:paraId="29BF6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5" w:hRule="atLeast"/>
          <w:jc w:val="center"/>
        </w:trPr>
        <w:tc>
          <w:tcPr>
            <w:tcW w:w="706" w:type="dxa"/>
            <w:vAlign w:val="center"/>
          </w:tcPr>
          <w:p w14:paraId="39B0BA32">
            <w:pPr>
              <w:keepNext w:val="0"/>
              <w:keepLines w:val="0"/>
              <w:pageBreakBefore w:val="0"/>
              <w:kinsoku/>
              <w:wordWrap/>
              <w:overflowPunct/>
              <w:topLinePunct w:val="0"/>
              <w:bidi w:val="0"/>
              <w:snapToGrid/>
              <w:spacing w:line="360" w:lineRule="auto"/>
              <w:ind w:left="0" w:leftChars="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2225" w:type="dxa"/>
            <w:vAlign w:val="center"/>
          </w:tcPr>
          <w:p w14:paraId="4BE3D180">
            <w:pPr>
              <w:keepNext w:val="0"/>
              <w:keepLines w:val="0"/>
              <w:pageBreakBefore w:val="0"/>
              <w:kinsoku/>
              <w:wordWrap/>
              <w:overflowPunct/>
              <w:topLinePunct w:val="0"/>
              <w:bidi w:val="0"/>
              <w:snapToGrid/>
              <w:spacing w:line="360" w:lineRule="auto"/>
              <w:ind w:left="0" w:leftChars="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采购人</w:t>
            </w:r>
          </w:p>
        </w:tc>
        <w:tc>
          <w:tcPr>
            <w:tcW w:w="6096" w:type="dxa"/>
            <w:vAlign w:val="center"/>
          </w:tcPr>
          <w:p w14:paraId="2C073F5A">
            <w:pPr>
              <w:keepNext w:val="0"/>
              <w:keepLines w:val="0"/>
              <w:pageBreakBefore w:val="0"/>
              <w:kinsoku/>
              <w:wordWrap/>
              <w:overflowPunct/>
              <w:topLinePunct w:val="0"/>
              <w:bidi w:val="0"/>
              <w:snapToGrid/>
              <w:spacing w:line="360" w:lineRule="auto"/>
              <w:ind w:left="0" w:leftChars="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名称：旬邑县民政局 </w:t>
            </w:r>
          </w:p>
          <w:p w14:paraId="0EB217CF">
            <w:pPr>
              <w:keepNext w:val="0"/>
              <w:keepLines w:val="0"/>
              <w:pageBreakBefore w:val="0"/>
              <w:kinsoku/>
              <w:wordWrap/>
              <w:overflowPunct/>
              <w:topLinePunct w:val="0"/>
              <w:bidi w:val="0"/>
              <w:snapToGrid/>
              <w:spacing w:line="360" w:lineRule="auto"/>
              <w:ind w:left="0" w:leftChars="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地址：陕西省咸阳市旬邑县城关镇北大街</w:t>
            </w:r>
          </w:p>
          <w:p w14:paraId="30378301">
            <w:pPr>
              <w:keepNext w:val="0"/>
              <w:keepLines w:val="0"/>
              <w:pageBreakBefore w:val="0"/>
              <w:kinsoku/>
              <w:wordWrap/>
              <w:overflowPunct/>
              <w:topLinePunct w:val="0"/>
              <w:bidi w:val="0"/>
              <w:snapToGrid/>
              <w:spacing w:line="360" w:lineRule="auto"/>
              <w:ind w:left="0" w:leftChars="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联系人：赵老师</w:t>
            </w:r>
          </w:p>
          <w:p w14:paraId="76377740">
            <w:pPr>
              <w:keepNext w:val="0"/>
              <w:keepLines w:val="0"/>
              <w:pageBreakBefore w:val="0"/>
              <w:kinsoku/>
              <w:wordWrap/>
              <w:overflowPunct/>
              <w:topLinePunct w:val="0"/>
              <w:bidi w:val="0"/>
              <w:snapToGrid/>
              <w:spacing w:line="360" w:lineRule="auto"/>
              <w:ind w:left="0" w:leftChars="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联系方式：029-34422610</w:t>
            </w:r>
          </w:p>
        </w:tc>
      </w:tr>
      <w:tr w14:paraId="1AA08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2ED2912D">
            <w:pPr>
              <w:keepNext w:val="0"/>
              <w:keepLines w:val="0"/>
              <w:pageBreakBefore w:val="0"/>
              <w:kinsoku/>
              <w:wordWrap/>
              <w:overflowPunct/>
              <w:topLinePunct w:val="0"/>
              <w:bidi w:val="0"/>
              <w:snapToGrid/>
              <w:spacing w:line="360" w:lineRule="auto"/>
              <w:ind w:left="0" w:leftChars="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2225" w:type="dxa"/>
            <w:vAlign w:val="center"/>
          </w:tcPr>
          <w:p w14:paraId="5F184A21">
            <w:pPr>
              <w:keepNext w:val="0"/>
              <w:keepLines w:val="0"/>
              <w:pageBreakBefore w:val="0"/>
              <w:kinsoku/>
              <w:wordWrap/>
              <w:overflowPunct/>
              <w:topLinePunct w:val="0"/>
              <w:bidi w:val="0"/>
              <w:snapToGrid/>
              <w:spacing w:line="360" w:lineRule="auto"/>
              <w:ind w:left="0" w:leftChars="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采购代理机构</w:t>
            </w:r>
          </w:p>
        </w:tc>
        <w:tc>
          <w:tcPr>
            <w:tcW w:w="6096" w:type="dxa"/>
            <w:vAlign w:val="center"/>
          </w:tcPr>
          <w:p w14:paraId="6885C88F">
            <w:pPr>
              <w:keepNext w:val="0"/>
              <w:keepLines w:val="0"/>
              <w:pageBreakBefore w:val="0"/>
              <w:kinsoku/>
              <w:wordWrap/>
              <w:overflowPunct/>
              <w:topLinePunct w:val="0"/>
              <w:bidi w:val="0"/>
              <w:snapToGrid/>
              <w:spacing w:line="360" w:lineRule="auto"/>
              <w:ind w:left="0" w:leftChars="0"/>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名称：</w:t>
            </w:r>
            <w:r>
              <w:rPr>
                <w:rFonts w:hint="eastAsia" w:ascii="宋体" w:hAnsi="宋体" w:eastAsia="宋体" w:cs="宋体"/>
                <w:color w:val="auto"/>
                <w:szCs w:val="21"/>
                <w:highlight w:val="none"/>
                <w:lang w:eastAsia="zh-CN"/>
              </w:rPr>
              <w:t>陕西益森工程咨询有限公司</w:t>
            </w:r>
          </w:p>
          <w:p w14:paraId="620AB1D2">
            <w:pPr>
              <w:keepNext w:val="0"/>
              <w:keepLines w:val="0"/>
              <w:pageBreakBefore w:val="0"/>
              <w:kinsoku/>
              <w:wordWrap/>
              <w:overflowPunct/>
              <w:topLinePunct w:val="0"/>
              <w:bidi w:val="0"/>
              <w:snapToGrid/>
              <w:spacing w:line="360" w:lineRule="auto"/>
              <w:ind w:left="0" w:leftChars="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地    址：</w:t>
            </w:r>
            <w:r>
              <w:rPr>
                <w:rFonts w:hint="eastAsia" w:ascii="宋体" w:hAnsi="宋体" w:eastAsia="宋体"/>
                <w:color w:val="auto"/>
                <w:sz w:val="21"/>
                <w:szCs w:val="21"/>
                <w:lang w:val="en-US" w:eastAsia="zh-CN"/>
              </w:rPr>
              <w:t>陕西省西安市莲湖区高新三路东财富二期B座9层20905、20906号房</w:t>
            </w:r>
          </w:p>
          <w:p w14:paraId="7684A713">
            <w:pPr>
              <w:keepNext w:val="0"/>
              <w:keepLines w:val="0"/>
              <w:pageBreakBefore w:val="0"/>
              <w:kinsoku/>
              <w:wordWrap/>
              <w:overflowPunct/>
              <w:topLinePunct w:val="0"/>
              <w:bidi w:val="0"/>
              <w:snapToGrid/>
              <w:spacing w:line="360" w:lineRule="auto"/>
              <w:ind w:left="0" w:leftChars="0"/>
              <w:textAlignment w:val="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联系人：</w:t>
            </w:r>
            <w:r>
              <w:rPr>
                <w:rFonts w:hint="eastAsia" w:ascii="宋体" w:hAnsi="宋体" w:eastAsia="宋体" w:cs="宋体"/>
                <w:color w:val="auto"/>
                <w:szCs w:val="21"/>
                <w:highlight w:val="none"/>
                <w:lang w:eastAsia="zh-CN"/>
              </w:rPr>
              <w:t>谭琼</w:t>
            </w:r>
          </w:p>
          <w:p w14:paraId="05E34766">
            <w:pPr>
              <w:keepNext w:val="0"/>
              <w:keepLines w:val="0"/>
              <w:pageBreakBefore w:val="0"/>
              <w:kinsoku/>
              <w:wordWrap/>
              <w:overflowPunct/>
              <w:topLinePunct w:val="0"/>
              <w:bidi w:val="0"/>
              <w:snapToGrid/>
              <w:spacing w:line="360" w:lineRule="auto"/>
              <w:ind w:left="0" w:leftChars="0"/>
              <w:textAlignment w:val="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联系电话：</w:t>
            </w:r>
            <w:r>
              <w:rPr>
                <w:rFonts w:hint="default" w:ascii="宋体" w:hAnsi="宋体" w:eastAsia="宋体" w:cs="宋体"/>
                <w:color w:val="auto"/>
                <w:szCs w:val="21"/>
                <w:highlight w:val="none"/>
                <w:lang w:eastAsia="zh-CN"/>
              </w:rPr>
              <w:t>029-68866949</w:t>
            </w:r>
          </w:p>
          <w:p w14:paraId="3024D615">
            <w:pPr>
              <w:keepNext w:val="0"/>
              <w:keepLines w:val="0"/>
              <w:pageBreakBefore w:val="0"/>
              <w:kinsoku/>
              <w:wordWrap/>
              <w:overflowPunct/>
              <w:topLinePunct w:val="0"/>
              <w:bidi w:val="0"/>
              <w:snapToGrid/>
              <w:spacing w:line="360" w:lineRule="auto"/>
              <w:ind w:left="0" w:leftChars="0"/>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邮    箱：</w:t>
            </w:r>
            <w:r>
              <w:rPr>
                <w:rFonts w:hint="eastAsia" w:ascii="宋体" w:hAnsi="宋体" w:eastAsia="宋体" w:cs="宋体"/>
                <w:color w:val="auto"/>
                <w:szCs w:val="21"/>
                <w:highlight w:val="none"/>
                <w:lang w:val="en-US" w:eastAsia="zh-CN"/>
              </w:rPr>
              <w:t>631724506@qq.com</w:t>
            </w:r>
          </w:p>
        </w:tc>
      </w:tr>
      <w:tr w14:paraId="51C75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1AB25421">
            <w:pPr>
              <w:keepNext w:val="0"/>
              <w:keepLines w:val="0"/>
              <w:pageBreakBefore w:val="0"/>
              <w:kinsoku/>
              <w:wordWrap/>
              <w:overflowPunct/>
              <w:topLinePunct w:val="0"/>
              <w:bidi w:val="0"/>
              <w:snapToGrid/>
              <w:spacing w:line="360" w:lineRule="auto"/>
              <w:ind w:left="0" w:leftChars="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2225" w:type="dxa"/>
            <w:vAlign w:val="center"/>
          </w:tcPr>
          <w:p w14:paraId="46523F45">
            <w:pPr>
              <w:keepNext w:val="0"/>
              <w:keepLines w:val="0"/>
              <w:pageBreakBefore w:val="0"/>
              <w:kinsoku/>
              <w:wordWrap/>
              <w:overflowPunct/>
              <w:topLinePunct w:val="0"/>
              <w:bidi w:val="0"/>
              <w:snapToGrid/>
              <w:spacing w:line="360" w:lineRule="auto"/>
              <w:ind w:left="0" w:leftChars="0"/>
              <w:jc w:val="center"/>
              <w:textAlignment w:val="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监督管理机构</w:t>
            </w:r>
          </w:p>
        </w:tc>
        <w:tc>
          <w:tcPr>
            <w:tcW w:w="6096" w:type="dxa"/>
          </w:tcPr>
          <w:p w14:paraId="5C520644">
            <w:pPr>
              <w:keepNext w:val="0"/>
              <w:keepLines w:val="0"/>
              <w:pageBreakBefore w:val="0"/>
              <w:kinsoku/>
              <w:wordWrap/>
              <w:overflowPunct/>
              <w:topLinePunct w:val="0"/>
              <w:bidi w:val="0"/>
              <w:snapToGrid/>
              <w:spacing w:line="360" w:lineRule="auto"/>
              <w:ind w:left="0" w:leftChars="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旬邑县</w:t>
            </w:r>
            <w:r>
              <w:rPr>
                <w:rFonts w:hint="eastAsia" w:ascii="宋体" w:hAnsi="宋体" w:eastAsia="宋体" w:cs="宋体"/>
                <w:bCs/>
                <w:color w:val="auto"/>
                <w:szCs w:val="21"/>
                <w:highlight w:val="none"/>
              </w:rPr>
              <w:t>财政局</w:t>
            </w:r>
          </w:p>
        </w:tc>
      </w:tr>
      <w:tr w14:paraId="12F33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67012DED">
            <w:pPr>
              <w:keepNext w:val="0"/>
              <w:keepLines w:val="0"/>
              <w:pageBreakBefore w:val="0"/>
              <w:kinsoku/>
              <w:wordWrap/>
              <w:overflowPunct/>
              <w:topLinePunct w:val="0"/>
              <w:bidi w:val="0"/>
              <w:snapToGrid/>
              <w:spacing w:line="360" w:lineRule="auto"/>
              <w:ind w:left="0" w:leftChars="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2225" w:type="dxa"/>
            <w:vAlign w:val="center"/>
          </w:tcPr>
          <w:p w14:paraId="334BDA3B">
            <w:pPr>
              <w:keepNext w:val="0"/>
              <w:keepLines w:val="0"/>
              <w:pageBreakBefore w:val="0"/>
              <w:kinsoku/>
              <w:wordWrap/>
              <w:overflowPunct/>
              <w:topLinePunct w:val="0"/>
              <w:bidi w:val="0"/>
              <w:snapToGrid/>
              <w:spacing w:line="360" w:lineRule="auto"/>
              <w:ind w:left="0" w:leftChars="0"/>
              <w:jc w:val="center"/>
              <w:textAlignment w:val="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供应商</w:t>
            </w:r>
          </w:p>
        </w:tc>
        <w:tc>
          <w:tcPr>
            <w:tcW w:w="6096" w:type="dxa"/>
            <w:vAlign w:val="center"/>
          </w:tcPr>
          <w:p w14:paraId="7FFFC9F1">
            <w:pPr>
              <w:keepNext w:val="0"/>
              <w:keepLines w:val="0"/>
              <w:pageBreakBefore w:val="0"/>
              <w:kinsoku/>
              <w:wordWrap/>
              <w:overflowPunct/>
              <w:topLinePunct w:val="0"/>
              <w:bidi w:val="0"/>
              <w:snapToGrid/>
              <w:spacing w:line="360" w:lineRule="auto"/>
              <w:ind w:left="0" w:leftChars="0"/>
              <w:jc w:val="left"/>
              <w:textAlignment w:val="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响应磋商并且符合磋商文件规定资格条件和参加磋商竞争的法人、其他组织或者自然人</w:t>
            </w:r>
          </w:p>
        </w:tc>
      </w:tr>
      <w:tr w14:paraId="70B86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706" w:type="dxa"/>
            <w:vAlign w:val="center"/>
          </w:tcPr>
          <w:p w14:paraId="16CADDCB">
            <w:pPr>
              <w:keepNext w:val="0"/>
              <w:keepLines w:val="0"/>
              <w:pageBreakBefore w:val="0"/>
              <w:kinsoku/>
              <w:wordWrap/>
              <w:overflowPunct/>
              <w:topLinePunct w:val="0"/>
              <w:bidi w:val="0"/>
              <w:snapToGrid/>
              <w:spacing w:line="360" w:lineRule="auto"/>
              <w:ind w:left="0" w:leftChars="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5</w:t>
            </w:r>
          </w:p>
        </w:tc>
        <w:tc>
          <w:tcPr>
            <w:tcW w:w="2225" w:type="dxa"/>
            <w:vAlign w:val="center"/>
          </w:tcPr>
          <w:p w14:paraId="7FAB776E">
            <w:pPr>
              <w:keepNext w:val="0"/>
              <w:keepLines w:val="0"/>
              <w:pageBreakBefore w:val="0"/>
              <w:kinsoku/>
              <w:wordWrap/>
              <w:overflowPunct/>
              <w:topLinePunct w:val="0"/>
              <w:bidi w:val="0"/>
              <w:snapToGrid/>
              <w:spacing w:line="360" w:lineRule="auto"/>
              <w:ind w:left="0" w:leftChars="0"/>
              <w:jc w:val="center"/>
              <w:textAlignment w:val="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项目名称</w:t>
            </w:r>
          </w:p>
        </w:tc>
        <w:tc>
          <w:tcPr>
            <w:tcW w:w="6096" w:type="dxa"/>
            <w:vAlign w:val="center"/>
          </w:tcPr>
          <w:p w14:paraId="7011AA20">
            <w:pPr>
              <w:keepNext w:val="0"/>
              <w:keepLines w:val="0"/>
              <w:pageBreakBefore w:val="0"/>
              <w:kinsoku/>
              <w:wordWrap/>
              <w:overflowPunct/>
              <w:topLinePunct w:val="0"/>
              <w:bidi w:val="0"/>
              <w:snapToGrid/>
              <w:spacing w:line="360" w:lineRule="auto"/>
              <w:ind w:left="0" w:leftChars="0"/>
              <w:jc w:val="left"/>
              <w:textAlignment w:val="auto"/>
              <w:rPr>
                <w:rFonts w:hint="eastAsia" w:ascii="宋体" w:hAnsi="宋体" w:eastAsia="宋体" w:cs="宋体"/>
                <w:bCs/>
                <w:color w:val="auto"/>
                <w:szCs w:val="21"/>
                <w:highlight w:val="none"/>
                <w:lang w:eastAsia="zh-CN"/>
              </w:rPr>
            </w:pPr>
            <w:r>
              <w:rPr>
                <w:rFonts w:hint="eastAsia" w:ascii="宋体" w:hAnsi="宋体" w:eastAsia="宋体" w:cs="宋体"/>
                <w:color w:val="auto"/>
                <w:szCs w:val="21"/>
                <w:highlight w:val="none"/>
                <w:lang w:eastAsia="zh-CN"/>
              </w:rPr>
              <w:t>旬邑县养老中心服务设施提升改造项目检测及监测服务</w:t>
            </w:r>
          </w:p>
        </w:tc>
      </w:tr>
      <w:tr w14:paraId="68FD4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2812273E">
            <w:pPr>
              <w:keepNext w:val="0"/>
              <w:keepLines w:val="0"/>
              <w:pageBreakBefore w:val="0"/>
              <w:kinsoku/>
              <w:wordWrap/>
              <w:overflowPunct/>
              <w:topLinePunct w:val="0"/>
              <w:bidi w:val="0"/>
              <w:snapToGrid/>
              <w:spacing w:line="360" w:lineRule="auto"/>
              <w:ind w:left="0" w:leftChars="0"/>
              <w:jc w:val="center"/>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6</w:t>
            </w:r>
          </w:p>
        </w:tc>
        <w:tc>
          <w:tcPr>
            <w:tcW w:w="2225" w:type="dxa"/>
            <w:vAlign w:val="center"/>
          </w:tcPr>
          <w:p w14:paraId="549EA57B">
            <w:pPr>
              <w:spacing w:line="240" w:lineRule="auto"/>
              <w:jc w:val="center"/>
              <w:rPr>
                <w:rFonts w:hint="eastAsia" w:ascii="宋体" w:hAnsi="宋体" w:eastAsia="宋体" w:cs="宋体"/>
                <w:bCs/>
                <w:color w:val="auto"/>
                <w:szCs w:val="21"/>
                <w:highlight w:val="none"/>
              </w:rPr>
            </w:pPr>
            <w:r>
              <w:rPr>
                <w:rFonts w:hint="eastAsia" w:eastAsia="宋体" w:cs="宋体"/>
                <w:b w:val="0"/>
                <w:bCs/>
                <w:color w:val="auto"/>
                <w:sz w:val="21"/>
                <w:szCs w:val="21"/>
                <w:lang w:val="en-US" w:eastAsia="zh-CN"/>
              </w:rPr>
              <w:t>包号名称</w:t>
            </w:r>
          </w:p>
        </w:tc>
        <w:tc>
          <w:tcPr>
            <w:tcW w:w="6096" w:type="dxa"/>
            <w:vAlign w:val="center"/>
          </w:tcPr>
          <w:p w14:paraId="04A1BEC8">
            <w:pPr>
              <w:spacing w:line="240" w:lineRule="auto"/>
              <w:rPr>
                <w:rFonts w:hint="eastAsia" w:ascii="宋体" w:hAnsi="宋体" w:eastAsia="宋体" w:cs="宋体"/>
                <w:bCs/>
                <w:color w:val="auto"/>
                <w:szCs w:val="21"/>
                <w:highlight w:val="none"/>
                <w:lang w:val="en-US" w:eastAsia="zh-CN"/>
              </w:rPr>
            </w:pPr>
            <w:r>
              <w:rPr>
                <w:rFonts w:hint="eastAsia" w:ascii="宋体" w:hAnsi="宋体" w:eastAsia="宋体" w:cs="宋体"/>
                <w:color w:val="auto"/>
                <w:sz w:val="21"/>
                <w:szCs w:val="21"/>
                <w:lang w:val="en-US" w:eastAsia="zh-CN" w:bidi="ar-SA"/>
              </w:rPr>
              <w:t>旬邑县养老中心服务设施提升改造项目基坑变形监测及主体沉降观测</w:t>
            </w:r>
          </w:p>
        </w:tc>
      </w:tr>
      <w:tr w14:paraId="710DE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6C95EE38">
            <w:pPr>
              <w:keepNext w:val="0"/>
              <w:keepLines w:val="0"/>
              <w:pageBreakBefore w:val="0"/>
              <w:kinsoku/>
              <w:wordWrap/>
              <w:overflowPunct/>
              <w:topLinePunct w:val="0"/>
              <w:bidi w:val="0"/>
              <w:snapToGrid/>
              <w:spacing w:line="360" w:lineRule="auto"/>
              <w:ind w:left="0" w:leftChars="0"/>
              <w:jc w:val="center"/>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7</w:t>
            </w:r>
          </w:p>
        </w:tc>
        <w:tc>
          <w:tcPr>
            <w:tcW w:w="2225" w:type="dxa"/>
            <w:vAlign w:val="center"/>
          </w:tcPr>
          <w:p w14:paraId="521FFF97">
            <w:pPr>
              <w:spacing w:line="240" w:lineRule="auto"/>
              <w:jc w:val="center"/>
              <w:rPr>
                <w:rFonts w:hint="eastAsia" w:eastAsia="宋体" w:cs="宋体"/>
                <w:b w:val="0"/>
                <w:bCs/>
                <w:color w:val="auto"/>
                <w:sz w:val="21"/>
                <w:szCs w:val="21"/>
                <w:lang w:val="en-US" w:eastAsia="zh-CN"/>
              </w:rPr>
            </w:pPr>
            <w:r>
              <w:rPr>
                <w:rFonts w:hint="eastAsia" w:eastAsia="宋体" w:cs="宋体"/>
                <w:b w:val="0"/>
                <w:bCs/>
                <w:color w:val="auto"/>
                <w:sz w:val="21"/>
                <w:szCs w:val="21"/>
                <w:lang w:val="en-US" w:eastAsia="zh-CN"/>
              </w:rPr>
              <w:t>包号</w:t>
            </w:r>
          </w:p>
        </w:tc>
        <w:tc>
          <w:tcPr>
            <w:tcW w:w="6096" w:type="dxa"/>
            <w:vAlign w:val="center"/>
          </w:tcPr>
          <w:p w14:paraId="7D0D55DA">
            <w:pPr>
              <w:spacing w:line="240" w:lineRule="auto"/>
              <w:jc w:val="left"/>
              <w:rPr>
                <w:rFonts w:hint="eastAsia" w:eastAsia="宋体" w:cs="宋体"/>
                <w:b w:val="0"/>
                <w:bCs/>
                <w:color w:val="auto"/>
                <w:sz w:val="21"/>
                <w:szCs w:val="21"/>
                <w:lang w:val="en-US" w:eastAsia="zh-CN"/>
              </w:rPr>
            </w:pPr>
            <w:r>
              <w:rPr>
                <w:rFonts w:hint="eastAsia" w:eastAsia="宋体" w:cs="宋体"/>
                <w:b w:val="0"/>
                <w:bCs/>
                <w:color w:val="auto"/>
                <w:sz w:val="21"/>
                <w:szCs w:val="21"/>
                <w:lang w:val="en-US" w:eastAsia="zh-CN"/>
              </w:rPr>
              <w:t>包2</w:t>
            </w:r>
          </w:p>
        </w:tc>
      </w:tr>
      <w:tr w14:paraId="46565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61B8FABE">
            <w:pPr>
              <w:keepNext w:val="0"/>
              <w:keepLines w:val="0"/>
              <w:pageBreakBefore w:val="0"/>
              <w:kinsoku/>
              <w:wordWrap/>
              <w:overflowPunct/>
              <w:topLinePunct w:val="0"/>
              <w:bidi w:val="0"/>
              <w:snapToGrid/>
              <w:spacing w:line="360" w:lineRule="auto"/>
              <w:ind w:left="0" w:leftChars="0"/>
              <w:jc w:val="center"/>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8</w:t>
            </w:r>
          </w:p>
        </w:tc>
        <w:tc>
          <w:tcPr>
            <w:tcW w:w="2225" w:type="dxa"/>
            <w:vAlign w:val="center"/>
          </w:tcPr>
          <w:p w14:paraId="074C1AC0">
            <w:pPr>
              <w:spacing w:line="240" w:lineRule="auto"/>
              <w:jc w:val="center"/>
              <w:rPr>
                <w:rFonts w:hint="eastAsia" w:ascii="宋体" w:hAnsi="宋体" w:eastAsia="宋体" w:cs="宋体"/>
                <w:bCs/>
                <w:color w:val="auto"/>
                <w:szCs w:val="21"/>
                <w:highlight w:val="none"/>
              </w:rPr>
            </w:pPr>
            <w:r>
              <w:rPr>
                <w:rFonts w:hint="eastAsia" w:ascii="宋体" w:hAnsi="宋体" w:eastAsia="宋体" w:cs="宋体"/>
                <w:b w:val="0"/>
                <w:bCs/>
                <w:color w:val="auto"/>
                <w:sz w:val="21"/>
                <w:szCs w:val="21"/>
              </w:rPr>
              <w:t>项目性质</w:t>
            </w:r>
          </w:p>
        </w:tc>
        <w:tc>
          <w:tcPr>
            <w:tcW w:w="6096" w:type="dxa"/>
            <w:vAlign w:val="center"/>
          </w:tcPr>
          <w:p w14:paraId="33ED035A">
            <w:pPr>
              <w:spacing w:line="240" w:lineRule="auto"/>
              <w:rPr>
                <w:rFonts w:hint="eastAsia" w:ascii="宋体" w:hAnsi="宋体" w:eastAsia="宋体" w:cs="宋体"/>
                <w:bCs/>
                <w:color w:val="auto"/>
                <w:szCs w:val="21"/>
                <w:highlight w:val="none"/>
                <w:lang w:val="en-US" w:eastAsia="zh-CN"/>
              </w:rPr>
            </w:pPr>
            <w:r>
              <w:rPr>
                <w:rFonts w:hint="eastAsia" w:ascii="宋体" w:hAnsi="宋体" w:eastAsia="宋体" w:cs="宋体"/>
                <w:b w:val="0"/>
                <w:bCs/>
                <w:color w:val="auto"/>
                <w:sz w:val="21"/>
                <w:szCs w:val="21"/>
              </w:rPr>
              <w:t>财政资金</w:t>
            </w:r>
          </w:p>
        </w:tc>
      </w:tr>
      <w:tr w14:paraId="0B865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6E7445D1">
            <w:pPr>
              <w:keepNext w:val="0"/>
              <w:keepLines w:val="0"/>
              <w:pageBreakBefore w:val="0"/>
              <w:kinsoku/>
              <w:wordWrap/>
              <w:overflowPunct/>
              <w:topLinePunct w:val="0"/>
              <w:bidi w:val="0"/>
              <w:snapToGrid/>
              <w:spacing w:line="360" w:lineRule="auto"/>
              <w:ind w:left="0" w:leftChars="0"/>
              <w:jc w:val="center"/>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9</w:t>
            </w:r>
          </w:p>
        </w:tc>
        <w:tc>
          <w:tcPr>
            <w:tcW w:w="2225" w:type="dxa"/>
            <w:vAlign w:val="center"/>
          </w:tcPr>
          <w:p w14:paraId="7DA765F9">
            <w:pPr>
              <w:keepNext w:val="0"/>
              <w:keepLines w:val="0"/>
              <w:pageBreakBefore w:val="0"/>
              <w:kinsoku/>
              <w:wordWrap/>
              <w:overflowPunct/>
              <w:topLinePunct w:val="0"/>
              <w:bidi w:val="0"/>
              <w:snapToGrid/>
              <w:spacing w:line="360" w:lineRule="auto"/>
              <w:ind w:left="0" w:leftChars="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项目编号</w:t>
            </w:r>
          </w:p>
        </w:tc>
        <w:tc>
          <w:tcPr>
            <w:tcW w:w="6096" w:type="dxa"/>
            <w:vAlign w:val="center"/>
          </w:tcPr>
          <w:p w14:paraId="19FFF5D3">
            <w:pPr>
              <w:keepNext w:val="0"/>
              <w:keepLines w:val="0"/>
              <w:pageBreakBefore w:val="0"/>
              <w:kinsoku/>
              <w:wordWrap/>
              <w:overflowPunct/>
              <w:topLinePunct w:val="0"/>
              <w:bidi w:val="0"/>
              <w:snapToGrid/>
              <w:spacing w:line="360" w:lineRule="auto"/>
              <w:ind w:left="0" w:leftChars="0"/>
              <w:textAlignment w:val="auto"/>
              <w:rPr>
                <w:rFonts w:hint="eastAsia" w:ascii="宋体" w:hAnsi="宋体" w:eastAsia="宋体" w:cs="宋体"/>
                <w:color w:val="auto"/>
                <w:szCs w:val="21"/>
                <w:highlight w:val="none"/>
                <w:lang w:eastAsia="zh-CN"/>
              </w:rPr>
            </w:pPr>
            <w:r>
              <w:rPr>
                <w:rFonts w:hint="eastAsia" w:ascii="宋体" w:hAnsi="宋体" w:eastAsia="宋体" w:cs="Times New Roman"/>
                <w:color w:val="auto"/>
                <w:kern w:val="2"/>
                <w:sz w:val="21"/>
                <w:szCs w:val="21"/>
                <w:lang w:val="en-US" w:eastAsia="zh-CN" w:bidi="ar-SA"/>
              </w:rPr>
              <w:t>YSCG-2026-001F</w:t>
            </w:r>
            <w:r>
              <w:rPr>
                <w:rFonts w:hint="eastAsia" w:ascii="宋体" w:hAnsi="宋体" w:eastAsia="宋体" w:cs="Times New Roman"/>
                <w:color w:val="auto"/>
                <w:kern w:val="2"/>
                <w:sz w:val="21"/>
                <w:szCs w:val="21"/>
                <w:lang w:val="en-US" w:eastAsia="zh-CN" w:bidi="ar-SA"/>
              </w:rPr>
              <w:tab/>
            </w:r>
          </w:p>
        </w:tc>
      </w:tr>
      <w:tr w14:paraId="51F72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706" w:type="dxa"/>
            <w:vAlign w:val="center"/>
          </w:tcPr>
          <w:p w14:paraId="3BB424B6">
            <w:pPr>
              <w:keepNext w:val="0"/>
              <w:keepLines w:val="0"/>
              <w:pageBreakBefore w:val="0"/>
              <w:kinsoku/>
              <w:wordWrap/>
              <w:overflowPunct/>
              <w:topLinePunct w:val="0"/>
              <w:bidi w:val="0"/>
              <w:snapToGrid/>
              <w:spacing w:line="360" w:lineRule="auto"/>
              <w:ind w:left="0" w:leftChars="0"/>
              <w:jc w:val="center"/>
              <w:textAlignment w:val="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10</w:t>
            </w:r>
          </w:p>
        </w:tc>
        <w:tc>
          <w:tcPr>
            <w:tcW w:w="2225" w:type="dxa"/>
            <w:vAlign w:val="center"/>
          </w:tcPr>
          <w:p w14:paraId="08F135C2">
            <w:pPr>
              <w:keepNext w:val="0"/>
              <w:keepLines w:val="0"/>
              <w:pageBreakBefore w:val="0"/>
              <w:kinsoku/>
              <w:wordWrap/>
              <w:overflowPunct/>
              <w:topLinePunct w:val="0"/>
              <w:bidi w:val="0"/>
              <w:snapToGrid/>
              <w:spacing w:line="360" w:lineRule="auto"/>
              <w:ind w:left="0" w:leftChars="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采购内容</w:t>
            </w:r>
          </w:p>
        </w:tc>
        <w:tc>
          <w:tcPr>
            <w:tcW w:w="6096" w:type="dxa"/>
            <w:vAlign w:val="center"/>
          </w:tcPr>
          <w:p w14:paraId="28A80C93">
            <w:pPr>
              <w:keepNext w:val="0"/>
              <w:keepLines w:val="0"/>
              <w:pageBreakBefore w:val="0"/>
              <w:kinsoku/>
              <w:wordWrap/>
              <w:overflowPunct/>
              <w:topLinePunct w:val="0"/>
              <w:bidi w:val="0"/>
              <w:snapToGrid/>
              <w:spacing w:line="360" w:lineRule="auto"/>
              <w:ind w:left="0" w:leftChars="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详见“ 第五章 磋商内容及采购要求”</w:t>
            </w:r>
          </w:p>
        </w:tc>
      </w:tr>
      <w:tr w14:paraId="45BA4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11912C41">
            <w:pPr>
              <w:keepNext w:val="0"/>
              <w:keepLines w:val="0"/>
              <w:pageBreakBefore w:val="0"/>
              <w:kinsoku/>
              <w:wordWrap/>
              <w:overflowPunct/>
              <w:topLinePunct w:val="0"/>
              <w:bidi w:val="0"/>
              <w:snapToGrid/>
              <w:spacing w:line="360" w:lineRule="auto"/>
              <w:ind w:left="0" w:leftChars="0"/>
              <w:jc w:val="center"/>
              <w:textAlignment w:val="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11</w:t>
            </w:r>
          </w:p>
        </w:tc>
        <w:tc>
          <w:tcPr>
            <w:tcW w:w="2225" w:type="dxa"/>
            <w:vAlign w:val="center"/>
          </w:tcPr>
          <w:p w14:paraId="095B7D94">
            <w:pPr>
              <w:keepNext w:val="0"/>
              <w:keepLines w:val="0"/>
              <w:pageBreakBefore w:val="0"/>
              <w:kinsoku/>
              <w:wordWrap/>
              <w:overflowPunct/>
              <w:topLinePunct w:val="0"/>
              <w:bidi w:val="0"/>
              <w:snapToGrid/>
              <w:spacing w:line="360" w:lineRule="auto"/>
              <w:ind w:left="0" w:leftChars="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是否预留份额</w:t>
            </w:r>
          </w:p>
          <w:p w14:paraId="15ED4094">
            <w:pPr>
              <w:keepNext w:val="0"/>
              <w:keepLines w:val="0"/>
              <w:pageBreakBefore w:val="0"/>
              <w:kinsoku/>
              <w:wordWrap/>
              <w:overflowPunct/>
              <w:topLinePunct w:val="0"/>
              <w:bidi w:val="0"/>
              <w:snapToGrid/>
              <w:spacing w:line="360" w:lineRule="auto"/>
              <w:ind w:left="0" w:leftChars="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专门面向中小企业采购</w:t>
            </w:r>
          </w:p>
        </w:tc>
        <w:tc>
          <w:tcPr>
            <w:tcW w:w="6096" w:type="dxa"/>
            <w:vAlign w:val="center"/>
          </w:tcPr>
          <w:p w14:paraId="49D32EE1">
            <w:pPr>
              <w:keepNext w:val="0"/>
              <w:keepLines w:val="0"/>
              <w:pageBreakBefore w:val="0"/>
              <w:kinsoku/>
              <w:wordWrap/>
              <w:overflowPunct/>
              <w:topLinePunct w:val="0"/>
              <w:bidi w:val="0"/>
              <w:snapToGrid/>
              <w:spacing w:line="360" w:lineRule="auto"/>
              <w:ind w:left="0" w:leftChars="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sym w:font="Wingdings" w:char="00FE"/>
            </w:r>
            <w:r>
              <w:rPr>
                <w:rFonts w:hint="eastAsia" w:ascii="宋体" w:hAnsi="宋体" w:eastAsia="宋体" w:cs="宋体"/>
                <w:color w:val="auto"/>
                <w:szCs w:val="21"/>
                <w:highlight w:val="none"/>
              </w:rPr>
              <w:t>是  ☐否</w:t>
            </w:r>
          </w:p>
        </w:tc>
      </w:tr>
      <w:tr w14:paraId="62785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1575B4A8">
            <w:pPr>
              <w:keepNext w:val="0"/>
              <w:keepLines w:val="0"/>
              <w:pageBreakBefore w:val="0"/>
              <w:kinsoku/>
              <w:wordWrap/>
              <w:overflowPunct/>
              <w:topLinePunct w:val="0"/>
              <w:bidi w:val="0"/>
              <w:snapToGrid/>
              <w:spacing w:line="360" w:lineRule="auto"/>
              <w:ind w:left="0" w:leftChars="0"/>
              <w:jc w:val="center"/>
              <w:textAlignment w:val="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12</w:t>
            </w:r>
          </w:p>
        </w:tc>
        <w:tc>
          <w:tcPr>
            <w:tcW w:w="2225" w:type="dxa"/>
            <w:vAlign w:val="center"/>
          </w:tcPr>
          <w:p w14:paraId="5FA056B7">
            <w:pPr>
              <w:keepNext w:val="0"/>
              <w:keepLines w:val="0"/>
              <w:pageBreakBefore w:val="0"/>
              <w:kinsoku/>
              <w:wordWrap/>
              <w:overflowPunct/>
              <w:topLinePunct w:val="0"/>
              <w:bidi w:val="0"/>
              <w:snapToGrid/>
              <w:spacing w:line="360" w:lineRule="auto"/>
              <w:ind w:left="0" w:leftChars="0"/>
              <w:jc w:val="center"/>
              <w:textAlignment w:val="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磋商报价及预算</w:t>
            </w:r>
          </w:p>
        </w:tc>
        <w:tc>
          <w:tcPr>
            <w:tcW w:w="6096" w:type="dxa"/>
          </w:tcPr>
          <w:p w14:paraId="5C4C8EC7">
            <w:pPr>
              <w:keepNext w:val="0"/>
              <w:keepLines w:val="0"/>
              <w:pageBreakBefore w:val="0"/>
              <w:kinsoku/>
              <w:wordWrap/>
              <w:overflowPunct/>
              <w:topLinePunct w:val="0"/>
              <w:bidi w:val="0"/>
              <w:snapToGrid/>
              <w:spacing w:line="360" w:lineRule="auto"/>
              <w:ind w:left="0" w:leftChars="0"/>
              <w:textAlignment w:val="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w:t>
            </w:r>
            <w:r>
              <w:rPr>
                <w:rFonts w:hint="eastAsia" w:ascii="宋体" w:hAnsi="宋体" w:eastAsia="宋体" w:cs="宋体"/>
                <w:b/>
                <w:bCs/>
                <w:color w:val="auto"/>
                <w:szCs w:val="21"/>
                <w:highlight w:val="none"/>
                <w:lang w:val="en-US" w:eastAsia="zh-CN"/>
              </w:rPr>
              <w:t>包2</w:t>
            </w:r>
            <w:r>
              <w:rPr>
                <w:rFonts w:hint="eastAsia" w:ascii="宋体" w:hAnsi="宋体" w:eastAsia="宋体" w:cs="宋体"/>
                <w:b/>
                <w:bCs/>
                <w:color w:val="auto"/>
                <w:szCs w:val="21"/>
                <w:highlight w:val="none"/>
                <w:lang w:eastAsia="zh-CN"/>
              </w:rPr>
              <w:t>）</w:t>
            </w:r>
            <w:r>
              <w:rPr>
                <w:rFonts w:hint="eastAsia" w:ascii="宋体" w:hAnsi="宋体" w:eastAsia="宋体" w:cs="宋体"/>
                <w:b/>
                <w:bCs/>
                <w:color w:val="auto"/>
                <w:szCs w:val="21"/>
                <w:highlight w:val="none"/>
              </w:rPr>
              <w:t>采购预算：</w:t>
            </w:r>
            <w:r>
              <w:rPr>
                <w:rFonts w:hint="eastAsia" w:ascii="宋体" w:hAnsi="宋体" w:eastAsia="宋体" w:cs="宋体"/>
                <w:b/>
                <w:bCs/>
                <w:color w:val="auto"/>
                <w:szCs w:val="21"/>
                <w:highlight w:val="none"/>
                <w:lang w:val="en-US" w:eastAsia="zh-CN"/>
              </w:rPr>
              <w:t>335,000.00</w:t>
            </w:r>
            <w:r>
              <w:rPr>
                <w:rFonts w:hint="eastAsia" w:ascii="宋体" w:hAnsi="宋体" w:eastAsia="宋体" w:cs="宋体"/>
                <w:b/>
                <w:bCs/>
                <w:color w:val="auto"/>
                <w:szCs w:val="21"/>
                <w:highlight w:val="none"/>
              </w:rPr>
              <w:t>元。</w:t>
            </w:r>
            <w:r>
              <w:rPr>
                <w:rFonts w:hint="eastAsia" w:ascii="宋体" w:hAnsi="宋体" w:eastAsia="宋体" w:cs="宋体"/>
                <w:b/>
                <w:bCs/>
                <w:color w:val="auto"/>
                <w:szCs w:val="21"/>
                <w:highlight w:val="none"/>
                <w:lang w:eastAsia="zh-CN"/>
              </w:rPr>
              <w:t>（</w:t>
            </w:r>
            <w:r>
              <w:rPr>
                <w:rFonts w:hint="eastAsia" w:ascii="宋体" w:hAnsi="宋体" w:eastAsia="宋体" w:cs="宋体"/>
                <w:b/>
                <w:bCs/>
                <w:color w:val="auto"/>
                <w:szCs w:val="21"/>
                <w:highlight w:val="none"/>
                <w:lang w:val="en-US" w:eastAsia="zh-CN"/>
              </w:rPr>
              <w:t>大写：叁拾叁万伍仟元整</w:t>
            </w:r>
            <w:r>
              <w:rPr>
                <w:rFonts w:hint="eastAsia" w:ascii="宋体" w:hAnsi="宋体" w:eastAsia="宋体" w:cs="宋体"/>
                <w:b/>
                <w:bCs/>
                <w:color w:val="auto"/>
                <w:szCs w:val="21"/>
                <w:highlight w:val="none"/>
                <w:lang w:eastAsia="zh-CN"/>
              </w:rPr>
              <w:t>）</w:t>
            </w:r>
          </w:p>
          <w:p w14:paraId="309E60A7">
            <w:pPr>
              <w:keepNext w:val="0"/>
              <w:keepLines w:val="0"/>
              <w:pageBreakBefore w:val="0"/>
              <w:kinsoku/>
              <w:wordWrap/>
              <w:overflowPunct/>
              <w:topLinePunct w:val="0"/>
              <w:bidi w:val="0"/>
              <w:snapToGrid/>
              <w:spacing w:line="360" w:lineRule="auto"/>
              <w:ind w:left="0" w:leftChars="0"/>
              <w:textAlignment w:val="auto"/>
              <w:rPr>
                <w:rFonts w:hint="default"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其中：</w:t>
            </w:r>
            <w:r>
              <w:rPr>
                <w:rFonts w:hint="eastAsia" w:ascii="宋体" w:hAnsi="宋体" w:eastAsia="宋体" w:cs="宋体"/>
                <w:b/>
                <w:bCs/>
                <w:szCs w:val="21"/>
                <w:lang w:val="en-US" w:eastAsia="zh-CN"/>
              </w:rPr>
              <w:t>基坑变形监测预算：160,000.00元（大写：壹拾陆万元整）、主体沉降观测预算：175,000.00元（大写：壹拾陆万元整）</w:t>
            </w:r>
          </w:p>
          <w:p w14:paraId="7C20A7E3">
            <w:pPr>
              <w:keepNext w:val="0"/>
              <w:keepLines w:val="0"/>
              <w:pageBreakBefore w:val="0"/>
              <w:kinsoku/>
              <w:wordWrap/>
              <w:overflowPunct/>
              <w:topLinePunct w:val="0"/>
              <w:bidi w:val="0"/>
              <w:snapToGrid/>
              <w:spacing w:line="360" w:lineRule="auto"/>
              <w:ind w:left="0" w:leftChars="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各供应商根据磋商文件的规定，结合企业自身管理水平及市场行情自主报价，磋商报价不得超过</w:t>
            </w:r>
            <w:r>
              <w:rPr>
                <w:rFonts w:hint="eastAsia" w:ascii="宋体" w:hAnsi="宋体" w:eastAsia="宋体" w:cs="宋体"/>
                <w:color w:val="auto"/>
                <w:szCs w:val="21"/>
                <w:highlight w:val="none"/>
                <w:lang w:val="en-US" w:eastAsia="zh-CN"/>
              </w:rPr>
              <w:t>总</w:t>
            </w:r>
            <w:r>
              <w:rPr>
                <w:rFonts w:hint="eastAsia" w:ascii="宋体" w:hAnsi="宋体" w:eastAsia="宋体" w:cs="宋体"/>
                <w:color w:val="auto"/>
                <w:szCs w:val="21"/>
                <w:highlight w:val="none"/>
              </w:rPr>
              <w:t>采购预算</w:t>
            </w:r>
            <w:r>
              <w:rPr>
                <w:rFonts w:hint="eastAsia" w:ascii="宋体" w:hAnsi="宋体" w:eastAsia="宋体" w:cs="宋体"/>
                <w:color w:val="auto"/>
                <w:szCs w:val="21"/>
                <w:highlight w:val="none"/>
                <w:lang w:val="en-US" w:eastAsia="zh-CN"/>
              </w:rPr>
              <w:t>及分项采购预算。</w:t>
            </w:r>
            <w:bookmarkStart w:id="121" w:name="_GoBack"/>
            <w:bookmarkEnd w:id="121"/>
          </w:p>
          <w:p w14:paraId="7A65EB5B">
            <w:pPr>
              <w:keepNext w:val="0"/>
              <w:keepLines w:val="0"/>
              <w:pageBreakBefore w:val="0"/>
              <w:kinsoku/>
              <w:wordWrap/>
              <w:overflowPunct/>
              <w:topLinePunct w:val="0"/>
              <w:bidi w:val="0"/>
              <w:snapToGrid/>
              <w:spacing w:line="360" w:lineRule="auto"/>
              <w:ind w:left="0" w:leftChars="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凡因供应商对磋商文件阅读疏忽或误解，或因对现场、环境、市场行情等了解不清而造成的后果和风险，由供应商负责；如供应商因此而提出索赔或服务</w:t>
            </w:r>
            <w:r>
              <w:rPr>
                <w:rFonts w:hint="eastAsia" w:ascii="宋体" w:hAnsi="宋体" w:eastAsia="宋体" w:cs="宋体"/>
                <w:color w:val="auto"/>
                <w:szCs w:val="21"/>
                <w:highlight w:val="none"/>
                <w:lang w:val="en-US" w:eastAsia="zh-CN"/>
              </w:rPr>
              <w:t>期限</w:t>
            </w:r>
            <w:r>
              <w:rPr>
                <w:rFonts w:hint="eastAsia" w:ascii="宋体" w:hAnsi="宋体" w:eastAsia="宋体" w:cs="宋体"/>
                <w:color w:val="auto"/>
                <w:szCs w:val="21"/>
                <w:highlight w:val="none"/>
              </w:rPr>
              <w:t>延长，采购人将不予批准。</w:t>
            </w:r>
          </w:p>
          <w:p w14:paraId="7935CEF9">
            <w:pPr>
              <w:keepNext w:val="0"/>
              <w:keepLines w:val="0"/>
              <w:pageBreakBefore w:val="0"/>
              <w:kinsoku/>
              <w:wordWrap/>
              <w:overflowPunct/>
              <w:topLinePunct w:val="0"/>
              <w:bidi w:val="0"/>
              <w:snapToGrid/>
              <w:spacing w:line="360" w:lineRule="auto"/>
              <w:ind w:left="0" w:leftChars="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供应商必须以人民币报价，价格条件为项目现场完税价，服务报价含税费及其它伴随费用之和。</w:t>
            </w:r>
          </w:p>
        </w:tc>
      </w:tr>
      <w:tr w14:paraId="5A125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3E5FBE8D">
            <w:pPr>
              <w:keepNext w:val="0"/>
              <w:keepLines w:val="0"/>
              <w:pageBreakBefore w:val="0"/>
              <w:kinsoku/>
              <w:wordWrap/>
              <w:overflowPunct/>
              <w:topLinePunct w:val="0"/>
              <w:bidi w:val="0"/>
              <w:snapToGrid/>
              <w:spacing w:line="360" w:lineRule="auto"/>
              <w:ind w:left="0" w:leftChars="0"/>
              <w:jc w:val="center"/>
              <w:textAlignment w:val="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13</w:t>
            </w:r>
          </w:p>
        </w:tc>
        <w:tc>
          <w:tcPr>
            <w:tcW w:w="2225" w:type="dxa"/>
            <w:vAlign w:val="center"/>
          </w:tcPr>
          <w:p w14:paraId="7A1DEE40">
            <w:pPr>
              <w:keepNext w:val="0"/>
              <w:keepLines w:val="0"/>
              <w:pageBreakBefore w:val="0"/>
              <w:kinsoku/>
              <w:wordWrap/>
              <w:overflowPunct/>
              <w:topLinePunct w:val="0"/>
              <w:bidi w:val="0"/>
              <w:snapToGrid/>
              <w:spacing w:line="360" w:lineRule="auto"/>
              <w:ind w:left="0" w:leftChars="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是否接受联合体</w:t>
            </w:r>
          </w:p>
        </w:tc>
        <w:tc>
          <w:tcPr>
            <w:tcW w:w="6096" w:type="dxa"/>
            <w:vAlign w:val="center"/>
          </w:tcPr>
          <w:p w14:paraId="694A14F1">
            <w:pPr>
              <w:keepNext w:val="0"/>
              <w:keepLines w:val="0"/>
              <w:pageBreakBefore w:val="0"/>
              <w:kinsoku/>
              <w:wordWrap/>
              <w:overflowPunct/>
              <w:topLinePunct w:val="0"/>
              <w:bidi w:val="0"/>
              <w:snapToGrid/>
              <w:spacing w:line="360" w:lineRule="auto"/>
              <w:ind w:left="0" w:leftChars="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☐是  </w:t>
            </w:r>
            <w:r>
              <w:rPr>
                <w:rFonts w:hint="eastAsia" w:ascii="宋体" w:hAnsi="宋体" w:eastAsia="宋体" w:cs="宋体"/>
                <w:color w:val="auto"/>
                <w:szCs w:val="21"/>
                <w:highlight w:val="none"/>
              </w:rPr>
              <w:sym w:font="Wingdings" w:char="00FE"/>
            </w:r>
            <w:r>
              <w:rPr>
                <w:rFonts w:hint="eastAsia" w:ascii="宋体" w:hAnsi="宋体" w:eastAsia="宋体" w:cs="宋体"/>
                <w:color w:val="auto"/>
                <w:szCs w:val="21"/>
                <w:highlight w:val="none"/>
              </w:rPr>
              <w:t>否</w:t>
            </w:r>
          </w:p>
        </w:tc>
      </w:tr>
      <w:tr w14:paraId="20369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0DF7FDE4">
            <w:pPr>
              <w:keepNext w:val="0"/>
              <w:keepLines w:val="0"/>
              <w:pageBreakBefore w:val="0"/>
              <w:kinsoku/>
              <w:wordWrap/>
              <w:overflowPunct/>
              <w:topLinePunct w:val="0"/>
              <w:bidi w:val="0"/>
              <w:snapToGrid/>
              <w:spacing w:line="360" w:lineRule="auto"/>
              <w:ind w:left="0" w:leftChars="0"/>
              <w:jc w:val="center"/>
              <w:textAlignment w:val="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14</w:t>
            </w:r>
          </w:p>
        </w:tc>
        <w:tc>
          <w:tcPr>
            <w:tcW w:w="2225" w:type="dxa"/>
            <w:vAlign w:val="center"/>
          </w:tcPr>
          <w:p w14:paraId="7DD3DD08">
            <w:pPr>
              <w:keepNext w:val="0"/>
              <w:keepLines w:val="0"/>
              <w:pageBreakBefore w:val="0"/>
              <w:kinsoku/>
              <w:wordWrap/>
              <w:overflowPunct/>
              <w:topLinePunct w:val="0"/>
              <w:bidi w:val="0"/>
              <w:snapToGrid/>
              <w:spacing w:line="360" w:lineRule="auto"/>
              <w:ind w:left="0" w:leftChars="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是否允许进口产品</w:t>
            </w:r>
          </w:p>
        </w:tc>
        <w:tc>
          <w:tcPr>
            <w:tcW w:w="6096" w:type="dxa"/>
            <w:vAlign w:val="center"/>
          </w:tcPr>
          <w:p w14:paraId="43D36781">
            <w:pPr>
              <w:keepNext w:val="0"/>
              <w:keepLines w:val="0"/>
              <w:pageBreakBefore w:val="0"/>
              <w:kinsoku/>
              <w:wordWrap/>
              <w:overflowPunct/>
              <w:topLinePunct w:val="0"/>
              <w:bidi w:val="0"/>
              <w:snapToGrid/>
              <w:spacing w:line="360" w:lineRule="auto"/>
              <w:ind w:left="0" w:leftChars="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☐是  </w:t>
            </w:r>
            <w:r>
              <w:rPr>
                <w:rFonts w:hint="eastAsia" w:ascii="宋体" w:hAnsi="宋体" w:eastAsia="宋体" w:cs="宋体"/>
                <w:color w:val="auto"/>
                <w:szCs w:val="21"/>
                <w:highlight w:val="none"/>
              </w:rPr>
              <w:sym w:font="Wingdings" w:char="00FE"/>
            </w:r>
            <w:r>
              <w:rPr>
                <w:rFonts w:hint="eastAsia" w:ascii="宋体" w:hAnsi="宋体" w:eastAsia="宋体" w:cs="宋体"/>
                <w:color w:val="auto"/>
                <w:szCs w:val="21"/>
                <w:highlight w:val="none"/>
              </w:rPr>
              <w:t>否</w:t>
            </w:r>
          </w:p>
        </w:tc>
      </w:tr>
      <w:tr w14:paraId="05A72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68C1EAEC">
            <w:pPr>
              <w:keepNext w:val="0"/>
              <w:keepLines w:val="0"/>
              <w:pageBreakBefore w:val="0"/>
              <w:kinsoku/>
              <w:wordWrap/>
              <w:overflowPunct/>
              <w:topLinePunct w:val="0"/>
              <w:bidi w:val="0"/>
              <w:snapToGrid/>
              <w:spacing w:line="360" w:lineRule="auto"/>
              <w:ind w:left="0" w:leftChars="0"/>
              <w:jc w:val="center"/>
              <w:textAlignment w:val="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15</w:t>
            </w:r>
          </w:p>
        </w:tc>
        <w:tc>
          <w:tcPr>
            <w:tcW w:w="2225" w:type="dxa"/>
            <w:vAlign w:val="center"/>
          </w:tcPr>
          <w:p w14:paraId="725E6062">
            <w:pPr>
              <w:keepNext w:val="0"/>
              <w:keepLines w:val="0"/>
              <w:pageBreakBefore w:val="0"/>
              <w:kinsoku/>
              <w:wordWrap/>
              <w:overflowPunct/>
              <w:topLinePunct w:val="0"/>
              <w:bidi w:val="0"/>
              <w:snapToGrid/>
              <w:spacing w:line="360" w:lineRule="auto"/>
              <w:ind w:left="0" w:leftChars="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是否允许分包</w:t>
            </w:r>
          </w:p>
        </w:tc>
        <w:tc>
          <w:tcPr>
            <w:tcW w:w="6096" w:type="dxa"/>
            <w:vAlign w:val="center"/>
          </w:tcPr>
          <w:p w14:paraId="29A48B16">
            <w:pPr>
              <w:keepNext w:val="0"/>
              <w:keepLines w:val="0"/>
              <w:pageBreakBefore w:val="0"/>
              <w:kinsoku/>
              <w:wordWrap/>
              <w:overflowPunct/>
              <w:topLinePunct w:val="0"/>
              <w:bidi w:val="0"/>
              <w:snapToGrid/>
              <w:spacing w:line="360" w:lineRule="auto"/>
              <w:ind w:left="0" w:leftChars="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本项目是否允许分包： </w:t>
            </w:r>
          </w:p>
          <w:p w14:paraId="28788BA8">
            <w:pPr>
              <w:keepNext w:val="0"/>
              <w:keepLines w:val="0"/>
              <w:pageBreakBefore w:val="0"/>
              <w:kinsoku/>
              <w:wordWrap/>
              <w:overflowPunct/>
              <w:topLinePunct w:val="0"/>
              <w:bidi w:val="0"/>
              <w:snapToGrid/>
              <w:spacing w:line="360" w:lineRule="auto"/>
              <w:ind w:left="0" w:leftChars="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sym w:font="Wingdings" w:char="00FE"/>
            </w:r>
            <w:r>
              <w:rPr>
                <w:rFonts w:hint="eastAsia" w:ascii="宋体" w:hAnsi="宋体" w:eastAsia="宋体" w:cs="宋体"/>
                <w:color w:val="auto"/>
                <w:szCs w:val="21"/>
                <w:highlight w:val="none"/>
              </w:rPr>
              <w:t xml:space="preserve"> 不允许</w:t>
            </w:r>
          </w:p>
          <w:p w14:paraId="33927C81">
            <w:pPr>
              <w:keepNext w:val="0"/>
              <w:keepLines w:val="0"/>
              <w:pageBreakBefore w:val="0"/>
              <w:kinsoku/>
              <w:wordWrap/>
              <w:overflowPunct/>
              <w:topLinePunct w:val="0"/>
              <w:bidi w:val="0"/>
              <w:snapToGrid/>
              <w:spacing w:line="360" w:lineRule="auto"/>
              <w:ind w:left="0" w:leftChars="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允许，具体要求：_______。</w:t>
            </w:r>
          </w:p>
          <w:p w14:paraId="15BF3DDA">
            <w:pPr>
              <w:keepNext w:val="0"/>
              <w:keepLines w:val="0"/>
              <w:pageBreakBefore w:val="0"/>
              <w:kinsoku/>
              <w:wordWrap/>
              <w:overflowPunct/>
              <w:topLinePunct w:val="0"/>
              <w:bidi w:val="0"/>
              <w:snapToGrid/>
              <w:spacing w:line="360" w:lineRule="auto"/>
              <w:ind w:left="0" w:leftChars="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（1）可以分包履行的具体内容：_______；</w:t>
            </w:r>
          </w:p>
          <w:p w14:paraId="64B497A1">
            <w:pPr>
              <w:keepNext w:val="0"/>
              <w:keepLines w:val="0"/>
              <w:pageBreakBefore w:val="0"/>
              <w:kinsoku/>
              <w:wordWrap/>
              <w:overflowPunct/>
              <w:topLinePunct w:val="0"/>
              <w:bidi w:val="0"/>
              <w:snapToGrid/>
              <w:spacing w:line="360" w:lineRule="auto"/>
              <w:ind w:left="0" w:leftChars="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（2）允许分包的金额或者比例：_______；</w:t>
            </w:r>
          </w:p>
          <w:p w14:paraId="7F29E79B">
            <w:pPr>
              <w:keepNext w:val="0"/>
              <w:keepLines w:val="0"/>
              <w:pageBreakBefore w:val="0"/>
              <w:kinsoku/>
              <w:wordWrap/>
              <w:overflowPunct/>
              <w:topLinePunct w:val="0"/>
              <w:bidi w:val="0"/>
              <w:snapToGrid/>
              <w:spacing w:line="360" w:lineRule="auto"/>
              <w:ind w:left="0" w:leftChars="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（3）其他要求：_______。</w:t>
            </w:r>
          </w:p>
        </w:tc>
      </w:tr>
      <w:tr w14:paraId="1276C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78F4FD4C">
            <w:pPr>
              <w:keepNext w:val="0"/>
              <w:keepLines w:val="0"/>
              <w:pageBreakBefore w:val="0"/>
              <w:kinsoku/>
              <w:wordWrap/>
              <w:overflowPunct/>
              <w:topLinePunct w:val="0"/>
              <w:bidi w:val="0"/>
              <w:snapToGrid/>
              <w:spacing w:line="360" w:lineRule="auto"/>
              <w:ind w:left="0" w:leftChars="0"/>
              <w:jc w:val="center"/>
              <w:textAlignment w:val="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16</w:t>
            </w:r>
          </w:p>
        </w:tc>
        <w:tc>
          <w:tcPr>
            <w:tcW w:w="2225" w:type="dxa"/>
            <w:shd w:val="clear" w:color="auto" w:fill="auto"/>
            <w:vAlign w:val="center"/>
          </w:tcPr>
          <w:p w14:paraId="69A63774">
            <w:pPr>
              <w:keepNext w:val="0"/>
              <w:keepLines w:val="0"/>
              <w:pageBreakBefore w:val="0"/>
              <w:kinsoku/>
              <w:wordWrap/>
              <w:overflowPunct/>
              <w:topLinePunct w:val="0"/>
              <w:bidi w:val="0"/>
              <w:snapToGrid/>
              <w:spacing w:line="360" w:lineRule="auto"/>
              <w:ind w:left="0" w:leftChars="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服务期、服务地点</w:t>
            </w:r>
          </w:p>
        </w:tc>
        <w:tc>
          <w:tcPr>
            <w:tcW w:w="6096" w:type="dxa"/>
            <w:shd w:val="clear" w:color="auto" w:fill="auto"/>
            <w:vAlign w:val="center"/>
          </w:tcPr>
          <w:p w14:paraId="43FD790F">
            <w:pPr>
              <w:spacing w:line="240" w:lineRule="auto"/>
              <w:rPr>
                <w:rFonts w:hint="eastAsia" w:ascii="宋体" w:hAnsi="宋体" w:eastAsia="宋体" w:cs="宋体"/>
                <w:b w:val="0"/>
                <w:bCs/>
                <w:color w:val="auto"/>
                <w:sz w:val="21"/>
                <w:szCs w:val="21"/>
                <w:highlight w:val="none"/>
              </w:rPr>
            </w:pPr>
            <w:r>
              <w:rPr>
                <w:rFonts w:hint="eastAsia" w:eastAsia="宋体" w:cs="宋体"/>
                <w:b w:val="0"/>
                <w:bCs/>
                <w:color w:val="auto"/>
                <w:sz w:val="21"/>
                <w:szCs w:val="21"/>
                <w:highlight w:val="none"/>
                <w:lang w:val="en-US" w:eastAsia="zh-CN"/>
              </w:rPr>
              <w:t>服务期</w:t>
            </w:r>
            <w:r>
              <w:rPr>
                <w:rFonts w:hint="eastAsia" w:ascii="宋体" w:hAnsi="宋体" w:eastAsia="宋体" w:cs="宋体"/>
                <w:b w:val="0"/>
                <w:bCs/>
                <w:color w:val="auto"/>
                <w:sz w:val="21"/>
                <w:szCs w:val="21"/>
                <w:highlight w:val="none"/>
              </w:rPr>
              <w:t>：</w:t>
            </w:r>
            <w:r>
              <w:rPr>
                <w:rFonts w:hint="eastAsia" w:ascii="宋体" w:hAnsi="宋体" w:eastAsia="宋体" w:cs="宋体"/>
                <w:color w:val="auto"/>
                <w:szCs w:val="21"/>
                <w:highlight w:val="none"/>
                <w:lang w:val="en-US" w:eastAsia="zh-CN"/>
              </w:rPr>
              <w:t>开始工作至本项目工程结束（具体随工程项目进展调整）</w:t>
            </w:r>
          </w:p>
          <w:p w14:paraId="73FA9BCD">
            <w:pPr>
              <w:keepNext w:val="0"/>
              <w:keepLines w:val="0"/>
              <w:pageBreakBefore w:val="0"/>
              <w:kinsoku/>
              <w:wordWrap/>
              <w:overflowPunct/>
              <w:topLinePunct w:val="0"/>
              <w:bidi w:val="0"/>
              <w:snapToGrid/>
              <w:spacing w:line="360" w:lineRule="auto"/>
              <w:ind w:left="0" w:leftChars="0"/>
              <w:textAlignment w:val="auto"/>
              <w:rPr>
                <w:rFonts w:hint="eastAsia" w:ascii="宋体" w:hAnsi="宋体" w:eastAsia="宋体" w:cs="宋体"/>
                <w:color w:val="auto"/>
                <w:szCs w:val="21"/>
                <w:highlight w:val="none"/>
              </w:rPr>
            </w:pPr>
            <w:r>
              <w:rPr>
                <w:rFonts w:hint="eastAsia" w:ascii="宋体" w:hAnsi="宋体" w:eastAsia="宋体" w:cs="宋体"/>
                <w:b w:val="0"/>
                <w:bCs/>
                <w:color w:val="auto"/>
                <w:sz w:val="21"/>
                <w:szCs w:val="21"/>
                <w:highlight w:val="none"/>
                <w:lang w:val="en-US" w:eastAsia="zh-CN"/>
              </w:rPr>
              <w:t>服务</w:t>
            </w:r>
            <w:r>
              <w:rPr>
                <w:rFonts w:hint="eastAsia" w:ascii="宋体" w:hAnsi="宋体" w:eastAsia="宋体" w:cs="宋体"/>
                <w:b w:val="0"/>
                <w:bCs/>
                <w:color w:val="auto"/>
                <w:sz w:val="21"/>
                <w:szCs w:val="21"/>
                <w:highlight w:val="none"/>
              </w:rPr>
              <w:t>地点：</w:t>
            </w:r>
            <w:r>
              <w:rPr>
                <w:rFonts w:hint="eastAsia" w:ascii="宋体" w:hAnsi="宋体" w:eastAsia="宋体" w:cs="宋体"/>
                <w:b w:val="0"/>
                <w:bCs/>
                <w:color w:val="auto"/>
                <w:sz w:val="21"/>
                <w:szCs w:val="21"/>
                <w:highlight w:val="none"/>
                <w:lang w:val="en-US" w:eastAsia="zh-CN"/>
              </w:rPr>
              <w:t>采购人</w:t>
            </w:r>
            <w:r>
              <w:rPr>
                <w:rFonts w:hint="eastAsia" w:ascii="宋体" w:hAnsi="宋体" w:eastAsia="宋体" w:cs="宋体"/>
                <w:b w:val="0"/>
                <w:bCs/>
                <w:color w:val="auto"/>
                <w:sz w:val="21"/>
                <w:szCs w:val="21"/>
                <w:highlight w:val="none"/>
              </w:rPr>
              <w:t>指定地点</w:t>
            </w:r>
            <w:r>
              <w:rPr>
                <w:rFonts w:hint="eastAsia" w:ascii="宋体" w:hAnsi="宋体" w:eastAsia="宋体" w:cs="宋体"/>
                <w:b w:val="0"/>
                <w:bCs/>
                <w:color w:val="auto"/>
                <w:sz w:val="21"/>
                <w:szCs w:val="21"/>
              </w:rPr>
              <w:t>。</w:t>
            </w:r>
          </w:p>
        </w:tc>
      </w:tr>
      <w:tr w14:paraId="20458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1F95B451">
            <w:pPr>
              <w:keepNext w:val="0"/>
              <w:keepLines w:val="0"/>
              <w:pageBreakBefore w:val="0"/>
              <w:kinsoku/>
              <w:wordWrap/>
              <w:overflowPunct/>
              <w:topLinePunct w:val="0"/>
              <w:bidi w:val="0"/>
              <w:snapToGrid/>
              <w:spacing w:line="360" w:lineRule="auto"/>
              <w:ind w:left="0" w:leftChars="0"/>
              <w:jc w:val="center"/>
              <w:textAlignment w:val="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17</w:t>
            </w:r>
          </w:p>
        </w:tc>
        <w:tc>
          <w:tcPr>
            <w:tcW w:w="2225" w:type="dxa"/>
            <w:shd w:val="clear" w:color="auto" w:fill="auto"/>
            <w:vAlign w:val="center"/>
          </w:tcPr>
          <w:p w14:paraId="5EA2429A">
            <w:pPr>
              <w:keepNext w:val="0"/>
              <w:keepLines w:val="0"/>
              <w:pageBreakBefore w:val="0"/>
              <w:kinsoku/>
              <w:wordWrap/>
              <w:overflowPunct/>
              <w:topLinePunct w:val="0"/>
              <w:bidi w:val="0"/>
              <w:snapToGrid/>
              <w:spacing w:line="360" w:lineRule="auto"/>
              <w:ind w:left="0" w:leftChars="0"/>
              <w:jc w:val="center"/>
              <w:textAlignment w:val="auto"/>
              <w:rPr>
                <w:rFonts w:hint="eastAsia" w:ascii="宋体" w:hAnsi="宋体" w:eastAsia="宋体" w:cs="宋体"/>
                <w:color w:val="auto"/>
                <w:szCs w:val="21"/>
                <w:highlight w:val="none"/>
              </w:rPr>
            </w:pPr>
            <w:r>
              <w:rPr>
                <w:rFonts w:hint="eastAsia" w:ascii="宋体" w:hAnsi="宋体" w:eastAsia="宋体" w:cs="宋体"/>
                <w:b w:val="0"/>
                <w:bCs/>
                <w:color w:val="auto"/>
                <w:sz w:val="21"/>
                <w:szCs w:val="21"/>
              </w:rPr>
              <w:t>合同签订</w:t>
            </w:r>
          </w:p>
        </w:tc>
        <w:tc>
          <w:tcPr>
            <w:tcW w:w="6096" w:type="dxa"/>
            <w:shd w:val="clear" w:color="auto" w:fill="auto"/>
            <w:vAlign w:val="center"/>
          </w:tcPr>
          <w:p w14:paraId="58A4D2C9">
            <w:pPr>
              <w:keepNext w:val="0"/>
              <w:keepLines w:val="0"/>
              <w:pageBreakBefore w:val="0"/>
              <w:kinsoku/>
              <w:wordWrap/>
              <w:overflowPunct/>
              <w:topLinePunct w:val="0"/>
              <w:bidi w:val="0"/>
              <w:snapToGrid/>
              <w:spacing w:line="360" w:lineRule="auto"/>
              <w:ind w:left="0" w:leftChars="0"/>
              <w:textAlignment w:val="auto"/>
              <w:rPr>
                <w:rFonts w:hint="eastAsia" w:eastAsia="宋体" w:cs="宋体"/>
                <w:b w:val="0"/>
                <w:bCs/>
                <w:color w:val="auto"/>
                <w:sz w:val="21"/>
                <w:szCs w:val="21"/>
                <w:highlight w:val="none"/>
                <w:lang w:val="en-US" w:eastAsia="zh-CN"/>
              </w:rPr>
            </w:pPr>
            <w:r>
              <w:rPr>
                <w:rFonts w:hint="eastAsia" w:ascii="宋体" w:hAnsi="宋体" w:eastAsia="宋体" w:cs="宋体"/>
                <w:b w:val="0"/>
                <w:bCs/>
                <w:color w:val="auto"/>
                <w:sz w:val="21"/>
                <w:szCs w:val="21"/>
                <w:lang w:eastAsia="zh-CN"/>
              </w:rPr>
              <w:t>成交供应商</w:t>
            </w:r>
            <w:r>
              <w:rPr>
                <w:rFonts w:hint="eastAsia" w:ascii="宋体" w:hAnsi="宋体" w:eastAsia="宋体" w:cs="宋体"/>
                <w:b w:val="0"/>
                <w:bCs/>
                <w:color w:val="auto"/>
                <w:sz w:val="21"/>
                <w:szCs w:val="21"/>
              </w:rPr>
              <w:t>与采购人或采购人指定单位单独协商签订合同。</w:t>
            </w:r>
          </w:p>
        </w:tc>
      </w:tr>
      <w:tr w14:paraId="74018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718990C0">
            <w:pPr>
              <w:keepNext w:val="0"/>
              <w:keepLines w:val="0"/>
              <w:pageBreakBefore w:val="0"/>
              <w:kinsoku/>
              <w:wordWrap/>
              <w:overflowPunct/>
              <w:topLinePunct w:val="0"/>
              <w:bidi w:val="0"/>
              <w:snapToGrid/>
              <w:spacing w:line="360" w:lineRule="auto"/>
              <w:ind w:left="0" w:leftChars="0"/>
              <w:jc w:val="center"/>
              <w:textAlignment w:val="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18</w:t>
            </w:r>
          </w:p>
        </w:tc>
        <w:tc>
          <w:tcPr>
            <w:tcW w:w="2225" w:type="dxa"/>
            <w:vAlign w:val="center"/>
          </w:tcPr>
          <w:p w14:paraId="458303F8">
            <w:pPr>
              <w:keepNext w:val="0"/>
              <w:keepLines w:val="0"/>
              <w:pageBreakBefore w:val="0"/>
              <w:kinsoku/>
              <w:wordWrap/>
              <w:overflowPunct/>
              <w:topLinePunct w:val="0"/>
              <w:bidi w:val="0"/>
              <w:snapToGrid/>
              <w:spacing w:line="360" w:lineRule="auto"/>
              <w:ind w:left="0" w:leftChars="0"/>
              <w:jc w:val="center"/>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服务标准</w:t>
            </w:r>
          </w:p>
        </w:tc>
        <w:tc>
          <w:tcPr>
            <w:tcW w:w="6096" w:type="dxa"/>
            <w:vAlign w:val="center"/>
          </w:tcPr>
          <w:p w14:paraId="4E3C226D">
            <w:pPr>
              <w:keepNext w:val="0"/>
              <w:keepLines w:val="0"/>
              <w:pageBreakBefore w:val="0"/>
              <w:kinsoku/>
              <w:wordWrap/>
              <w:overflowPunct/>
              <w:topLinePunct w:val="0"/>
              <w:bidi w:val="0"/>
              <w:snapToGrid/>
              <w:spacing w:line="360" w:lineRule="auto"/>
              <w:ind w:left="0" w:leftChars="0"/>
              <w:textAlignment w:val="auto"/>
              <w:rPr>
                <w:rFonts w:hint="eastAsia" w:ascii="宋体" w:hAnsi="宋体" w:eastAsia="宋体" w:cs="宋体"/>
                <w:color w:val="auto"/>
                <w:szCs w:val="21"/>
                <w:highlight w:val="none"/>
              </w:rPr>
            </w:pPr>
            <w:r>
              <w:rPr>
                <w:rFonts w:hint="eastAsia" w:ascii="宋体" w:hAnsi="宋体" w:eastAsia="宋体" w:cs="宋体"/>
                <w:b w:val="0"/>
                <w:bCs/>
                <w:color w:val="auto"/>
                <w:sz w:val="21"/>
                <w:szCs w:val="21"/>
                <w:lang w:val="en-US" w:eastAsia="zh-CN"/>
              </w:rPr>
              <w:t>符合国家及行业相关标准，达到合格标准</w:t>
            </w:r>
          </w:p>
        </w:tc>
      </w:tr>
      <w:tr w14:paraId="1F6A4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79BA8297">
            <w:pPr>
              <w:keepNext w:val="0"/>
              <w:keepLines w:val="0"/>
              <w:pageBreakBefore w:val="0"/>
              <w:kinsoku/>
              <w:wordWrap/>
              <w:overflowPunct/>
              <w:topLinePunct w:val="0"/>
              <w:bidi w:val="0"/>
              <w:snapToGrid/>
              <w:spacing w:line="360" w:lineRule="auto"/>
              <w:ind w:left="0" w:leftChars="0"/>
              <w:jc w:val="center"/>
              <w:textAlignment w:val="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19</w:t>
            </w:r>
          </w:p>
        </w:tc>
        <w:tc>
          <w:tcPr>
            <w:tcW w:w="2225" w:type="dxa"/>
            <w:vAlign w:val="center"/>
          </w:tcPr>
          <w:p w14:paraId="0330CEA0">
            <w:pPr>
              <w:keepNext w:val="0"/>
              <w:keepLines w:val="0"/>
              <w:pageBreakBefore w:val="0"/>
              <w:kinsoku/>
              <w:wordWrap/>
              <w:overflowPunct/>
              <w:topLinePunct w:val="0"/>
              <w:bidi w:val="0"/>
              <w:snapToGrid/>
              <w:spacing w:line="360" w:lineRule="auto"/>
              <w:ind w:left="0" w:leftChars="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供应商资格要求</w:t>
            </w:r>
          </w:p>
        </w:tc>
        <w:tc>
          <w:tcPr>
            <w:tcW w:w="6096" w:type="dxa"/>
            <w:vAlign w:val="center"/>
          </w:tcPr>
          <w:p w14:paraId="65A513E5">
            <w:pPr>
              <w:keepNext w:val="0"/>
              <w:keepLines w:val="0"/>
              <w:pageBreakBefore w:val="0"/>
              <w:kinsoku/>
              <w:wordWrap/>
              <w:overflowPunct/>
              <w:topLinePunct w:val="0"/>
              <w:bidi w:val="0"/>
              <w:snapToGrid/>
              <w:spacing w:line="360" w:lineRule="auto"/>
              <w:ind w:left="0" w:leftChars="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1.满足《中华人民共和国政府采购法》第二十二条规定；</w:t>
            </w:r>
          </w:p>
          <w:p w14:paraId="7C29551B">
            <w:pPr>
              <w:keepNext w:val="0"/>
              <w:keepLines w:val="0"/>
              <w:pageBreakBefore w:val="0"/>
              <w:kinsoku/>
              <w:wordWrap/>
              <w:overflowPunct/>
              <w:topLinePunct w:val="0"/>
              <w:bidi w:val="0"/>
              <w:snapToGrid/>
              <w:spacing w:line="360" w:lineRule="auto"/>
              <w:ind w:left="0" w:leftChars="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2.落实政府采购政策需满足的资格要求：</w:t>
            </w:r>
          </w:p>
          <w:p w14:paraId="13D71101">
            <w:pPr>
              <w:keepNext w:val="0"/>
              <w:keepLines w:val="0"/>
              <w:pageBreakBefore w:val="0"/>
              <w:kinsoku/>
              <w:wordWrap/>
              <w:overflowPunct/>
              <w:topLinePunct w:val="0"/>
              <w:bidi w:val="0"/>
              <w:snapToGrid/>
              <w:spacing w:line="360" w:lineRule="auto"/>
              <w:ind w:left="0" w:leftChars="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eq \o\ac(□)</w:instrText>
            </w:r>
            <w:r>
              <w:rPr>
                <w:rFonts w:hint="eastAsia" w:ascii="宋体" w:hAnsi="宋体" w:eastAsia="宋体" w:cs="宋体"/>
                <w:color w:val="auto"/>
                <w:szCs w:val="21"/>
                <w:highlight w:val="none"/>
              </w:rPr>
              <w:fldChar w:fldCharType="end"/>
            </w:r>
            <w:r>
              <w:rPr>
                <w:rFonts w:hint="eastAsia" w:ascii="宋体" w:hAnsi="宋体" w:eastAsia="宋体" w:cs="宋体"/>
                <w:color w:val="auto"/>
                <w:szCs w:val="21"/>
                <w:highlight w:val="none"/>
              </w:rPr>
              <w:t xml:space="preserve"> 本项目为非专门面向中小企业项目</w:t>
            </w:r>
          </w:p>
          <w:p w14:paraId="54FBC56C">
            <w:pPr>
              <w:keepNext w:val="0"/>
              <w:keepLines w:val="0"/>
              <w:pageBreakBefore w:val="0"/>
              <w:kinsoku/>
              <w:wordWrap/>
              <w:overflowPunct/>
              <w:topLinePunct w:val="0"/>
              <w:bidi w:val="0"/>
              <w:snapToGrid/>
              <w:spacing w:line="360" w:lineRule="auto"/>
              <w:ind w:left="0" w:leftChars="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eq \o\ac(□</w:instrText>
            </w:r>
            <w:r>
              <w:rPr>
                <w:rFonts w:hint="eastAsia" w:ascii="宋体" w:hAnsi="宋体" w:eastAsia="宋体" w:cs="宋体"/>
                <w:color w:val="auto"/>
                <w:szCs w:val="21"/>
                <w:highlight w:val="none"/>
                <w:lang w:eastAsia="zh-CN"/>
              </w:rPr>
              <w:instrText xml:space="preserve">,√</w:instrText>
            </w:r>
            <w:r>
              <w:rPr>
                <w:rFonts w:hint="eastAsia" w:ascii="宋体" w:hAnsi="宋体" w:eastAsia="宋体" w:cs="宋体"/>
                <w:color w:val="auto"/>
                <w:szCs w:val="21"/>
                <w:highlight w:val="none"/>
              </w:rPr>
              <w:instrText xml:space="preserve">)</w:instrText>
            </w:r>
            <w:r>
              <w:rPr>
                <w:rFonts w:hint="eastAsia" w:ascii="宋体" w:hAnsi="宋体" w:eastAsia="宋体" w:cs="宋体"/>
                <w:color w:val="auto"/>
                <w:szCs w:val="21"/>
                <w:highlight w:val="none"/>
              </w:rPr>
              <w:fldChar w:fldCharType="end"/>
            </w:r>
            <w:r>
              <w:rPr>
                <w:rFonts w:hint="eastAsia" w:ascii="宋体" w:hAnsi="宋体" w:eastAsia="宋体" w:cs="宋体"/>
                <w:color w:val="auto"/>
                <w:szCs w:val="21"/>
                <w:highlight w:val="none"/>
                <w:lang w:val="en-US" w:eastAsia="zh-CN"/>
              </w:rPr>
              <w:t>本项目为专门面向中小企业项目；供应商应为中型企业或小型、微型企业或监狱企业或残疾人福利性单位。供应商为中小企业的，提供《中小企业声明函》；供应商为监狱企业的，应提供监狱企业的证明文件；供应商为残疾人福利性单位的，应提供《残疾人福利性单位声明函》（监狱企业或残疾人福利性单位视同小型、微型企业）。</w:t>
            </w:r>
          </w:p>
          <w:p w14:paraId="7E4B24AF">
            <w:pPr>
              <w:keepNext w:val="0"/>
              <w:keepLines w:val="0"/>
              <w:pageBreakBefore w:val="0"/>
              <w:kinsoku/>
              <w:wordWrap/>
              <w:overflowPunct/>
              <w:topLinePunct w:val="0"/>
              <w:bidi w:val="0"/>
              <w:snapToGrid/>
              <w:spacing w:line="360" w:lineRule="auto"/>
              <w:ind w:left="0" w:leftChars="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3.本项目的特定资格要求：</w:t>
            </w:r>
          </w:p>
          <w:p w14:paraId="5D52DF82">
            <w:pPr>
              <w:keepNext w:val="0"/>
              <w:keepLines w:val="0"/>
              <w:pageBreakBefore w:val="0"/>
              <w:kinsoku/>
              <w:wordWrap/>
              <w:overflowPunct/>
              <w:topLinePunct w:val="0"/>
              <w:bidi w:val="0"/>
              <w:snapToGrid/>
              <w:spacing w:line="360" w:lineRule="auto"/>
              <w:ind w:left="0" w:leftChars="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（1）有效的主体资格证明：供应商应是独立承担民事责任能力的法人、其他组织或自然人，法人、其他组织须提供合法有效的营业执照(或事业单位法人证书)等证明资料，自然人须提供身份证明；</w:t>
            </w:r>
          </w:p>
          <w:p w14:paraId="0674296F">
            <w:pPr>
              <w:keepNext w:val="0"/>
              <w:keepLines w:val="0"/>
              <w:pageBreakBefore w:val="0"/>
              <w:kinsoku/>
              <w:wordWrap/>
              <w:overflowPunct/>
              <w:topLinePunct w:val="0"/>
              <w:bidi w:val="0"/>
              <w:snapToGrid/>
              <w:spacing w:line="360" w:lineRule="auto"/>
              <w:ind w:left="0" w:leftChars="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财务状况报告：提供2025年度经审计的财务审计报告（成立时间至开标时间不足一年的可提供成立后任意时段的资产负债表）或磋商截止时间前六个月内其基本账户银行出具的资信证明或政府采购信用担保机构出具的担保函；(以上三种形式的资料提供任何一种即可)；</w:t>
            </w:r>
          </w:p>
          <w:p w14:paraId="59A04D80">
            <w:pPr>
              <w:keepNext w:val="0"/>
              <w:keepLines w:val="0"/>
              <w:pageBreakBefore w:val="0"/>
              <w:kinsoku/>
              <w:wordWrap/>
              <w:overflowPunct/>
              <w:topLinePunct w:val="0"/>
              <w:bidi w:val="0"/>
              <w:snapToGrid/>
              <w:spacing w:line="360" w:lineRule="auto"/>
              <w:ind w:left="0" w:leftChars="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（3）社保缴纳证明：提供2026年1月1日至磋商截止时间前任意一个月已缴纳的社会保障资金的凭据（专用收据或社会保险缴纳清单）；依法不需要缴纳社会保障资金的供应商应提供相关文件证明；</w:t>
            </w:r>
          </w:p>
          <w:p w14:paraId="4708C1B0">
            <w:pPr>
              <w:keepNext w:val="0"/>
              <w:keepLines w:val="0"/>
              <w:pageBreakBefore w:val="0"/>
              <w:kinsoku/>
              <w:wordWrap/>
              <w:overflowPunct/>
              <w:topLinePunct w:val="0"/>
              <w:bidi w:val="0"/>
              <w:snapToGrid/>
              <w:spacing w:line="360" w:lineRule="auto"/>
              <w:ind w:left="0" w:leftChars="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（4）税收缴纳证明：提供2026年1月1日至磋商截止时间前任意一个月的纳税证明或完税证明，凭据应有税务机关或代收机关的公章或业务专用章。依法免税或无须缴纳税收的供应商，应提供相应证明文件；</w:t>
            </w:r>
          </w:p>
          <w:p w14:paraId="7115FFB6">
            <w:pPr>
              <w:keepNext w:val="0"/>
              <w:keepLines w:val="0"/>
              <w:pageBreakBefore w:val="0"/>
              <w:kinsoku/>
              <w:wordWrap/>
              <w:overflowPunct/>
              <w:topLinePunct w:val="0"/>
              <w:bidi w:val="0"/>
              <w:snapToGrid/>
              <w:spacing w:line="360" w:lineRule="auto"/>
              <w:ind w:left="0" w:leftChars="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（5）书面声明：参加磋商活动前 3 年内，在经营活动中没有重大违法记录的书面声明；</w:t>
            </w:r>
          </w:p>
          <w:p w14:paraId="2E2B1D31">
            <w:pPr>
              <w:keepNext w:val="0"/>
              <w:keepLines w:val="0"/>
              <w:pageBreakBefore w:val="0"/>
              <w:widowControl w:val="0"/>
              <w:kinsoku/>
              <w:wordWrap w:val="0"/>
              <w:overflowPunct/>
              <w:topLinePunct w:val="0"/>
              <w:autoSpaceDE/>
              <w:autoSpaceDN/>
              <w:bidi w:val="0"/>
              <w:adjustRightInd/>
              <w:snapToGrid/>
              <w:spacing w:line="360" w:lineRule="auto"/>
              <w:ind w:left="0" w:leftChars="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6）供应商不得为“信用中国”网站(http://www.creditchina.gov.cn)列入“失信被执行人（页面跳转至“中国执行信息公开网http://zxgk.court.gov.cn/shixin/）、重大税收违法失信主体、政府采购严重违法失信行为记录名单”的供应商；不得为中国政府采购网 (http://www.ccgp.gov.cn)“政府采购严重违法失信行为记录名单”中的供应商；</w:t>
            </w:r>
          </w:p>
          <w:p w14:paraId="4F63541C">
            <w:pPr>
              <w:keepNext w:val="0"/>
              <w:keepLines w:val="0"/>
              <w:pageBreakBefore w:val="0"/>
              <w:kinsoku/>
              <w:wordWrap/>
              <w:overflowPunct/>
              <w:topLinePunct w:val="0"/>
              <w:bidi w:val="0"/>
              <w:snapToGrid/>
              <w:spacing w:line="360" w:lineRule="auto"/>
              <w:ind w:left="0" w:leftChars="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控股管理关系：单位负责人为同一人或者存在直接控股、管理关系的不同供应商、不得参加同一合同项下的政府采购活动。与大企业的负责人为同一人，或者与大企业存在直接控股、管理关系的不得参加本项目政府采购活动； </w:t>
            </w:r>
          </w:p>
          <w:p w14:paraId="666A655A">
            <w:pPr>
              <w:keepNext w:val="0"/>
              <w:keepLines w:val="0"/>
              <w:pageBreakBefore w:val="0"/>
              <w:kinsoku/>
              <w:wordWrap/>
              <w:overflowPunct/>
              <w:topLinePunct w:val="0"/>
              <w:bidi w:val="0"/>
              <w:snapToGrid/>
              <w:spacing w:line="360" w:lineRule="auto"/>
              <w:ind w:left="0" w:leftChars="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（8）书面声明：提供书面声明，包括声明具有履行合同所必需的设备和专业技术能力；</w:t>
            </w:r>
          </w:p>
          <w:p w14:paraId="4834F5B8">
            <w:pPr>
              <w:keepNext w:val="0"/>
              <w:keepLines w:val="0"/>
              <w:pageBreakBefore w:val="0"/>
              <w:kinsoku/>
              <w:wordWrap/>
              <w:overflowPunct/>
              <w:topLinePunct w:val="0"/>
              <w:bidi w:val="0"/>
              <w:snapToGrid/>
              <w:spacing w:line="360" w:lineRule="auto"/>
              <w:ind w:left="0" w:leftChars="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（9）法定代表人授权委托书（附法定代表人身份证复印件及被授权人身份证复印件）；法定代表人直接参加磋商只需提供法定代表人身份证明书（附法定代表人身份证复印件）；</w:t>
            </w:r>
          </w:p>
          <w:p w14:paraId="38B2130A">
            <w:pPr>
              <w:keepNext w:val="0"/>
              <w:keepLines w:val="0"/>
              <w:pageBreakBefore w:val="0"/>
              <w:kinsoku/>
              <w:wordWrap/>
              <w:overflowPunct/>
              <w:topLinePunct w:val="0"/>
              <w:bidi w:val="0"/>
              <w:snapToGrid/>
              <w:spacing w:line="360" w:lineRule="auto"/>
              <w:ind w:left="0" w:leftChars="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（10）供应商须具备建筑主管部门颁发的工程勘察综合甲级资质或工程勘察专业资质（工程测量）乙级及以上资质且同时具有工程勘察专业资质（岩土工程勘察分项）乙级及以上资质。</w:t>
            </w:r>
          </w:p>
          <w:p w14:paraId="0EC65F74">
            <w:pPr>
              <w:keepNext w:val="0"/>
              <w:keepLines w:val="0"/>
              <w:pageBreakBefore w:val="0"/>
              <w:kinsoku/>
              <w:wordWrap/>
              <w:overflowPunct/>
              <w:topLinePunct w:val="0"/>
              <w:bidi w:val="0"/>
              <w:snapToGrid/>
              <w:spacing w:line="360" w:lineRule="auto"/>
              <w:ind w:left="0" w:leftChars="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（11）供应商拟派项目负责人具备注册测绘师资格证书且在本单位注册或具有相关专业中级及以上职称。</w:t>
            </w:r>
          </w:p>
          <w:p w14:paraId="7647FD6E">
            <w:pPr>
              <w:keepNext w:val="0"/>
              <w:keepLines w:val="0"/>
              <w:pageBreakBefore w:val="0"/>
              <w:kinsoku/>
              <w:wordWrap/>
              <w:overflowPunct/>
              <w:topLinePunct w:val="0"/>
              <w:bidi w:val="0"/>
              <w:snapToGrid/>
              <w:spacing w:line="360" w:lineRule="auto"/>
              <w:ind w:left="0" w:leftChars="0"/>
              <w:textAlignment w:val="auto"/>
              <w:rPr>
                <w:rFonts w:hint="eastAsia" w:ascii="宋体" w:hAnsi="宋体" w:cs="宋体"/>
                <w:color w:val="auto"/>
                <w:sz w:val="21"/>
                <w:szCs w:val="21"/>
                <w:highlight w:val="none"/>
              </w:rPr>
            </w:pPr>
            <w:r>
              <w:rPr>
                <w:rFonts w:hint="eastAsia" w:ascii="宋体" w:hAnsi="宋体" w:eastAsia="宋体" w:cs="宋体"/>
                <w:color w:val="auto"/>
                <w:szCs w:val="21"/>
                <w:highlight w:val="none"/>
              </w:rPr>
              <w:t>（12）本项目不接受联合体磋商。</w:t>
            </w:r>
          </w:p>
        </w:tc>
      </w:tr>
      <w:tr w14:paraId="243F3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4BEF9A2A">
            <w:pPr>
              <w:keepNext w:val="0"/>
              <w:keepLines w:val="0"/>
              <w:pageBreakBefore w:val="0"/>
              <w:kinsoku/>
              <w:wordWrap/>
              <w:overflowPunct/>
              <w:topLinePunct w:val="0"/>
              <w:bidi w:val="0"/>
              <w:snapToGrid/>
              <w:spacing w:line="360" w:lineRule="auto"/>
              <w:ind w:left="0" w:leftChars="0"/>
              <w:jc w:val="center"/>
              <w:textAlignment w:val="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20</w:t>
            </w:r>
          </w:p>
        </w:tc>
        <w:tc>
          <w:tcPr>
            <w:tcW w:w="2225" w:type="dxa"/>
            <w:vAlign w:val="center"/>
          </w:tcPr>
          <w:p w14:paraId="41FA19A5">
            <w:pPr>
              <w:keepNext w:val="0"/>
              <w:keepLines w:val="0"/>
              <w:pageBreakBefore w:val="0"/>
              <w:kinsoku/>
              <w:wordWrap/>
              <w:overflowPunct/>
              <w:topLinePunct w:val="0"/>
              <w:bidi w:val="0"/>
              <w:snapToGrid/>
              <w:spacing w:line="360" w:lineRule="auto"/>
              <w:ind w:left="0" w:leftChars="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评标办法</w:t>
            </w:r>
          </w:p>
        </w:tc>
        <w:tc>
          <w:tcPr>
            <w:tcW w:w="6096" w:type="dxa"/>
            <w:vAlign w:val="center"/>
          </w:tcPr>
          <w:p w14:paraId="32B6A75C">
            <w:pPr>
              <w:keepNext w:val="0"/>
              <w:keepLines w:val="0"/>
              <w:pageBreakBefore w:val="0"/>
              <w:kinsoku/>
              <w:wordWrap/>
              <w:overflowPunct/>
              <w:topLinePunct w:val="0"/>
              <w:bidi w:val="0"/>
              <w:snapToGrid/>
              <w:spacing w:line="360" w:lineRule="auto"/>
              <w:ind w:left="0" w:leftChars="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综合评分法</w:t>
            </w:r>
          </w:p>
        </w:tc>
      </w:tr>
      <w:tr w14:paraId="14C21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27D8DDFC">
            <w:pPr>
              <w:keepNext w:val="0"/>
              <w:keepLines w:val="0"/>
              <w:pageBreakBefore w:val="0"/>
              <w:kinsoku/>
              <w:wordWrap/>
              <w:overflowPunct/>
              <w:topLinePunct w:val="0"/>
              <w:bidi w:val="0"/>
              <w:snapToGrid/>
              <w:spacing w:line="360" w:lineRule="auto"/>
              <w:ind w:left="0" w:leftChars="0"/>
              <w:jc w:val="center"/>
              <w:textAlignment w:val="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21</w:t>
            </w:r>
          </w:p>
        </w:tc>
        <w:tc>
          <w:tcPr>
            <w:tcW w:w="2225" w:type="dxa"/>
            <w:vAlign w:val="center"/>
          </w:tcPr>
          <w:p w14:paraId="45C8D3A7">
            <w:pPr>
              <w:keepNext w:val="0"/>
              <w:keepLines w:val="0"/>
              <w:pageBreakBefore w:val="0"/>
              <w:kinsoku/>
              <w:wordWrap/>
              <w:overflowPunct/>
              <w:topLinePunct w:val="0"/>
              <w:bidi w:val="0"/>
              <w:snapToGrid/>
              <w:spacing w:line="360" w:lineRule="auto"/>
              <w:ind w:left="0" w:leftChars="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磋商有效期</w:t>
            </w:r>
          </w:p>
        </w:tc>
        <w:tc>
          <w:tcPr>
            <w:tcW w:w="6096" w:type="dxa"/>
            <w:vAlign w:val="center"/>
          </w:tcPr>
          <w:p w14:paraId="446C95F8">
            <w:pPr>
              <w:keepNext w:val="0"/>
              <w:keepLines w:val="0"/>
              <w:pageBreakBefore w:val="0"/>
              <w:kinsoku/>
              <w:wordWrap/>
              <w:overflowPunct/>
              <w:topLinePunct w:val="0"/>
              <w:bidi w:val="0"/>
              <w:snapToGrid/>
              <w:spacing w:line="360" w:lineRule="auto"/>
              <w:ind w:left="0" w:leftChars="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递交磋商响应文件截止之日起90日历天</w:t>
            </w:r>
          </w:p>
        </w:tc>
      </w:tr>
      <w:tr w14:paraId="1AD03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7629C0D7">
            <w:pPr>
              <w:keepNext w:val="0"/>
              <w:keepLines w:val="0"/>
              <w:pageBreakBefore w:val="0"/>
              <w:kinsoku/>
              <w:wordWrap/>
              <w:overflowPunct/>
              <w:topLinePunct w:val="0"/>
              <w:bidi w:val="0"/>
              <w:snapToGrid/>
              <w:spacing w:line="360" w:lineRule="auto"/>
              <w:ind w:left="0" w:leftChars="0"/>
              <w:jc w:val="center"/>
              <w:textAlignment w:val="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22</w:t>
            </w:r>
          </w:p>
        </w:tc>
        <w:tc>
          <w:tcPr>
            <w:tcW w:w="2225" w:type="dxa"/>
            <w:vAlign w:val="center"/>
          </w:tcPr>
          <w:p w14:paraId="3AD7E846">
            <w:pPr>
              <w:keepNext w:val="0"/>
              <w:keepLines w:val="0"/>
              <w:pageBreakBefore w:val="0"/>
              <w:kinsoku/>
              <w:wordWrap/>
              <w:overflowPunct/>
              <w:topLinePunct w:val="0"/>
              <w:bidi w:val="0"/>
              <w:snapToGrid/>
              <w:spacing w:line="360" w:lineRule="auto"/>
              <w:ind w:left="0" w:leftChars="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现场踏勘、磋商前答疑会</w:t>
            </w:r>
          </w:p>
        </w:tc>
        <w:tc>
          <w:tcPr>
            <w:tcW w:w="6096" w:type="dxa"/>
            <w:vAlign w:val="center"/>
          </w:tcPr>
          <w:p w14:paraId="07F69C20">
            <w:pPr>
              <w:keepNext w:val="0"/>
              <w:keepLines w:val="0"/>
              <w:pageBreakBefore w:val="0"/>
              <w:kinsoku/>
              <w:wordWrap/>
              <w:overflowPunct/>
              <w:topLinePunct w:val="0"/>
              <w:bidi w:val="0"/>
              <w:snapToGrid/>
              <w:spacing w:line="360" w:lineRule="auto"/>
              <w:ind w:left="0" w:leftChars="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不组织</w:t>
            </w:r>
          </w:p>
        </w:tc>
      </w:tr>
      <w:tr w14:paraId="3EC31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3FFB2BA4">
            <w:pPr>
              <w:keepNext w:val="0"/>
              <w:keepLines w:val="0"/>
              <w:pageBreakBefore w:val="0"/>
              <w:kinsoku/>
              <w:wordWrap/>
              <w:overflowPunct/>
              <w:topLinePunct w:val="0"/>
              <w:bidi w:val="0"/>
              <w:snapToGrid/>
              <w:spacing w:line="360" w:lineRule="auto"/>
              <w:ind w:left="0" w:leftChars="0"/>
              <w:jc w:val="center"/>
              <w:textAlignment w:val="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23</w:t>
            </w:r>
          </w:p>
        </w:tc>
        <w:tc>
          <w:tcPr>
            <w:tcW w:w="2225" w:type="dxa"/>
            <w:vAlign w:val="center"/>
          </w:tcPr>
          <w:p w14:paraId="21C6176F">
            <w:pPr>
              <w:keepNext w:val="0"/>
              <w:keepLines w:val="0"/>
              <w:pageBreakBefore w:val="0"/>
              <w:kinsoku/>
              <w:wordWrap/>
              <w:overflowPunct/>
              <w:topLinePunct w:val="0"/>
              <w:bidi w:val="0"/>
              <w:snapToGrid/>
              <w:spacing w:line="360" w:lineRule="auto"/>
              <w:ind w:left="0" w:leftChars="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供应商提出询问和质疑的时间</w:t>
            </w:r>
          </w:p>
        </w:tc>
        <w:tc>
          <w:tcPr>
            <w:tcW w:w="6096" w:type="dxa"/>
            <w:vAlign w:val="center"/>
          </w:tcPr>
          <w:p w14:paraId="477DC388">
            <w:pPr>
              <w:keepNext w:val="0"/>
              <w:keepLines w:val="0"/>
              <w:pageBreakBefore w:val="0"/>
              <w:kinsoku/>
              <w:wordWrap/>
              <w:overflowPunct/>
              <w:topLinePunct w:val="0"/>
              <w:bidi w:val="0"/>
              <w:snapToGrid/>
              <w:spacing w:line="360" w:lineRule="auto"/>
              <w:ind w:left="0" w:leftChars="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供应商认为采购文件、采购过程、中标或者成交结果使自己的权益受到损害的，可以在知道或者应知其权益受到损害之日起7个工作日内，以书面形式向采购人、采购代理机构提出质疑。在此之后提出的询问和质疑均为无效，采购代理机构不予受理。供应商应当在法定质疑期内一次性提出针对同一采购程序环节的质疑。</w:t>
            </w:r>
          </w:p>
        </w:tc>
      </w:tr>
      <w:tr w14:paraId="46C28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5DC21F7F">
            <w:pPr>
              <w:keepNext w:val="0"/>
              <w:keepLines w:val="0"/>
              <w:pageBreakBefore w:val="0"/>
              <w:kinsoku/>
              <w:wordWrap/>
              <w:overflowPunct/>
              <w:topLinePunct w:val="0"/>
              <w:bidi w:val="0"/>
              <w:snapToGrid/>
              <w:spacing w:line="360" w:lineRule="auto"/>
              <w:ind w:left="0" w:leftChars="0"/>
              <w:jc w:val="center"/>
              <w:textAlignment w:val="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24</w:t>
            </w:r>
          </w:p>
        </w:tc>
        <w:tc>
          <w:tcPr>
            <w:tcW w:w="2225" w:type="dxa"/>
            <w:vAlign w:val="center"/>
          </w:tcPr>
          <w:p w14:paraId="7B3F2A4B">
            <w:pPr>
              <w:keepNext w:val="0"/>
              <w:keepLines w:val="0"/>
              <w:pageBreakBefore w:val="0"/>
              <w:kinsoku/>
              <w:wordWrap/>
              <w:overflowPunct/>
              <w:topLinePunct w:val="0"/>
              <w:bidi w:val="0"/>
              <w:snapToGrid/>
              <w:spacing w:line="360" w:lineRule="auto"/>
              <w:ind w:left="0" w:leftChars="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是否允许备选磋商响应方案</w:t>
            </w:r>
          </w:p>
        </w:tc>
        <w:tc>
          <w:tcPr>
            <w:tcW w:w="6096" w:type="dxa"/>
            <w:vAlign w:val="center"/>
          </w:tcPr>
          <w:p w14:paraId="4146734F">
            <w:pPr>
              <w:keepNext w:val="0"/>
              <w:keepLines w:val="0"/>
              <w:pageBreakBefore w:val="0"/>
              <w:kinsoku/>
              <w:wordWrap/>
              <w:overflowPunct/>
              <w:topLinePunct w:val="0"/>
              <w:bidi w:val="0"/>
              <w:snapToGrid/>
              <w:spacing w:line="360" w:lineRule="auto"/>
              <w:ind w:left="0" w:leftChars="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☐是 </w:t>
            </w:r>
            <w:r>
              <w:rPr>
                <w:rFonts w:hint="eastAsia" w:ascii="宋体" w:hAnsi="宋体" w:eastAsia="宋体" w:cs="宋体"/>
                <w:color w:val="auto"/>
                <w:szCs w:val="21"/>
                <w:highlight w:val="none"/>
              </w:rPr>
              <w:sym w:font="Wingdings" w:char="00FE"/>
            </w:r>
            <w:r>
              <w:rPr>
                <w:rFonts w:hint="eastAsia" w:ascii="宋体" w:hAnsi="宋体" w:eastAsia="宋体" w:cs="宋体"/>
                <w:color w:val="auto"/>
                <w:szCs w:val="21"/>
                <w:highlight w:val="none"/>
              </w:rPr>
              <w:t>否</w:t>
            </w:r>
          </w:p>
        </w:tc>
      </w:tr>
      <w:tr w14:paraId="1A4CE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2F8762C0">
            <w:pPr>
              <w:keepNext w:val="0"/>
              <w:keepLines w:val="0"/>
              <w:pageBreakBefore w:val="0"/>
              <w:kinsoku/>
              <w:wordWrap/>
              <w:overflowPunct/>
              <w:topLinePunct w:val="0"/>
              <w:bidi w:val="0"/>
              <w:snapToGrid/>
              <w:spacing w:line="360" w:lineRule="auto"/>
              <w:ind w:left="0" w:leftChars="0"/>
              <w:jc w:val="center"/>
              <w:textAlignment w:val="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25</w:t>
            </w:r>
          </w:p>
        </w:tc>
        <w:tc>
          <w:tcPr>
            <w:tcW w:w="2225" w:type="dxa"/>
            <w:vAlign w:val="center"/>
          </w:tcPr>
          <w:p w14:paraId="77E439E3">
            <w:pPr>
              <w:keepNext w:val="0"/>
              <w:keepLines w:val="0"/>
              <w:pageBreakBefore w:val="0"/>
              <w:kinsoku/>
              <w:wordWrap/>
              <w:overflowPunct/>
              <w:topLinePunct w:val="0"/>
              <w:bidi w:val="0"/>
              <w:snapToGrid/>
              <w:spacing w:line="360" w:lineRule="auto"/>
              <w:ind w:left="0" w:leftChars="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磋商保证金</w:t>
            </w:r>
          </w:p>
        </w:tc>
        <w:tc>
          <w:tcPr>
            <w:tcW w:w="6096" w:type="dxa"/>
            <w:vAlign w:val="center"/>
          </w:tcPr>
          <w:p w14:paraId="098DA703">
            <w:pPr>
              <w:keepNext w:val="0"/>
              <w:keepLines w:val="0"/>
              <w:pageBreakBefore w:val="0"/>
              <w:kinsoku/>
              <w:wordWrap/>
              <w:overflowPunct/>
              <w:topLinePunct w:val="0"/>
              <w:bidi w:val="0"/>
              <w:snapToGrid/>
              <w:spacing w:line="360" w:lineRule="auto"/>
              <w:ind w:left="0" w:leftChars="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无</w:t>
            </w:r>
          </w:p>
        </w:tc>
      </w:tr>
      <w:tr w14:paraId="08EF0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134C541B">
            <w:pPr>
              <w:keepNext w:val="0"/>
              <w:keepLines w:val="0"/>
              <w:pageBreakBefore w:val="0"/>
              <w:kinsoku/>
              <w:wordWrap/>
              <w:overflowPunct/>
              <w:topLinePunct w:val="0"/>
              <w:bidi w:val="0"/>
              <w:snapToGrid/>
              <w:spacing w:line="360" w:lineRule="auto"/>
              <w:ind w:left="0" w:leftChars="0"/>
              <w:jc w:val="center"/>
              <w:textAlignment w:val="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26</w:t>
            </w:r>
          </w:p>
        </w:tc>
        <w:tc>
          <w:tcPr>
            <w:tcW w:w="2225" w:type="dxa"/>
            <w:vAlign w:val="center"/>
          </w:tcPr>
          <w:p w14:paraId="7243453B">
            <w:pPr>
              <w:keepNext w:val="0"/>
              <w:keepLines w:val="0"/>
              <w:pageBreakBefore w:val="0"/>
              <w:kinsoku/>
              <w:wordWrap/>
              <w:overflowPunct/>
              <w:topLinePunct w:val="0"/>
              <w:bidi w:val="0"/>
              <w:snapToGrid/>
              <w:spacing w:line="360" w:lineRule="auto"/>
              <w:ind w:left="0" w:leftChars="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履约保证金</w:t>
            </w:r>
          </w:p>
        </w:tc>
        <w:tc>
          <w:tcPr>
            <w:tcW w:w="6096" w:type="dxa"/>
            <w:vAlign w:val="center"/>
          </w:tcPr>
          <w:p w14:paraId="19C3D5D5">
            <w:pPr>
              <w:keepNext w:val="0"/>
              <w:keepLines w:val="0"/>
              <w:pageBreakBefore w:val="0"/>
              <w:kinsoku/>
              <w:wordWrap/>
              <w:overflowPunct/>
              <w:topLinePunct w:val="0"/>
              <w:bidi w:val="0"/>
              <w:snapToGrid/>
              <w:spacing w:line="360" w:lineRule="auto"/>
              <w:ind w:left="0" w:leftChars="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无</w:t>
            </w:r>
          </w:p>
        </w:tc>
      </w:tr>
      <w:tr w14:paraId="1C186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54F9B94C">
            <w:pPr>
              <w:keepNext w:val="0"/>
              <w:keepLines w:val="0"/>
              <w:pageBreakBefore w:val="0"/>
              <w:kinsoku/>
              <w:wordWrap/>
              <w:overflowPunct/>
              <w:topLinePunct w:val="0"/>
              <w:bidi w:val="0"/>
              <w:snapToGrid/>
              <w:spacing w:line="360" w:lineRule="auto"/>
              <w:ind w:left="0" w:leftChars="0"/>
              <w:jc w:val="center"/>
              <w:textAlignment w:val="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27</w:t>
            </w:r>
          </w:p>
        </w:tc>
        <w:tc>
          <w:tcPr>
            <w:tcW w:w="2225" w:type="dxa"/>
            <w:vAlign w:val="center"/>
          </w:tcPr>
          <w:p w14:paraId="0B467BE5">
            <w:pPr>
              <w:keepNext w:val="0"/>
              <w:keepLines w:val="0"/>
              <w:pageBreakBefore w:val="0"/>
              <w:kinsoku/>
              <w:wordWrap/>
              <w:overflowPunct/>
              <w:topLinePunct w:val="0"/>
              <w:bidi w:val="0"/>
              <w:snapToGrid/>
              <w:spacing w:line="360" w:lineRule="auto"/>
              <w:ind w:left="0" w:leftChars="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签字、盖章</w:t>
            </w:r>
          </w:p>
        </w:tc>
        <w:tc>
          <w:tcPr>
            <w:tcW w:w="6096" w:type="dxa"/>
            <w:vAlign w:val="center"/>
          </w:tcPr>
          <w:p w14:paraId="2A0BA728">
            <w:pPr>
              <w:keepNext w:val="0"/>
              <w:keepLines w:val="0"/>
              <w:pageBreakBefore w:val="0"/>
              <w:kinsoku/>
              <w:wordWrap/>
              <w:overflowPunct/>
              <w:topLinePunct w:val="0"/>
              <w:bidi w:val="0"/>
              <w:snapToGrid/>
              <w:spacing w:line="360" w:lineRule="auto"/>
              <w:ind w:left="0" w:leftChars="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磋商响应文件中要求盖章签字的地方，均应按竞争性磋商文件要求签字、盖章。副本可以为正本的复印件。</w:t>
            </w:r>
          </w:p>
        </w:tc>
      </w:tr>
      <w:tr w14:paraId="30AA1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14:paraId="704FC964">
            <w:pPr>
              <w:keepNext w:val="0"/>
              <w:keepLines w:val="0"/>
              <w:pageBreakBefore w:val="0"/>
              <w:kinsoku/>
              <w:wordWrap/>
              <w:overflowPunct/>
              <w:topLinePunct w:val="0"/>
              <w:bidi w:val="0"/>
              <w:snapToGrid/>
              <w:spacing w:line="360" w:lineRule="auto"/>
              <w:ind w:left="0" w:leftChars="0"/>
              <w:jc w:val="center"/>
              <w:textAlignment w:val="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28</w:t>
            </w:r>
          </w:p>
        </w:tc>
        <w:tc>
          <w:tcPr>
            <w:tcW w:w="2225" w:type="dxa"/>
            <w:tcBorders>
              <w:top w:val="single" w:color="auto" w:sz="4" w:space="0"/>
              <w:left w:val="single" w:color="auto" w:sz="4" w:space="0"/>
              <w:bottom w:val="single" w:color="auto" w:sz="4" w:space="0"/>
              <w:right w:val="single" w:color="auto" w:sz="4" w:space="0"/>
            </w:tcBorders>
            <w:vAlign w:val="center"/>
          </w:tcPr>
          <w:p w14:paraId="3FEE0414">
            <w:pPr>
              <w:keepNext w:val="0"/>
              <w:keepLines w:val="0"/>
              <w:pageBreakBefore w:val="0"/>
              <w:kinsoku/>
              <w:wordWrap/>
              <w:overflowPunct/>
              <w:topLinePunct w:val="0"/>
              <w:bidi w:val="0"/>
              <w:snapToGrid/>
              <w:spacing w:line="360" w:lineRule="auto"/>
              <w:ind w:left="0" w:leftChars="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磋商响应文件份数</w:t>
            </w:r>
          </w:p>
        </w:tc>
        <w:tc>
          <w:tcPr>
            <w:tcW w:w="6096" w:type="dxa"/>
            <w:tcBorders>
              <w:top w:val="single" w:color="auto" w:sz="4" w:space="0"/>
              <w:left w:val="single" w:color="auto" w:sz="4" w:space="0"/>
              <w:bottom w:val="single" w:color="auto" w:sz="4" w:space="0"/>
              <w:right w:val="single" w:color="auto" w:sz="4" w:space="0"/>
            </w:tcBorders>
            <w:vAlign w:val="center"/>
          </w:tcPr>
          <w:p w14:paraId="291F4BC2">
            <w:pPr>
              <w:keepNext w:val="0"/>
              <w:keepLines w:val="0"/>
              <w:pageBreakBefore w:val="0"/>
              <w:kinsoku/>
              <w:wordWrap/>
              <w:overflowPunct/>
              <w:topLinePunct w:val="0"/>
              <w:bidi w:val="0"/>
              <w:snapToGrid/>
              <w:spacing w:line="360" w:lineRule="auto"/>
              <w:ind w:left="0" w:leftChars="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正本壹份，副本贰份，电子版（U盘）壹份</w:t>
            </w:r>
          </w:p>
        </w:tc>
      </w:tr>
      <w:tr w14:paraId="10A3E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14:paraId="0886940B">
            <w:pPr>
              <w:keepNext w:val="0"/>
              <w:keepLines w:val="0"/>
              <w:pageBreakBefore w:val="0"/>
              <w:kinsoku/>
              <w:wordWrap/>
              <w:overflowPunct/>
              <w:topLinePunct w:val="0"/>
              <w:bidi w:val="0"/>
              <w:snapToGrid/>
              <w:spacing w:line="360" w:lineRule="auto"/>
              <w:ind w:left="0" w:leftChars="0"/>
              <w:jc w:val="center"/>
              <w:textAlignment w:val="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29</w:t>
            </w:r>
          </w:p>
        </w:tc>
        <w:tc>
          <w:tcPr>
            <w:tcW w:w="2225" w:type="dxa"/>
            <w:tcBorders>
              <w:top w:val="single" w:color="auto" w:sz="4" w:space="0"/>
              <w:left w:val="single" w:color="auto" w:sz="4" w:space="0"/>
              <w:bottom w:val="single" w:color="auto" w:sz="4" w:space="0"/>
              <w:right w:val="single" w:color="auto" w:sz="4" w:space="0"/>
            </w:tcBorders>
            <w:vAlign w:val="center"/>
          </w:tcPr>
          <w:p w14:paraId="2DEA317B">
            <w:pPr>
              <w:keepNext w:val="0"/>
              <w:keepLines w:val="0"/>
              <w:pageBreakBefore w:val="0"/>
              <w:kinsoku/>
              <w:wordWrap/>
              <w:overflowPunct/>
              <w:topLinePunct w:val="0"/>
              <w:bidi w:val="0"/>
              <w:snapToGrid/>
              <w:spacing w:line="360" w:lineRule="auto"/>
              <w:ind w:left="0" w:leftChars="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电子版文件要求</w:t>
            </w:r>
          </w:p>
        </w:tc>
        <w:tc>
          <w:tcPr>
            <w:tcW w:w="6096" w:type="dxa"/>
            <w:tcBorders>
              <w:top w:val="single" w:color="auto" w:sz="4" w:space="0"/>
              <w:left w:val="single" w:color="auto" w:sz="4" w:space="0"/>
              <w:bottom w:val="single" w:color="auto" w:sz="4" w:space="0"/>
              <w:right w:val="single" w:color="auto" w:sz="4" w:space="0"/>
            </w:tcBorders>
            <w:vAlign w:val="center"/>
          </w:tcPr>
          <w:p w14:paraId="0C78FA1A">
            <w:pPr>
              <w:keepNext w:val="0"/>
              <w:keepLines w:val="0"/>
              <w:pageBreakBefore w:val="0"/>
              <w:kinsoku/>
              <w:wordWrap/>
              <w:overflowPunct/>
              <w:topLinePunct w:val="0"/>
              <w:bidi w:val="0"/>
              <w:snapToGrid/>
              <w:spacing w:line="360" w:lineRule="auto"/>
              <w:ind w:left="0" w:leftChars="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格式和载体要求：</w:t>
            </w:r>
          </w:p>
          <w:p w14:paraId="181F76B0">
            <w:pPr>
              <w:keepNext w:val="0"/>
              <w:keepLines w:val="0"/>
              <w:pageBreakBefore w:val="0"/>
              <w:kinsoku/>
              <w:wordWrap/>
              <w:overflowPunct/>
              <w:topLinePunct w:val="0"/>
              <w:bidi w:val="0"/>
              <w:snapToGrid/>
              <w:spacing w:line="360" w:lineRule="auto"/>
              <w:ind w:left="0" w:leftChars="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1）电子版响应文件为PDF版本，PDF版本为签字、盖章的完整正本扫描件）</w:t>
            </w:r>
          </w:p>
          <w:p w14:paraId="0A18FD1B">
            <w:pPr>
              <w:keepNext w:val="0"/>
              <w:keepLines w:val="0"/>
              <w:pageBreakBefore w:val="0"/>
              <w:kinsoku/>
              <w:wordWrap/>
              <w:overflowPunct/>
              <w:topLinePunct w:val="0"/>
              <w:bidi w:val="0"/>
              <w:snapToGrid/>
              <w:spacing w:line="360" w:lineRule="auto"/>
              <w:ind w:left="0" w:leftChars="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2）供应商须保证响应文件的纸质文件与电子文档保持一致；</w:t>
            </w:r>
          </w:p>
          <w:p w14:paraId="7BB2AD00">
            <w:pPr>
              <w:keepNext w:val="0"/>
              <w:keepLines w:val="0"/>
              <w:pageBreakBefore w:val="0"/>
              <w:kinsoku/>
              <w:wordWrap/>
              <w:overflowPunct/>
              <w:topLinePunct w:val="0"/>
              <w:bidi w:val="0"/>
              <w:snapToGrid/>
              <w:spacing w:line="360" w:lineRule="auto"/>
              <w:ind w:left="0" w:leftChars="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3）U盘表面标明项目名称、供应商名称等信息，便于与其他供应商U盘区分</w:t>
            </w:r>
          </w:p>
        </w:tc>
      </w:tr>
      <w:tr w14:paraId="4F44C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14:paraId="7A23A260">
            <w:pPr>
              <w:keepNext w:val="0"/>
              <w:keepLines w:val="0"/>
              <w:pageBreakBefore w:val="0"/>
              <w:kinsoku/>
              <w:wordWrap/>
              <w:overflowPunct/>
              <w:topLinePunct w:val="0"/>
              <w:bidi w:val="0"/>
              <w:snapToGrid/>
              <w:spacing w:line="360" w:lineRule="auto"/>
              <w:ind w:left="0" w:leftChars="0"/>
              <w:jc w:val="center"/>
              <w:textAlignment w:val="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30</w:t>
            </w:r>
          </w:p>
        </w:tc>
        <w:tc>
          <w:tcPr>
            <w:tcW w:w="2225" w:type="dxa"/>
            <w:tcBorders>
              <w:top w:val="single" w:color="auto" w:sz="4" w:space="0"/>
              <w:left w:val="single" w:color="auto" w:sz="4" w:space="0"/>
              <w:bottom w:val="single" w:color="auto" w:sz="4" w:space="0"/>
              <w:right w:val="single" w:color="auto" w:sz="4" w:space="0"/>
            </w:tcBorders>
            <w:vAlign w:val="center"/>
          </w:tcPr>
          <w:p w14:paraId="441929AC">
            <w:pPr>
              <w:keepNext w:val="0"/>
              <w:keepLines w:val="0"/>
              <w:pageBreakBefore w:val="0"/>
              <w:kinsoku/>
              <w:wordWrap/>
              <w:overflowPunct/>
              <w:topLinePunct w:val="0"/>
              <w:bidi w:val="0"/>
              <w:snapToGrid/>
              <w:spacing w:line="360" w:lineRule="auto"/>
              <w:ind w:left="0" w:leftChars="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装订、包装、密封及标记要求</w:t>
            </w:r>
          </w:p>
        </w:tc>
        <w:tc>
          <w:tcPr>
            <w:tcW w:w="6096" w:type="dxa"/>
            <w:tcBorders>
              <w:top w:val="single" w:color="auto" w:sz="4" w:space="0"/>
              <w:left w:val="single" w:color="auto" w:sz="4" w:space="0"/>
              <w:bottom w:val="single" w:color="auto" w:sz="4" w:space="0"/>
              <w:right w:val="single" w:color="auto" w:sz="4" w:space="0"/>
            </w:tcBorders>
            <w:vAlign w:val="center"/>
          </w:tcPr>
          <w:p w14:paraId="14607B70">
            <w:pPr>
              <w:keepNext w:val="0"/>
              <w:keepLines w:val="0"/>
              <w:pageBreakBefore w:val="0"/>
              <w:kinsoku/>
              <w:wordWrap/>
              <w:overflowPunct/>
              <w:topLinePunct w:val="0"/>
              <w:bidi w:val="0"/>
              <w:snapToGrid/>
              <w:spacing w:line="360" w:lineRule="auto"/>
              <w:ind w:left="0" w:leftChars="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1）文件正、副本应分别装订成册，装订应牢固、不易拆散和换页，不得采用活页装订。响应文件应编制目录及页码。</w:t>
            </w:r>
          </w:p>
          <w:p w14:paraId="546C23E5">
            <w:pPr>
              <w:keepNext w:val="0"/>
              <w:keepLines w:val="0"/>
              <w:pageBreakBefore w:val="0"/>
              <w:kinsoku/>
              <w:wordWrap/>
              <w:overflowPunct/>
              <w:topLinePunct w:val="0"/>
              <w:bidi w:val="0"/>
              <w:snapToGrid/>
              <w:spacing w:line="360" w:lineRule="auto"/>
              <w:ind w:left="0" w:leftChars="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2）密封包装方式（共3包）：</w:t>
            </w:r>
          </w:p>
          <w:p w14:paraId="53A9E879">
            <w:pPr>
              <w:keepNext w:val="0"/>
              <w:keepLines w:val="0"/>
              <w:pageBreakBefore w:val="0"/>
              <w:kinsoku/>
              <w:wordWrap/>
              <w:overflowPunct/>
              <w:topLinePunct w:val="0"/>
              <w:bidi w:val="0"/>
              <w:snapToGrid/>
              <w:spacing w:line="360" w:lineRule="auto"/>
              <w:ind w:left="0" w:leftChars="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①磋商响应文件正本一包密封。</w:t>
            </w:r>
          </w:p>
          <w:p w14:paraId="38485375">
            <w:pPr>
              <w:keepNext w:val="0"/>
              <w:keepLines w:val="0"/>
              <w:pageBreakBefore w:val="0"/>
              <w:kinsoku/>
              <w:wordWrap/>
              <w:overflowPunct/>
              <w:topLinePunct w:val="0"/>
              <w:bidi w:val="0"/>
              <w:snapToGrid/>
              <w:spacing w:line="360" w:lineRule="auto"/>
              <w:ind w:left="0" w:leftChars="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②磋商响应文件副本一包密封。</w:t>
            </w:r>
          </w:p>
          <w:p w14:paraId="49B67FC0">
            <w:pPr>
              <w:keepNext w:val="0"/>
              <w:keepLines w:val="0"/>
              <w:pageBreakBefore w:val="0"/>
              <w:kinsoku/>
              <w:wordWrap/>
              <w:overflowPunct/>
              <w:topLinePunct w:val="0"/>
              <w:bidi w:val="0"/>
              <w:snapToGrid/>
              <w:spacing w:line="360" w:lineRule="auto"/>
              <w:ind w:left="0" w:leftChars="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③磋商响应文件电子版一包密封。</w:t>
            </w:r>
          </w:p>
          <w:p w14:paraId="794FD731">
            <w:pPr>
              <w:keepNext w:val="0"/>
              <w:keepLines w:val="0"/>
              <w:pageBreakBefore w:val="0"/>
              <w:kinsoku/>
              <w:wordWrap/>
              <w:overflowPunct/>
              <w:topLinePunct w:val="0"/>
              <w:bidi w:val="0"/>
              <w:snapToGrid/>
              <w:spacing w:line="360" w:lineRule="auto"/>
              <w:ind w:left="0" w:leftChars="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3）封套上应写明：</w:t>
            </w:r>
          </w:p>
          <w:p w14:paraId="06FF68F7">
            <w:pPr>
              <w:keepNext w:val="0"/>
              <w:keepLines w:val="0"/>
              <w:pageBreakBefore w:val="0"/>
              <w:kinsoku/>
              <w:wordWrap/>
              <w:overflowPunct/>
              <w:topLinePunct w:val="0"/>
              <w:bidi w:val="0"/>
              <w:snapToGrid/>
              <w:spacing w:line="360" w:lineRule="auto"/>
              <w:ind w:left="0" w:leftChars="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项目编号：                    正本/副本/电子版</w:t>
            </w:r>
          </w:p>
          <w:p w14:paraId="0F6A9071">
            <w:pPr>
              <w:keepNext w:val="0"/>
              <w:keepLines w:val="0"/>
              <w:pageBreakBefore w:val="0"/>
              <w:kinsoku/>
              <w:wordWrap/>
              <w:overflowPunct/>
              <w:topLinePunct w:val="0"/>
              <w:bidi w:val="0"/>
              <w:snapToGrid/>
              <w:spacing w:line="360" w:lineRule="auto"/>
              <w:ind w:left="0" w:leftChars="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项目名称</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包号名称</w:t>
            </w:r>
            <w:r>
              <w:rPr>
                <w:rFonts w:hint="eastAsia" w:ascii="宋体" w:hAnsi="宋体" w:eastAsia="宋体" w:cs="宋体"/>
                <w:color w:val="auto"/>
                <w:szCs w:val="21"/>
                <w:highlight w:val="none"/>
              </w:rPr>
              <w:t xml:space="preserve">：                   </w:t>
            </w:r>
          </w:p>
          <w:p w14:paraId="0634082F">
            <w:pPr>
              <w:keepNext w:val="0"/>
              <w:keepLines w:val="0"/>
              <w:pageBreakBefore w:val="0"/>
              <w:kinsoku/>
              <w:wordWrap/>
              <w:overflowPunct/>
              <w:topLinePunct w:val="0"/>
              <w:bidi w:val="0"/>
              <w:snapToGrid/>
              <w:spacing w:line="360" w:lineRule="auto"/>
              <w:ind w:left="0" w:leftChars="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磋商响应文件</w:t>
            </w:r>
          </w:p>
          <w:p w14:paraId="152AB158">
            <w:pPr>
              <w:keepNext w:val="0"/>
              <w:keepLines w:val="0"/>
              <w:pageBreakBefore w:val="0"/>
              <w:kinsoku/>
              <w:wordWrap/>
              <w:overflowPunct/>
              <w:topLinePunct w:val="0"/>
              <w:bidi w:val="0"/>
              <w:snapToGrid/>
              <w:spacing w:line="360" w:lineRule="auto"/>
              <w:ind w:left="0" w:leftChars="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在202</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lang w:val="en-US" w:eastAsia="zh-CN"/>
              </w:rPr>
              <w:t>9</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lang w:val="en-US" w:eastAsia="zh-CN"/>
              </w:rPr>
              <w:t>22</w:t>
            </w:r>
            <w:r>
              <w:rPr>
                <w:rFonts w:hint="eastAsia" w:ascii="宋体" w:hAnsi="宋体" w:eastAsia="宋体" w:cs="宋体"/>
                <w:color w:val="auto"/>
                <w:szCs w:val="21"/>
                <w:highlight w:val="none"/>
              </w:rPr>
              <w:t>日14时30分前不得开启</w:t>
            </w:r>
          </w:p>
          <w:p w14:paraId="21E22E46">
            <w:pPr>
              <w:keepNext w:val="0"/>
              <w:keepLines w:val="0"/>
              <w:pageBreakBefore w:val="0"/>
              <w:kinsoku/>
              <w:wordWrap/>
              <w:overflowPunct/>
              <w:topLinePunct w:val="0"/>
              <w:bidi w:val="0"/>
              <w:snapToGrid/>
              <w:spacing w:line="360" w:lineRule="auto"/>
              <w:ind w:left="0" w:leftChars="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供应商名称：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（公章）</w:t>
            </w:r>
          </w:p>
          <w:p w14:paraId="7D15FAD5">
            <w:pPr>
              <w:keepNext w:val="0"/>
              <w:keepLines w:val="0"/>
              <w:pageBreakBefore w:val="0"/>
              <w:kinsoku/>
              <w:wordWrap/>
              <w:overflowPunct/>
              <w:topLinePunct w:val="0"/>
              <w:bidi w:val="0"/>
              <w:snapToGrid/>
              <w:spacing w:line="360" w:lineRule="auto"/>
              <w:ind w:left="0" w:leftChars="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法定代表人或授权代表：</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（签字或盖章）</w:t>
            </w:r>
          </w:p>
        </w:tc>
      </w:tr>
      <w:tr w14:paraId="7CB9A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14:paraId="1BC227F3">
            <w:pPr>
              <w:keepNext w:val="0"/>
              <w:keepLines w:val="0"/>
              <w:pageBreakBefore w:val="0"/>
              <w:kinsoku/>
              <w:wordWrap/>
              <w:overflowPunct/>
              <w:topLinePunct w:val="0"/>
              <w:bidi w:val="0"/>
              <w:snapToGrid/>
              <w:spacing w:line="360" w:lineRule="auto"/>
              <w:ind w:left="0" w:leftChars="0"/>
              <w:jc w:val="center"/>
              <w:textAlignment w:val="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31</w:t>
            </w:r>
          </w:p>
        </w:tc>
        <w:tc>
          <w:tcPr>
            <w:tcW w:w="2225" w:type="dxa"/>
            <w:tcBorders>
              <w:top w:val="single" w:color="auto" w:sz="4" w:space="0"/>
              <w:left w:val="single" w:color="auto" w:sz="4" w:space="0"/>
              <w:bottom w:val="single" w:color="auto" w:sz="4" w:space="0"/>
              <w:right w:val="single" w:color="auto" w:sz="4" w:space="0"/>
            </w:tcBorders>
            <w:vAlign w:val="center"/>
          </w:tcPr>
          <w:p w14:paraId="02835412">
            <w:pPr>
              <w:keepNext w:val="0"/>
              <w:keepLines w:val="0"/>
              <w:pageBreakBefore w:val="0"/>
              <w:kinsoku/>
              <w:wordWrap/>
              <w:overflowPunct/>
              <w:topLinePunct w:val="0"/>
              <w:bidi w:val="0"/>
              <w:snapToGrid/>
              <w:spacing w:line="360" w:lineRule="auto"/>
              <w:ind w:left="0" w:leftChars="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磋商响应文件递交截止时间和地点</w:t>
            </w:r>
          </w:p>
        </w:tc>
        <w:tc>
          <w:tcPr>
            <w:tcW w:w="6096" w:type="dxa"/>
            <w:tcBorders>
              <w:top w:val="single" w:color="auto" w:sz="4" w:space="0"/>
              <w:left w:val="single" w:color="auto" w:sz="4" w:space="0"/>
              <w:bottom w:val="single" w:color="auto" w:sz="4" w:space="0"/>
              <w:right w:val="single" w:color="auto" w:sz="4" w:space="0"/>
            </w:tcBorders>
            <w:vAlign w:val="center"/>
          </w:tcPr>
          <w:p w14:paraId="033CF243">
            <w:pPr>
              <w:keepNext w:val="0"/>
              <w:keepLines w:val="0"/>
              <w:pageBreakBefore w:val="0"/>
              <w:kinsoku/>
              <w:wordWrap/>
              <w:overflowPunct/>
              <w:topLinePunct w:val="0"/>
              <w:bidi w:val="0"/>
              <w:snapToGrid/>
              <w:spacing w:line="360" w:lineRule="auto"/>
              <w:ind w:left="0" w:leftChars="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磋商响应文件递交截止时间：202</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lang w:val="en-US" w:eastAsia="zh-CN"/>
              </w:rPr>
              <w:t>9</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lang w:val="en-US" w:eastAsia="zh-CN"/>
              </w:rPr>
              <w:t>22</w:t>
            </w:r>
            <w:r>
              <w:rPr>
                <w:rFonts w:hint="eastAsia" w:ascii="宋体" w:hAnsi="宋体" w:eastAsia="宋体" w:cs="宋体"/>
                <w:color w:val="auto"/>
                <w:szCs w:val="21"/>
                <w:highlight w:val="none"/>
              </w:rPr>
              <w:t>日14时30分00秒（北京时间）</w:t>
            </w:r>
          </w:p>
          <w:p w14:paraId="54269EE7">
            <w:pPr>
              <w:pStyle w:val="34"/>
              <w:keepNext w:val="0"/>
              <w:keepLines w:val="0"/>
              <w:pageBreakBefore w:val="0"/>
              <w:kinsoku/>
              <w:wordWrap/>
              <w:overflowPunct/>
              <w:topLinePunct w:val="0"/>
              <w:bidi w:val="0"/>
              <w:snapToGrid/>
              <w:spacing w:line="360" w:lineRule="auto"/>
              <w:ind w:left="0" w:leftChars="0" w:firstLine="0" w:firstLineChars="0"/>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磋商响应文件递交地点：</w:t>
            </w:r>
            <w:r>
              <w:rPr>
                <w:rFonts w:hint="eastAsia" w:ascii="宋体" w:hAnsi="宋体" w:eastAsia="宋体" w:cs="宋体"/>
                <w:b w:val="0"/>
                <w:bCs/>
                <w:color w:val="auto"/>
                <w:sz w:val="21"/>
                <w:szCs w:val="21"/>
                <w:lang w:val="en-US" w:eastAsia="zh-CN"/>
              </w:rPr>
              <w:t>陕西省陕西省西安市雁塔区高新三路财富中心二期B座906室</w:t>
            </w:r>
          </w:p>
          <w:p w14:paraId="68AAD4FC">
            <w:pPr>
              <w:keepNext w:val="0"/>
              <w:keepLines w:val="0"/>
              <w:pageBreakBefore w:val="0"/>
              <w:kinsoku/>
              <w:wordWrap/>
              <w:overflowPunct/>
              <w:topLinePunct w:val="0"/>
              <w:bidi w:val="0"/>
              <w:snapToGrid/>
              <w:spacing w:line="360" w:lineRule="auto"/>
              <w:ind w:left="0" w:leftChars="0"/>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磋商响应文件接收人:</w:t>
            </w:r>
            <w:r>
              <w:rPr>
                <w:rFonts w:hint="eastAsia" w:ascii="宋体" w:hAnsi="宋体" w:eastAsia="宋体" w:cs="宋体"/>
                <w:color w:val="auto"/>
                <w:szCs w:val="21"/>
                <w:highlight w:val="none"/>
                <w:lang w:eastAsia="zh-CN"/>
              </w:rPr>
              <w:t>陕西益森工程咨询有限公司</w:t>
            </w:r>
          </w:p>
        </w:tc>
      </w:tr>
      <w:tr w14:paraId="15990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14:paraId="7A5F8E64">
            <w:pPr>
              <w:keepNext w:val="0"/>
              <w:keepLines w:val="0"/>
              <w:pageBreakBefore w:val="0"/>
              <w:kinsoku/>
              <w:wordWrap/>
              <w:overflowPunct/>
              <w:topLinePunct w:val="0"/>
              <w:bidi w:val="0"/>
              <w:snapToGrid/>
              <w:spacing w:line="360" w:lineRule="auto"/>
              <w:ind w:left="0" w:leftChars="0"/>
              <w:jc w:val="center"/>
              <w:textAlignment w:val="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32</w:t>
            </w:r>
          </w:p>
        </w:tc>
        <w:tc>
          <w:tcPr>
            <w:tcW w:w="2225" w:type="dxa"/>
            <w:tcBorders>
              <w:top w:val="single" w:color="auto" w:sz="4" w:space="0"/>
              <w:left w:val="single" w:color="auto" w:sz="4" w:space="0"/>
              <w:bottom w:val="single" w:color="auto" w:sz="4" w:space="0"/>
              <w:right w:val="single" w:color="auto" w:sz="4" w:space="0"/>
            </w:tcBorders>
            <w:vAlign w:val="center"/>
          </w:tcPr>
          <w:p w14:paraId="3EE67FF3">
            <w:pPr>
              <w:keepNext w:val="0"/>
              <w:keepLines w:val="0"/>
              <w:pageBreakBefore w:val="0"/>
              <w:kinsoku/>
              <w:wordWrap/>
              <w:overflowPunct/>
              <w:topLinePunct w:val="0"/>
              <w:bidi w:val="0"/>
              <w:snapToGrid/>
              <w:spacing w:line="360" w:lineRule="auto"/>
              <w:ind w:left="0" w:leftChars="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磋商时间和地点</w:t>
            </w:r>
          </w:p>
        </w:tc>
        <w:tc>
          <w:tcPr>
            <w:tcW w:w="6096" w:type="dxa"/>
            <w:tcBorders>
              <w:top w:val="single" w:color="auto" w:sz="4" w:space="0"/>
              <w:left w:val="single" w:color="auto" w:sz="4" w:space="0"/>
              <w:bottom w:val="single" w:color="auto" w:sz="4" w:space="0"/>
              <w:right w:val="single" w:color="auto" w:sz="4" w:space="0"/>
            </w:tcBorders>
            <w:vAlign w:val="center"/>
          </w:tcPr>
          <w:p w14:paraId="2BC75D3A">
            <w:pPr>
              <w:keepNext w:val="0"/>
              <w:keepLines w:val="0"/>
              <w:pageBreakBefore w:val="0"/>
              <w:kinsoku/>
              <w:wordWrap/>
              <w:overflowPunct/>
              <w:topLinePunct w:val="0"/>
              <w:bidi w:val="0"/>
              <w:snapToGrid/>
              <w:spacing w:line="360" w:lineRule="auto"/>
              <w:ind w:left="0" w:leftChars="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时间：202</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lang w:val="en-US" w:eastAsia="zh-CN"/>
              </w:rPr>
              <w:t>9</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lang w:val="en-US" w:eastAsia="zh-CN"/>
              </w:rPr>
              <w:t>22</w:t>
            </w:r>
            <w:r>
              <w:rPr>
                <w:rFonts w:hint="eastAsia" w:ascii="宋体" w:hAnsi="宋体" w:eastAsia="宋体" w:cs="宋体"/>
                <w:color w:val="auto"/>
                <w:szCs w:val="21"/>
                <w:highlight w:val="none"/>
              </w:rPr>
              <w:t>日14时30分00秒（北京时间）</w:t>
            </w:r>
          </w:p>
          <w:p w14:paraId="1A504CA5">
            <w:pPr>
              <w:pStyle w:val="34"/>
              <w:keepNext w:val="0"/>
              <w:keepLines w:val="0"/>
              <w:pageBreakBefore w:val="0"/>
              <w:kinsoku/>
              <w:wordWrap/>
              <w:overflowPunct/>
              <w:topLinePunct w:val="0"/>
              <w:bidi w:val="0"/>
              <w:snapToGrid/>
              <w:spacing w:line="360" w:lineRule="auto"/>
              <w:ind w:left="0" w:leftChars="0" w:firstLine="0" w:firstLineChars="0"/>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地点：</w:t>
            </w:r>
            <w:r>
              <w:rPr>
                <w:rFonts w:hint="eastAsia" w:ascii="宋体" w:hAnsi="宋体" w:eastAsia="宋体" w:cs="宋体"/>
                <w:b w:val="0"/>
                <w:bCs/>
                <w:color w:val="auto"/>
                <w:sz w:val="21"/>
                <w:szCs w:val="21"/>
                <w:lang w:val="en-US" w:eastAsia="zh-CN"/>
              </w:rPr>
              <w:t>陕西省陕西省西安市雁塔区高新三路财富中心二期B座906室</w:t>
            </w:r>
          </w:p>
        </w:tc>
      </w:tr>
      <w:tr w14:paraId="1C1B8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14:paraId="2C02546C">
            <w:pPr>
              <w:keepNext w:val="0"/>
              <w:keepLines w:val="0"/>
              <w:pageBreakBefore w:val="0"/>
              <w:kinsoku/>
              <w:wordWrap/>
              <w:overflowPunct/>
              <w:topLinePunct w:val="0"/>
              <w:bidi w:val="0"/>
              <w:snapToGrid/>
              <w:spacing w:line="360" w:lineRule="auto"/>
              <w:ind w:left="0" w:leftChars="0"/>
              <w:jc w:val="center"/>
              <w:textAlignment w:val="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33</w:t>
            </w:r>
          </w:p>
        </w:tc>
        <w:tc>
          <w:tcPr>
            <w:tcW w:w="2225" w:type="dxa"/>
            <w:tcBorders>
              <w:top w:val="single" w:color="auto" w:sz="4" w:space="0"/>
              <w:left w:val="single" w:color="auto" w:sz="4" w:space="0"/>
              <w:bottom w:val="single" w:color="auto" w:sz="4" w:space="0"/>
              <w:right w:val="single" w:color="auto" w:sz="4" w:space="0"/>
            </w:tcBorders>
            <w:vAlign w:val="center"/>
          </w:tcPr>
          <w:p w14:paraId="706D837B">
            <w:pPr>
              <w:keepNext w:val="0"/>
              <w:keepLines w:val="0"/>
              <w:pageBreakBefore w:val="0"/>
              <w:kinsoku/>
              <w:wordWrap/>
              <w:overflowPunct/>
              <w:topLinePunct w:val="0"/>
              <w:bidi w:val="0"/>
              <w:snapToGrid/>
              <w:spacing w:line="360" w:lineRule="auto"/>
              <w:ind w:left="0" w:leftChars="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磋商报价次数、磋商程序和最终报价的产生原则</w:t>
            </w:r>
          </w:p>
        </w:tc>
        <w:tc>
          <w:tcPr>
            <w:tcW w:w="6096" w:type="dxa"/>
            <w:tcBorders>
              <w:top w:val="single" w:color="auto" w:sz="4" w:space="0"/>
              <w:left w:val="single" w:color="auto" w:sz="4" w:space="0"/>
              <w:bottom w:val="single" w:color="auto" w:sz="4" w:space="0"/>
              <w:right w:val="single" w:color="auto" w:sz="4" w:space="0"/>
            </w:tcBorders>
            <w:vAlign w:val="center"/>
          </w:tcPr>
          <w:p w14:paraId="3459F421">
            <w:pPr>
              <w:keepNext w:val="0"/>
              <w:keepLines w:val="0"/>
              <w:pageBreakBefore w:val="0"/>
              <w:kinsoku/>
              <w:wordWrap/>
              <w:overflowPunct/>
              <w:topLinePunct w:val="0"/>
              <w:bidi w:val="0"/>
              <w:snapToGrid/>
              <w:spacing w:line="360" w:lineRule="auto"/>
              <w:ind w:left="0" w:leftChars="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本次磋商采用二轮报价。</w:t>
            </w:r>
          </w:p>
          <w:p w14:paraId="79F765EF">
            <w:pPr>
              <w:keepNext w:val="0"/>
              <w:keepLines w:val="0"/>
              <w:pageBreakBefore w:val="0"/>
              <w:kinsoku/>
              <w:wordWrap/>
              <w:overflowPunct/>
              <w:topLinePunct w:val="0"/>
              <w:bidi w:val="0"/>
              <w:snapToGrid/>
              <w:spacing w:line="360" w:lineRule="auto"/>
              <w:ind w:left="0" w:leftChars="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磋商程序为：</w:t>
            </w:r>
            <w:r>
              <w:rPr>
                <w:rFonts w:hint="eastAsia" w:ascii="宋体" w:hAnsi="宋体" w:eastAsia="宋体" w:cs="宋体"/>
                <w:color w:val="auto"/>
                <w:szCs w:val="21"/>
                <w:highlight w:val="none"/>
                <w:lang w:val="en-US" w:eastAsia="zh-CN"/>
              </w:rPr>
              <w:t>检查供应商身份、</w:t>
            </w:r>
            <w:r>
              <w:rPr>
                <w:rFonts w:hint="eastAsia" w:ascii="宋体" w:hAnsi="宋体" w:eastAsia="宋体" w:cs="宋体"/>
                <w:color w:val="auto"/>
                <w:szCs w:val="21"/>
                <w:highlight w:val="none"/>
              </w:rPr>
              <w:t>响应文件密封情况查验、开启响应文件、供应商资格性审查、符合性审查、磋商过程、第二次报价及综合评审等阶段。</w:t>
            </w:r>
          </w:p>
          <w:p w14:paraId="230E7AC3">
            <w:pPr>
              <w:keepNext w:val="0"/>
              <w:keepLines w:val="0"/>
              <w:pageBreakBefore w:val="0"/>
              <w:kinsoku/>
              <w:wordWrap/>
              <w:overflowPunct/>
              <w:topLinePunct w:val="0"/>
              <w:bidi w:val="0"/>
              <w:snapToGrid/>
              <w:spacing w:line="360" w:lineRule="auto"/>
              <w:ind w:left="0" w:leftChars="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1.采购人对响应文件进行资格性审查；</w:t>
            </w:r>
          </w:p>
          <w:p w14:paraId="7D8844E8">
            <w:pPr>
              <w:keepNext w:val="0"/>
              <w:keepLines w:val="0"/>
              <w:pageBreakBefore w:val="0"/>
              <w:kinsoku/>
              <w:wordWrap/>
              <w:overflowPunct/>
              <w:topLinePunct w:val="0"/>
              <w:bidi w:val="0"/>
              <w:snapToGrid/>
              <w:spacing w:line="360" w:lineRule="auto"/>
              <w:ind w:left="0" w:leftChars="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2.磋商小组对资格审查合格的响应文件进行符合性评审；</w:t>
            </w:r>
          </w:p>
          <w:p w14:paraId="6FC86FB7">
            <w:pPr>
              <w:keepNext w:val="0"/>
              <w:keepLines w:val="0"/>
              <w:pageBreakBefore w:val="0"/>
              <w:kinsoku/>
              <w:wordWrap/>
              <w:overflowPunct/>
              <w:topLinePunct w:val="0"/>
              <w:bidi w:val="0"/>
              <w:snapToGrid/>
              <w:spacing w:line="360" w:lineRule="auto"/>
              <w:ind w:left="0" w:leftChars="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3.磋商小组与每家供应商单独进行磋商；</w:t>
            </w:r>
          </w:p>
          <w:p w14:paraId="7772ADFF">
            <w:pPr>
              <w:keepNext w:val="0"/>
              <w:keepLines w:val="0"/>
              <w:pageBreakBefore w:val="0"/>
              <w:kinsoku/>
              <w:wordWrap/>
              <w:overflowPunct/>
              <w:topLinePunct w:val="0"/>
              <w:bidi w:val="0"/>
              <w:snapToGrid/>
              <w:spacing w:line="360" w:lineRule="auto"/>
              <w:ind w:left="0" w:leftChars="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4.供应商按照要求提交二次报价（由法定代表人或被授权人磋商现场填报）；</w:t>
            </w:r>
          </w:p>
          <w:p w14:paraId="058A0CD9">
            <w:pPr>
              <w:keepNext w:val="0"/>
              <w:keepLines w:val="0"/>
              <w:pageBreakBefore w:val="0"/>
              <w:kinsoku/>
              <w:wordWrap/>
              <w:overflowPunct/>
              <w:topLinePunct w:val="0"/>
              <w:bidi w:val="0"/>
              <w:snapToGrid/>
              <w:spacing w:line="360" w:lineRule="auto"/>
              <w:ind w:left="0" w:leftChars="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5.磋商小组评审、推荐成交候选人。</w:t>
            </w:r>
          </w:p>
        </w:tc>
      </w:tr>
      <w:tr w14:paraId="7F088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14:paraId="66580BED">
            <w:pPr>
              <w:keepNext w:val="0"/>
              <w:keepLines w:val="0"/>
              <w:pageBreakBefore w:val="0"/>
              <w:kinsoku/>
              <w:wordWrap/>
              <w:overflowPunct/>
              <w:topLinePunct w:val="0"/>
              <w:bidi w:val="0"/>
              <w:snapToGrid/>
              <w:spacing w:line="360" w:lineRule="auto"/>
              <w:ind w:left="0" w:leftChars="0"/>
              <w:jc w:val="center"/>
              <w:textAlignment w:val="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34</w:t>
            </w:r>
          </w:p>
        </w:tc>
        <w:tc>
          <w:tcPr>
            <w:tcW w:w="2225" w:type="dxa"/>
            <w:tcBorders>
              <w:top w:val="single" w:color="auto" w:sz="4" w:space="0"/>
              <w:left w:val="single" w:color="auto" w:sz="4" w:space="0"/>
              <w:bottom w:val="single" w:color="auto" w:sz="4" w:space="0"/>
              <w:right w:val="single" w:color="auto" w:sz="4" w:space="0"/>
            </w:tcBorders>
            <w:vAlign w:val="center"/>
          </w:tcPr>
          <w:p w14:paraId="5ACE6494">
            <w:pPr>
              <w:pStyle w:val="30"/>
              <w:keepNext w:val="0"/>
              <w:keepLines w:val="0"/>
              <w:pageBreakBefore w:val="0"/>
              <w:kinsoku/>
              <w:wordWrap/>
              <w:overflowPunct/>
              <w:topLinePunct w:val="0"/>
              <w:bidi w:val="0"/>
              <w:snapToGrid/>
              <w:spacing w:line="360" w:lineRule="auto"/>
              <w:ind w:left="0" w:leftChars="0"/>
              <w:jc w:val="center"/>
              <w:textAlignment w:val="auto"/>
              <w:rPr>
                <w:rFonts w:hint="eastAsia"/>
                <w:color w:val="auto"/>
                <w:kern w:val="2"/>
                <w:sz w:val="21"/>
                <w:szCs w:val="21"/>
                <w:highlight w:val="none"/>
              </w:rPr>
            </w:pPr>
            <w:r>
              <w:rPr>
                <w:rFonts w:hint="eastAsia"/>
                <w:color w:val="auto"/>
                <w:kern w:val="2"/>
                <w:sz w:val="21"/>
                <w:szCs w:val="21"/>
                <w:highlight w:val="none"/>
                <w:lang w:val="zh-CN"/>
              </w:rPr>
              <w:t>磋商小组的组建</w:t>
            </w:r>
          </w:p>
        </w:tc>
        <w:tc>
          <w:tcPr>
            <w:tcW w:w="6096" w:type="dxa"/>
            <w:tcBorders>
              <w:top w:val="single" w:color="auto" w:sz="4" w:space="0"/>
              <w:left w:val="single" w:color="auto" w:sz="4" w:space="0"/>
              <w:bottom w:val="single" w:color="auto" w:sz="4" w:space="0"/>
              <w:right w:val="single" w:color="auto" w:sz="4" w:space="0"/>
            </w:tcBorders>
            <w:vAlign w:val="center"/>
          </w:tcPr>
          <w:p w14:paraId="3AF567AB">
            <w:pPr>
              <w:pStyle w:val="30"/>
              <w:keepNext w:val="0"/>
              <w:keepLines w:val="0"/>
              <w:pageBreakBefore w:val="0"/>
              <w:kinsoku/>
              <w:wordWrap/>
              <w:overflowPunct/>
              <w:topLinePunct w:val="0"/>
              <w:bidi w:val="0"/>
              <w:snapToGrid/>
              <w:spacing w:line="360" w:lineRule="auto"/>
              <w:ind w:left="420" w:leftChars="0" w:hanging="420" w:hangingChars="200"/>
              <w:textAlignment w:val="auto"/>
              <w:rPr>
                <w:rFonts w:hint="eastAsia"/>
                <w:color w:val="auto"/>
                <w:kern w:val="2"/>
                <w:sz w:val="21"/>
                <w:szCs w:val="21"/>
                <w:highlight w:val="none"/>
                <w:lang w:val="zh-CN"/>
              </w:rPr>
            </w:pPr>
            <w:r>
              <w:rPr>
                <w:rFonts w:hint="eastAsia"/>
                <w:color w:val="auto"/>
                <w:kern w:val="2"/>
                <w:sz w:val="21"/>
                <w:szCs w:val="21"/>
                <w:highlight w:val="none"/>
                <w:lang w:val="zh-CN"/>
              </w:rPr>
              <w:t>磋商小组构成形式、人数，评审专家确定方式：</w:t>
            </w:r>
          </w:p>
          <w:p w14:paraId="7396E628">
            <w:pPr>
              <w:pStyle w:val="30"/>
              <w:keepNext w:val="0"/>
              <w:keepLines w:val="0"/>
              <w:pageBreakBefore w:val="0"/>
              <w:kinsoku/>
              <w:wordWrap/>
              <w:overflowPunct/>
              <w:topLinePunct w:val="0"/>
              <w:bidi w:val="0"/>
              <w:snapToGrid/>
              <w:spacing w:line="360" w:lineRule="auto"/>
              <w:ind w:left="420" w:leftChars="0" w:hanging="420" w:hangingChars="200"/>
              <w:textAlignment w:val="auto"/>
              <w:rPr>
                <w:rFonts w:hint="eastAsia"/>
                <w:color w:val="auto"/>
                <w:kern w:val="2"/>
                <w:sz w:val="21"/>
                <w:szCs w:val="21"/>
                <w:highlight w:val="none"/>
              </w:rPr>
            </w:pPr>
            <w:r>
              <w:rPr>
                <w:rFonts w:hint="eastAsia"/>
                <w:color w:val="auto"/>
                <w:kern w:val="2"/>
                <w:sz w:val="21"/>
                <w:szCs w:val="21"/>
                <w:highlight w:val="none"/>
                <w:lang w:val="zh-CN"/>
              </w:rPr>
              <w:t>详见供应商须知第7.1.1条款</w:t>
            </w:r>
          </w:p>
        </w:tc>
      </w:tr>
      <w:tr w14:paraId="40A9C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14:paraId="04488E6D">
            <w:pPr>
              <w:keepNext w:val="0"/>
              <w:keepLines w:val="0"/>
              <w:pageBreakBefore w:val="0"/>
              <w:kinsoku/>
              <w:wordWrap/>
              <w:overflowPunct/>
              <w:topLinePunct w:val="0"/>
              <w:bidi w:val="0"/>
              <w:snapToGrid/>
              <w:spacing w:line="360" w:lineRule="auto"/>
              <w:ind w:left="0" w:leftChars="0"/>
              <w:jc w:val="center"/>
              <w:textAlignment w:val="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35</w:t>
            </w:r>
          </w:p>
        </w:tc>
        <w:tc>
          <w:tcPr>
            <w:tcW w:w="2225" w:type="dxa"/>
            <w:tcBorders>
              <w:top w:val="single" w:color="auto" w:sz="4" w:space="0"/>
              <w:left w:val="single" w:color="auto" w:sz="4" w:space="0"/>
              <w:bottom w:val="single" w:color="auto" w:sz="4" w:space="0"/>
              <w:right w:val="single" w:color="auto" w:sz="4" w:space="0"/>
            </w:tcBorders>
            <w:vAlign w:val="center"/>
          </w:tcPr>
          <w:p w14:paraId="6E8CA776">
            <w:pPr>
              <w:pStyle w:val="30"/>
              <w:keepNext w:val="0"/>
              <w:keepLines w:val="0"/>
              <w:pageBreakBefore w:val="0"/>
              <w:kinsoku/>
              <w:wordWrap/>
              <w:overflowPunct/>
              <w:topLinePunct w:val="0"/>
              <w:bidi w:val="0"/>
              <w:snapToGrid/>
              <w:spacing w:line="360" w:lineRule="auto"/>
              <w:ind w:left="0" w:leftChars="0"/>
              <w:jc w:val="center"/>
              <w:textAlignment w:val="auto"/>
              <w:rPr>
                <w:rFonts w:hint="eastAsia"/>
                <w:color w:val="auto"/>
                <w:kern w:val="2"/>
                <w:sz w:val="21"/>
                <w:szCs w:val="21"/>
                <w:highlight w:val="none"/>
              </w:rPr>
            </w:pPr>
            <w:r>
              <w:rPr>
                <w:rFonts w:hint="eastAsia"/>
                <w:color w:val="auto"/>
                <w:kern w:val="2"/>
                <w:sz w:val="21"/>
                <w:szCs w:val="21"/>
                <w:highlight w:val="none"/>
                <w:lang w:val="zh-CN"/>
              </w:rPr>
              <w:t>磋商小组推荐成交候选人的家数</w:t>
            </w:r>
          </w:p>
        </w:tc>
        <w:tc>
          <w:tcPr>
            <w:tcW w:w="6096" w:type="dxa"/>
            <w:tcBorders>
              <w:top w:val="single" w:color="auto" w:sz="4" w:space="0"/>
              <w:left w:val="single" w:color="auto" w:sz="4" w:space="0"/>
              <w:bottom w:val="single" w:color="auto" w:sz="4" w:space="0"/>
              <w:right w:val="single" w:color="auto" w:sz="4" w:space="0"/>
            </w:tcBorders>
            <w:vAlign w:val="center"/>
          </w:tcPr>
          <w:p w14:paraId="25015F17">
            <w:pPr>
              <w:pStyle w:val="30"/>
              <w:keepNext w:val="0"/>
              <w:keepLines w:val="0"/>
              <w:pageBreakBefore w:val="0"/>
              <w:kinsoku/>
              <w:wordWrap/>
              <w:overflowPunct/>
              <w:topLinePunct w:val="0"/>
              <w:bidi w:val="0"/>
              <w:snapToGrid/>
              <w:spacing w:line="360" w:lineRule="auto"/>
              <w:ind w:left="0" w:leftChars="0"/>
              <w:textAlignment w:val="auto"/>
              <w:rPr>
                <w:rFonts w:hint="eastAsia"/>
                <w:color w:val="auto"/>
                <w:kern w:val="2"/>
                <w:sz w:val="21"/>
                <w:szCs w:val="21"/>
                <w:highlight w:val="none"/>
              </w:rPr>
            </w:pPr>
            <w:r>
              <w:rPr>
                <w:rFonts w:hint="eastAsia"/>
                <w:color w:val="auto"/>
                <w:kern w:val="2"/>
                <w:sz w:val="21"/>
                <w:szCs w:val="21"/>
                <w:highlight w:val="none"/>
                <w:lang w:val="zh-CN"/>
              </w:rPr>
              <w:t xml:space="preserve">3 </w:t>
            </w:r>
          </w:p>
        </w:tc>
      </w:tr>
      <w:tr w14:paraId="10E80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14:paraId="4CB8442A">
            <w:pPr>
              <w:keepNext w:val="0"/>
              <w:keepLines w:val="0"/>
              <w:pageBreakBefore w:val="0"/>
              <w:kinsoku/>
              <w:wordWrap/>
              <w:overflowPunct/>
              <w:topLinePunct w:val="0"/>
              <w:bidi w:val="0"/>
              <w:snapToGrid/>
              <w:spacing w:line="360" w:lineRule="auto"/>
              <w:ind w:left="0" w:leftChars="0"/>
              <w:jc w:val="center"/>
              <w:textAlignment w:val="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36</w:t>
            </w:r>
          </w:p>
        </w:tc>
        <w:tc>
          <w:tcPr>
            <w:tcW w:w="2225" w:type="dxa"/>
            <w:tcBorders>
              <w:top w:val="single" w:color="auto" w:sz="4" w:space="0"/>
              <w:left w:val="single" w:color="auto" w:sz="4" w:space="0"/>
              <w:bottom w:val="single" w:color="auto" w:sz="4" w:space="0"/>
              <w:right w:val="single" w:color="auto" w:sz="4" w:space="0"/>
            </w:tcBorders>
            <w:vAlign w:val="center"/>
          </w:tcPr>
          <w:p w14:paraId="541BE10A">
            <w:pPr>
              <w:pStyle w:val="30"/>
              <w:keepNext w:val="0"/>
              <w:keepLines w:val="0"/>
              <w:pageBreakBefore w:val="0"/>
              <w:kinsoku/>
              <w:wordWrap/>
              <w:overflowPunct/>
              <w:topLinePunct w:val="0"/>
              <w:bidi w:val="0"/>
              <w:snapToGrid/>
              <w:spacing w:line="360" w:lineRule="auto"/>
              <w:ind w:left="0" w:leftChars="0"/>
              <w:jc w:val="center"/>
              <w:textAlignment w:val="auto"/>
              <w:rPr>
                <w:rFonts w:hint="eastAsia"/>
                <w:color w:val="auto"/>
                <w:kern w:val="2"/>
                <w:sz w:val="21"/>
                <w:szCs w:val="21"/>
                <w:highlight w:val="none"/>
                <w:lang w:val="zh-CN"/>
              </w:rPr>
            </w:pPr>
            <w:r>
              <w:rPr>
                <w:rFonts w:hint="eastAsia"/>
                <w:color w:val="auto"/>
                <w:kern w:val="2"/>
                <w:sz w:val="21"/>
                <w:szCs w:val="21"/>
                <w:highlight w:val="none"/>
                <w:lang w:val="zh-CN"/>
              </w:rPr>
              <w:t>发布成交公告的</w:t>
            </w:r>
          </w:p>
          <w:p w14:paraId="4C95180B">
            <w:pPr>
              <w:pStyle w:val="30"/>
              <w:keepNext w:val="0"/>
              <w:keepLines w:val="0"/>
              <w:pageBreakBefore w:val="0"/>
              <w:kinsoku/>
              <w:wordWrap/>
              <w:overflowPunct/>
              <w:topLinePunct w:val="0"/>
              <w:bidi w:val="0"/>
              <w:snapToGrid/>
              <w:spacing w:line="360" w:lineRule="auto"/>
              <w:ind w:left="0" w:leftChars="0"/>
              <w:jc w:val="center"/>
              <w:textAlignment w:val="auto"/>
              <w:rPr>
                <w:rFonts w:hint="eastAsia"/>
                <w:color w:val="auto"/>
                <w:kern w:val="2"/>
                <w:sz w:val="21"/>
                <w:szCs w:val="21"/>
                <w:highlight w:val="none"/>
              </w:rPr>
            </w:pPr>
            <w:r>
              <w:rPr>
                <w:rFonts w:hint="eastAsia"/>
                <w:color w:val="auto"/>
                <w:kern w:val="2"/>
                <w:sz w:val="21"/>
                <w:szCs w:val="21"/>
                <w:highlight w:val="none"/>
                <w:lang w:val="zh-CN"/>
              </w:rPr>
              <w:t>时间、媒介和期限</w:t>
            </w:r>
          </w:p>
        </w:tc>
        <w:tc>
          <w:tcPr>
            <w:tcW w:w="6096" w:type="dxa"/>
            <w:tcBorders>
              <w:top w:val="single" w:color="auto" w:sz="4" w:space="0"/>
              <w:left w:val="single" w:color="auto" w:sz="4" w:space="0"/>
              <w:bottom w:val="single" w:color="auto" w:sz="4" w:space="0"/>
              <w:right w:val="single" w:color="auto" w:sz="4" w:space="0"/>
            </w:tcBorders>
            <w:vAlign w:val="center"/>
          </w:tcPr>
          <w:p w14:paraId="0EC84EEB">
            <w:pPr>
              <w:pStyle w:val="30"/>
              <w:keepNext w:val="0"/>
              <w:keepLines w:val="0"/>
              <w:pageBreakBefore w:val="0"/>
              <w:kinsoku/>
              <w:wordWrap/>
              <w:overflowPunct/>
              <w:topLinePunct w:val="0"/>
              <w:bidi w:val="0"/>
              <w:snapToGrid/>
              <w:spacing w:line="360" w:lineRule="auto"/>
              <w:ind w:left="0" w:leftChars="0"/>
              <w:textAlignment w:val="auto"/>
              <w:rPr>
                <w:rFonts w:hint="eastAsia"/>
                <w:color w:val="auto"/>
                <w:kern w:val="2"/>
                <w:sz w:val="21"/>
                <w:szCs w:val="21"/>
                <w:highlight w:val="none"/>
                <w:lang w:val="zh-CN"/>
              </w:rPr>
            </w:pPr>
            <w:r>
              <w:rPr>
                <w:rFonts w:hint="eastAsia"/>
                <w:color w:val="auto"/>
                <w:kern w:val="2"/>
                <w:sz w:val="21"/>
                <w:szCs w:val="21"/>
                <w:highlight w:val="none"/>
                <w:lang w:val="zh-CN"/>
              </w:rPr>
              <w:t>公告时间：在确定成交供应商之日起2个工作日内</w:t>
            </w:r>
          </w:p>
          <w:p w14:paraId="35883695">
            <w:pPr>
              <w:pStyle w:val="30"/>
              <w:keepNext w:val="0"/>
              <w:keepLines w:val="0"/>
              <w:pageBreakBefore w:val="0"/>
              <w:kinsoku/>
              <w:wordWrap/>
              <w:overflowPunct/>
              <w:topLinePunct w:val="0"/>
              <w:bidi w:val="0"/>
              <w:snapToGrid/>
              <w:spacing w:line="360" w:lineRule="auto"/>
              <w:ind w:left="0" w:leftChars="0"/>
              <w:textAlignment w:val="auto"/>
              <w:rPr>
                <w:rFonts w:hint="eastAsia"/>
                <w:color w:val="auto"/>
                <w:kern w:val="2"/>
                <w:sz w:val="21"/>
                <w:szCs w:val="21"/>
                <w:highlight w:val="none"/>
                <w:lang w:val="zh-CN"/>
              </w:rPr>
            </w:pPr>
            <w:r>
              <w:rPr>
                <w:rFonts w:hint="eastAsia"/>
                <w:color w:val="auto"/>
                <w:kern w:val="2"/>
                <w:sz w:val="21"/>
                <w:szCs w:val="21"/>
                <w:highlight w:val="none"/>
                <w:lang w:val="zh-CN"/>
              </w:rPr>
              <w:t>公告媒介：陕西省政府采购网</w:t>
            </w:r>
          </w:p>
          <w:p w14:paraId="45A2C839">
            <w:pPr>
              <w:pStyle w:val="30"/>
              <w:keepNext w:val="0"/>
              <w:keepLines w:val="0"/>
              <w:pageBreakBefore w:val="0"/>
              <w:kinsoku/>
              <w:wordWrap/>
              <w:overflowPunct/>
              <w:topLinePunct w:val="0"/>
              <w:bidi w:val="0"/>
              <w:snapToGrid/>
              <w:spacing w:line="360" w:lineRule="auto"/>
              <w:ind w:left="0" w:leftChars="0"/>
              <w:textAlignment w:val="auto"/>
              <w:rPr>
                <w:rFonts w:hint="eastAsia"/>
                <w:color w:val="auto"/>
                <w:kern w:val="2"/>
                <w:sz w:val="21"/>
                <w:szCs w:val="21"/>
                <w:highlight w:val="none"/>
              </w:rPr>
            </w:pPr>
            <w:r>
              <w:rPr>
                <w:rFonts w:hint="eastAsia"/>
                <w:color w:val="auto"/>
                <w:kern w:val="2"/>
                <w:sz w:val="21"/>
                <w:szCs w:val="21"/>
                <w:highlight w:val="none"/>
                <w:lang w:val="zh-CN"/>
              </w:rPr>
              <w:t>公告期限：1个工作日</w:t>
            </w:r>
          </w:p>
        </w:tc>
      </w:tr>
      <w:tr w14:paraId="5973D8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14:paraId="2F841C10">
            <w:pPr>
              <w:keepNext w:val="0"/>
              <w:keepLines w:val="0"/>
              <w:pageBreakBefore w:val="0"/>
              <w:kinsoku/>
              <w:wordWrap/>
              <w:overflowPunct/>
              <w:topLinePunct w:val="0"/>
              <w:bidi w:val="0"/>
              <w:snapToGrid/>
              <w:spacing w:line="360" w:lineRule="auto"/>
              <w:ind w:left="0" w:leftChars="0"/>
              <w:jc w:val="center"/>
              <w:textAlignment w:val="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37</w:t>
            </w:r>
          </w:p>
        </w:tc>
        <w:tc>
          <w:tcPr>
            <w:tcW w:w="2225" w:type="dxa"/>
            <w:tcBorders>
              <w:top w:val="single" w:color="auto" w:sz="4" w:space="0"/>
              <w:left w:val="single" w:color="auto" w:sz="4" w:space="0"/>
              <w:bottom w:val="single" w:color="auto" w:sz="4" w:space="0"/>
              <w:right w:val="single" w:color="auto" w:sz="4" w:space="0"/>
            </w:tcBorders>
            <w:vAlign w:val="center"/>
          </w:tcPr>
          <w:p w14:paraId="7A354D4D">
            <w:pPr>
              <w:pStyle w:val="65"/>
              <w:keepNext w:val="0"/>
              <w:keepLines w:val="0"/>
              <w:pageBreakBefore w:val="0"/>
              <w:kinsoku/>
              <w:wordWrap/>
              <w:overflowPunct/>
              <w:topLinePunct w:val="0"/>
              <w:bidi w:val="0"/>
              <w:snapToGrid/>
              <w:spacing w:line="360" w:lineRule="auto"/>
              <w:ind w:left="0" w:leftChars="0" w:firstLine="0" w:firstLineChars="0"/>
              <w:jc w:val="center"/>
              <w:textAlignment w:val="auto"/>
              <w:rPr>
                <w:rFonts w:hint="eastAsia" w:ascii="宋体" w:hAnsi="宋体" w:cs="宋体"/>
                <w:color w:val="auto"/>
                <w:szCs w:val="21"/>
                <w:highlight w:val="none"/>
              </w:rPr>
            </w:pPr>
            <w:r>
              <w:rPr>
                <w:rFonts w:hint="eastAsia" w:ascii="宋体" w:hAnsi="宋体" w:cs="宋体"/>
                <w:bCs/>
                <w:color w:val="auto"/>
                <w:szCs w:val="21"/>
                <w:highlight w:val="none"/>
              </w:rPr>
              <w:t>本项目所属行业</w:t>
            </w:r>
          </w:p>
        </w:tc>
        <w:tc>
          <w:tcPr>
            <w:tcW w:w="6096" w:type="dxa"/>
            <w:tcBorders>
              <w:top w:val="single" w:color="auto" w:sz="4" w:space="0"/>
              <w:left w:val="single" w:color="auto" w:sz="4" w:space="0"/>
              <w:bottom w:val="single" w:color="auto" w:sz="4" w:space="0"/>
              <w:right w:val="single" w:color="auto" w:sz="4" w:space="0"/>
            </w:tcBorders>
            <w:vAlign w:val="center"/>
          </w:tcPr>
          <w:p w14:paraId="69E38BB7">
            <w:pPr>
              <w:keepNext w:val="0"/>
              <w:keepLines w:val="0"/>
              <w:pageBreakBefore w:val="0"/>
              <w:widowControl/>
              <w:kinsoku/>
              <w:wordWrap/>
              <w:overflowPunct/>
              <w:topLinePunct w:val="0"/>
              <w:bidi w:val="0"/>
              <w:snapToGrid/>
              <w:spacing w:line="360" w:lineRule="auto"/>
              <w:ind w:left="0" w:leftChars="0"/>
              <w:jc w:val="left"/>
              <w:textAlignment w:val="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根据《国民经济行业分类》，本项目中小企业声明函填写所属行业分类为</w:t>
            </w:r>
            <w:r>
              <w:rPr>
                <w:rFonts w:hint="eastAsia" w:ascii="宋体" w:hAnsi="宋体" w:eastAsia="宋体" w:cs="宋体"/>
                <w:bCs/>
                <w:color w:val="auto"/>
                <w:szCs w:val="21"/>
                <w:highlight w:val="none"/>
                <w:u w:val="single"/>
                <w:lang w:val="en-US" w:eastAsia="zh-CN"/>
              </w:rPr>
              <w:t>其他未列明行业</w:t>
            </w:r>
            <w:r>
              <w:rPr>
                <w:rFonts w:hint="eastAsia" w:ascii="宋体" w:hAnsi="宋体" w:eastAsia="宋体" w:cs="宋体"/>
                <w:bCs/>
                <w:color w:val="auto"/>
                <w:szCs w:val="21"/>
                <w:highlight w:val="none"/>
              </w:rPr>
              <w:t>。</w:t>
            </w:r>
          </w:p>
        </w:tc>
      </w:tr>
      <w:tr w14:paraId="53121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14:paraId="4C3FCB9D">
            <w:pPr>
              <w:keepNext w:val="0"/>
              <w:keepLines w:val="0"/>
              <w:pageBreakBefore w:val="0"/>
              <w:kinsoku/>
              <w:wordWrap/>
              <w:overflowPunct/>
              <w:topLinePunct w:val="0"/>
              <w:bidi w:val="0"/>
              <w:snapToGrid/>
              <w:spacing w:line="360" w:lineRule="auto"/>
              <w:ind w:left="0" w:leftChars="0"/>
              <w:jc w:val="center"/>
              <w:textAlignment w:val="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38</w:t>
            </w:r>
          </w:p>
        </w:tc>
        <w:tc>
          <w:tcPr>
            <w:tcW w:w="2225" w:type="dxa"/>
            <w:tcBorders>
              <w:top w:val="single" w:color="auto" w:sz="4" w:space="0"/>
              <w:left w:val="single" w:color="auto" w:sz="4" w:space="0"/>
              <w:bottom w:val="single" w:color="auto" w:sz="4" w:space="0"/>
              <w:right w:val="single" w:color="auto" w:sz="4" w:space="0"/>
            </w:tcBorders>
            <w:vAlign w:val="center"/>
          </w:tcPr>
          <w:p w14:paraId="4673147C">
            <w:pPr>
              <w:pStyle w:val="65"/>
              <w:keepNext w:val="0"/>
              <w:keepLines w:val="0"/>
              <w:pageBreakBefore w:val="0"/>
              <w:kinsoku/>
              <w:wordWrap/>
              <w:overflowPunct/>
              <w:topLinePunct w:val="0"/>
              <w:bidi w:val="0"/>
              <w:snapToGrid/>
              <w:spacing w:line="360" w:lineRule="auto"/>
              <w:ind w:left="0" w:leftChars="0" w:firstLine="0" w:firstLineChars="0"/>
              <w:jc w:val="center"/>
              <w:textAlignment w:val="auto"/>
              <w:rPr>
                <w:rFonts w:hint="eastAsia" w:ascii="宋体" w:hAnsi="宋体" w:cs="宋体"/>
                <w:color w:val="auto"/>
                <w:szCs w:val="21"/>
                <w:highlight w:val="none"/>
              </w:rPr>
            </w:pPr>
            <w:r>
              <w:rPr>
                <w:rFonts w:hint="eastAsia" w:ascii="宋体" w:hAnsi="宋体" w:cs="宋体"/>
                <w:bCs/>
                <w:color w:val="auto"/>
                <w:szCs w:val="21"/>
                <w:highlight w:val="none"/>
              </w:rPr>
              <w:t>企业规模划分</w:t>
            </w:r>
          </w:p>
        </w:tc>
        <w:tc>
          <w:tcPr>
            <w:tcW w:w="6096" w:type="dxa"/>
            <w:tcBorders>
              <w:top w:val="single" w:color="auto" w:sz="4" w:space="0"/>
              <w:left w:val="single" w:color="auto" w:sz="4" w:space="0"/>
              <w:bottom w:val="single" w:color="auto" w:sz="4" w:space="0"/>
              <w:right w:val="single" w:color="auto" w:sz="4" w:space="0"/>
            </w:tcBorders>
            <w:vAlign w:val="center"/>
          </w:tcPr>
          <w:p w14:paraId="47E5B9B4">
            <w:pPr>
              <w:pStyle w:val="65"/>
              <w:keepNext w:val="0"/>
              <w:keepLines w:val="0"/>
              <w:pageBreakBefore w:val="0"/>
              <w:kinsoku/>
              <w:wordWrap/>
              <w:overflowPunct/>
              <w:topLinePunct w:val="0"/>
              <w:bidi w:val="0"/>
              <w:snapToGrid/>
              <w:spacing w:line="360" w:lineRule="auto"/>
              <w:ind w:left="0" w:leftChars="0" w:firstLine="0" w:firstLineChars="0"/>
              <w:textAlignment w:val="auto"/>
              <w:rPr>
                <w:rFonts w:hint="eastAsia" w:ascii="宋体" w:hAnsi="宋体" w:cs="宋体"/>
                <w:color w:val="auto"/>
                <w:szCs w:val="21"/>
                <w:highlight w:val="none"/>
              </w:rPr>
            </w:pPr>
            <w:r>
              <w:rPr>
                <w:rFonts w:hint="eastAsia" w:ascii="宋体" w:hAnsi="宋体" w:cs="宋体"/>
                <w:bCs/>
                <w:color w:val="auto"/>
                <w:szCs w:val="21"/>
                <w:highlight w:val="none"/>
              </w:rPr>
              <w:t>企业规模划分标准参照“关于印发中小企业划型标准规定的通知(工信部联企业〔2011〕300号)”中“</w:t>
            </w:r>
            <w:r>
              <w:rPr>
                <w:rFonts w:hint="eastAsia" w:ascii="宋体" w:hAnsi="宋体" w:eastAsia="宋体" w:cs="宋体"/>
                <w:bCs/>
                <w:color w:val="auto"/>
                <w:szCs w:val="21"/>
                <w:highlight w:val="none"/>
                <w:u w:val="single"/>
                <w:lang w:val="en-US" w:eastAsia="zh-CN"/>
              </w:rPr>
              <w:t>其他未列明行业</w:t>
            </w:r>
            <w:r>
              <w:rPr>
                <w:rFonts w:hint="eastAsia" w:ascii="宋体" w:hAnsi="宋体" w:cs="宋体"/>
                <w:bCs/>
                <w:color w:val="auto"/>
                <w:szCs w:val="21"/>
                <w:highlight w:val="none"/>
              </w:rPr>
              <w:t>”。</w:t>
            </w:r>
          </w:p>
        </w:tc>
      </w:tr>
      <w:tr w14:paraId="19D73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14:paraId="77A43C27">
            <w:pPr>
              <w:keepNext w:val="0"/>
              <w:keepLines w:val="0"/>
              <w:pageBreakBefore w:val="0"/>
              <w:kinsoku/>
              <w:wordWrap/>
              <w:overflowPunct/>
              <w:topLinePunct w:val="0"/>
              <w:bidi w:val="0"/>
              <w:snapToGrid/>
              <w:spacing w:line="360" w:lineRule="auto"/>
              <w:ind w:left="0" w:leftChars="0"/>
              <w:jc w:val="center"/>
              <w:textAlignment w:val="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39</w:t>
            </w:r>
          </w:p>
        </w:tc>
        <w:tc>
          <w:tcPr>
            <w:tcW w:w="2225" w:type="dxa"/>
            <w:tcBorders>
              <w:top w:val="single" w:color="auto" w:sz="4" w:space="0"/>
              <w:left w:val="single" w:color="auto" w:sz="4" w:space="0"/>
              <w:bottom w:val="single" w:color="auto" w:sz="4" w:space="0"/>
              <w:right w:val="single" w:color="auto" w:sz="4" w:space="0"/>
            </w:tcBorders>
            <w:vAlign w:val="center"/>
          </w:tcPr>
          <w:p w14:paraId="72A4947C">
            <w:pPr>
              <w:keepNext w:val="0"/>
              <w:keepLines w:val="0"/>
              <w:pageBreakBefore w:val="0"/>
              <w:kinsoku/>
              <w:wordWrap/>
              <w:overflowPunct/>
              <w:topLinePunct w:val="0"/>
              <w:bidi w:val="0"/>
              <w:snapToGrid/>
              <w:spacing w:line="360" w:lineRule="auto"/>
              <w:ind w:left="0" w:leftChars="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招标代理服务费</w:t>
            </w:r>
          </w:p>
        </w:tc>
        <w:tc>
          <w:tcPr>
            <w:tcW w:w="6096" w:type="dxa"/>
            <w:tcBorders>
              <w:top w:val="single" w:color="auto" w:sz="4" w:space="0"/>
              <w:left w:val="single" w:color="auto" w:sz="4" w:space="0"/>
              <w:bottom w:val="single" w:color="auto" w:sz="4" w:space="0"/>
              <w:right w:val="single" w:color="auto" w:sz="4" w:space="0"/>
            </w:tcBorders>
            <w:vAlign w:val="center"/>
          </w:tcPr>
          <w:p w14:paraId="70D8DB79">
            <w:pPr>
              <w:keepNext w:val="0"/>
              <w:keepLines w:val="0"/>
              <w:pageBreakBefore w:val="0"/>
              <w:kinsoku/>
              <w:wordWrap/>
              <w:overflowPunct/>
              <w:topLinePunct w:val="0"/>
              <w:bidi w:val="0"/>
              <w:snapToGrid/>
              <w:spacing w:line="360" w:lineRule="auto"/>
              <w:ind w:left="0" w:leftChars="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采购</w:t>
            </w:r>
            <w:r>
              <w:rPr>
                <w:rFonts w:hint="eastAsia" w:ascii="宋体" w:hAnsi="宋体" w:eastAsia="宋体" w:cs="宋体"/>
                <w:color w:val="auto"/>
                <w:szCs w:val="21"/>
                <w:highlight w:val="none"/>
              </w:rPr>
              <w:t>代理服务费：</w:t>
            </w:r>
          </w:p>
          <w:p w14:paraId="5B7FC6D3">
            <w:pPr>
              <w:keepNext w:val="0"/>
              <w:keepLines w:val="0"/>
              <w:pageBreakBefore w:val="0"/>
              <w:kinsoku/>
              <w:wordWrap/>
              <w:overflowPunct/>
              <w:topLinePunct w:val="0"/>
              <w:bidi w:val="0"/>
              <w:snapToGrid/>
              <w:spacing w:line="360" w:lineRule="auto"/>
              <w:ind w:left="0" w:leftChars="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1、收费标准：</w:t>
            </w:r>
            <w:r>
              <w:rPr>
                <w:rFonts w:hint="eastAsia" w:ascii="宋体" w:hAnsi="宋体" w:eastAsia="宋体" w:cs="宋体"/>
                <w:color w:val="auto"/>
                <w:szCs w:val="21"/>
                <w:highlight w:val="none"/>
                <w:lang w:eastAsia="zh-CN"/>
              </w:rPr>
              <w:t>采购</w:t>
            </w:r>
            <w:r>
              <w:rPr>
                <w:rFonts w:hint="eastAsia" w:ascii="宋体" w:hAnsi="宋体" w:eastAsia="宋体" w:cs="宋体"/>
                <w:color w:val="auto"/>
                <w:szCs w:val="21"/>
                <w:highlight w:val="none"/>
              </w:rPr>
              <w:t>代理服务费</w:t>
            </w:r>
            <w:r>
              <w:rPr>
                <w:rFonts w:hint="eastAsia" w:ascii="宋体" w:hAnsi="宋体" w:eastAsia="宋体" w:cs="宋体"/>
                <w:color w:val="auto"/>
                <w:szCs w:val="21"/>
                <w:highlight w:val="none"/>
                <w:lang w:val="en-US" w:eastAsia="zh-CN"/>
              </w:rPr>
              <w:t>参照</w:t>
            </w:r>
            <w:r>
              <w:rPr>
                <w:rFonts w:hint="eastAsia" w:ascii="宋体" w:hAnsi="宋体" w:eastAsia="宋体" w:cs="宋体"/>
                <w:color w:val="auto"/>
                <w:szCs w:val="21"/>
                <w:highlight w:val="none"/>
              </w:rPr>
              <w:t>国家计委颁发的《招标代理服务收费管理暂行办法》（计价格[2002]1980号）</w:t>
            </w:r>
            <w:r>
              <w:rPr>
                <w:rFonts w:hint="eastAsia" w:ascii="宋体" w:hAnsi="宋体" w:eastAsia="宋体" w:cs="宋体"/>
                <w:color w:val="auto"/>
                <w:szCs w:val="21"/>
                <w:highlight w:val="none"/>
                <w:lang w:val="en-US" w:eastAsia="zh-CN"/>
              </w:rPr>
              <w:t>及国家发展改革委办公厅颁发的《关于招标代理服务收费有关问题的通知》（发改办价格[2003]857号）</w:t>
            </w:r>
            <w:r>
              <w:rPr>
                <w:rFonts w:hint="eastAsia" w:ascii="宋体" w:hAnsi="宋体" w:eastAsia="宋体" w:cs="宋体"/>
                <w:color w:val="auto"/>
                <w:szCs w:val="21"/>
                <w:highlight w:val="none"/>
              </w:rPr>
              <w:t>文件标准收取，由成交供应商在领取中标通知书之前，向采购代理机构一次支付全额</w:t>
            </w:r>
            <w:r>
              <w:rPr>
                <w:rFonts w:hint="eastAsia" w:ascii="宋体" w:hAnsi="宋体" w:eastAsia="宋体" w:cs="宋体"/>
                <w:color w:val="auto"/>
                <w:szCs w:val="21"/>
                <w:highlight w:val="none"/>
                <w:lang w:eastAsia="zh-CN"/>
              </w:rPr>
              <w:t>采购</w:t>
            </w:r>
            <w:r>
              <w:rPr>
                <w:rFonts w:hint="eastAsia" w:ascii="宋体" w:hAnsi="宋体" w:eastAsia="宋体" w:cs="宋体"/>
                <w:color w:val="auto"/>
                <w:szCs w:val="21"/>
                <w:highlight w:val="none"/>
              </w:rPr>
              <w:t>代理服务费。</w:t>
            </w:r>
          </w:p>
          <w:p w14:paraId="1474E2E4">
            <w:pPr>
              <w:keepNext w:val="0"/>
              <w:keepLines w:val="0"/>
              <w:pageBreakBefore w:val="0"/>
              <w:kinsoku/>
              <w:wordWrap/>
              <w:overflowPunct/>
              <w:topLinePunct w:val="0"/>
              <w:bidi w:val="0"/>
              <w:snapToGrid/>
              <w:spacing w:line="360" w:lineRule="auto"/>
              <w:ind w:left="0" w:leftChars="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2、汇款账号：</w:t>
            </w:r>
          </w:p>
          <w:p w14:paraId="762B4433">
            <w:pPr>
              <w:keepNext w:val="0"/>
              <w:keepLines w:val="0"/>
              <w:pageBreakBefore w:val="0"/>
              <w:kinsoku/>
              <w:wordWrap/>
              <w:overflowPunct/>
              <w:topLinePunct w:val="0"/>
              <w:bidi w:val="0"/>
              <w:snapToGrid/>
              <w:spacing w:line="360" w:lineRule="auto"/>
              <w:ind w:left="0" w:leftChars="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名称：陕西益森工程咨询有限公司</w:t>
            </w:r>
          </w:p>
          <w:p w14:paraId="2D876411">
            <w:pPr>
              <w:keepNext w:val="0"/>
              <w:keepLines w:val="0"/>
              <w:pageBreakBefore w:val="0"/>
              <w:kinsoku/>
              <w:wordWrap/>
              <w:overflowPunct/>
              <w:topLinePunct w:val="0"/>
              <w:bidi w:val="0"/>
              <w:snapToGrid/>
              <w:spacing w:line="360" w:lineRule="auto"/>
              <w:ind w:left="0" w:leftChars="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开户行及地址：建行西安芙蓉西路支行 61050110870300000532</w:t>
            </w:r>
          </w:p>
          <w:p w14:paraId="550A1CE5">
            <w:pPr>
              <w:keepNext w:val="0"/>
              <w:keepLines w:val="0"/>
              <w:pageBreakBefore w:val="0"/>
              <w:kinsoku/>
              <w:wordWrap/>
              <w:overflowPunct/>
              <w:topLinePunct w:val="0"/>
              <w:bidi w:val="0"/>
              <w:snapToGrid/>
              <w:spacing w:line="360" w:lineRule="auto"/>
              <w:ind w:left="0" w:leftChars="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备注：供应商在汇款（招标代理服务费）时须注明项目编号+项目简称</w:t>
            </w:r>
          </w:p>
        </w:tc>
      </w:tr>
      <w:tr w14:paraId="52996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714BDFC5">
            <w:pPr>
              <w:keepNext w:val="0"/>
              <w:keepLines w:val="0"/>
              <w:pageBreakBefore w:val="0"/>
              <w:kinsoku/>
              <w:wordWrap/>
              <w:overflowPunct/>
              <w:topLinePunct w:val="0"/>
              <w:bidi w:val="0"/>
              <w:snapToGrid/>
              <w:spacing w:line="360" w:lineRule="auto"/>
              <w:ind w:left="0" w:leftChars="0"/>
              <w:jc w:val="center"/>
              <w:textAlignment w:val="auto"/>
              <w:rPr>
                <w:rFonts w:hint="default" w:ascii="宋体" w:hAnsi="宋体" w:eastAsia="宋体" w:cs="宋体"/>
                <w:color w:val="auto"/>
                <w:szCs w:val="21"/>
                <w:highlight w:val="none"/>
                <w:lang w:val="en-US" w:eastAsia="zh-CN"/>
              </w:rPr>
            </w:pPr>
            <w:bookmarkStart w:id="7" w:name="_Toc10488"/>
            <w:bookmarkStart w:id="8" w:name="_Toc144"/>
            <w:r>
              <w:rPr>
                <w:rFonts w:hint="eastAsia" w:ascii="宋体" w:hAnsi="宋体" w:eastAsia="宋体" w:cs="宋体"/>
                <w:color w:val="auto"/>
                <w:szCs w:val="21"/>
                <w:highlight w:val="none"/>
                <w:lang w:val="en-US" w:eastAsia="zh-CN"/>
              </w:rPr>
              <w:t>40</w:t>
            </w:r>
          </w:p>
        </w:tc>
        <w:tc>
          <w:tcPr>
            <w:tcW w:w="2225" w:type="dxa"/>
            <w:vAlign w:val="center"/>
          </w:tcPr>
          <w:p w14:paraId="06D4804E">
            <w:pPr>
              <w:keepNext w:val="0"/>
              <w:keepLines w:val="0"/>
              <w:pageBreakBefore w:val="0"/>
              <w:kinsoku/>
              <w:wordWrap/>
              <w:overflowPunct/>
              <w:topLinePunct w:val="0"/>
              <w:bidi w:val="0"/>
              <w:snapToGrid/>
              <w:spacing w:line="360" w:lineRule="auto"/>
              <w:ind w:left="0" w:leftChars="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信用担保和信用融资</w:t>
            </w:r>
          </w:p>
        </w:tc>
        <w:tc>
          <w:tcPr>
            <w:tcW w:w="6096" w:type="dxa"/>
            <w:vAlign w:val="center"/>
          </w:tcPr>
          <w:p w14:paraId="214AEE01">
            <w:pPr>
              <w:keepNext w:val="0"/>
              <w:keepLines w:val="0"/>
              <w:pageBreakBefore w:val="0"/>
              <w:kinsoku/>
              <w:wordWrap/>
              <w:overflowPunct/>
              <w:topLinePunct w:val="0"/>
              <w:bidi w:val="0"/>
              <w:snapToGrid/>
              <w:spacing w:line="360" w:lineRule="auto"/>
              <w:ind w:left="0" w:leftChars="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为支持和促进中小企业发展，发挥政府采购政策导向作用，进一步解决中小微企业融资难、融资贵的问题，陕西省财政厅印发了《陕西省中小企业政府采购信用融资办法》（陕财办采〔2018〕23号）和《陕西省财政厅关于加快推进我省中小企业政府采购信用融资工作的通知》（陕财办采〔2020〕15号）。有融资需求的供应商可凭政府采购中标（成交）通知书、政府采购合同等相关资料，按照文件规定的程序申请办理，具体规定可登录“陕西省政府采购网-陕西省政府采购信用融资平台（http://www.ccgp-shaanxi.gov.cn/zcdservice/zcd/shanxi/）”了解。</w:t>
            </w:r>
          </w:p>
        </w:tc>
      </w:tr>
      <w:tr w14:paraId="4398C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27" w:type="dxa"/>
            <w:gridSpan w:val="3"/>
            <w:vAlign w:val="center"/>
          </w:tcPr>
          <w:p w14:paraId="616A3C51">
            <w:pPr>
              <w:keepNext w:val="0"/>
              <w:keepLines w:val="0"/>
              <w:pageBreakBefore w:val="0"/>
              <w:kinsoku/>
              <w:wordWrap/>
              <w:overflowPunct/>
              <w:topLinePunct w:val="0"/>
              <w:bidi w:val="0"/>
              <w:snapToGrid/>
              <w:spacing w:line="360" w:lineRule="auto"/>
              <w:ind w:left="0" w:leftChars="0" w:firstLine="420" w:firstLineChars="200"/>
              <w:textAlignment w:val="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供应商须在磋商前完成陕西省政府采购网入库，具体详见陕西省政府采购网《陕西省财政厅关于政府采购供应商注册登记有关事项的通知》</w:t>
            </w:r>
          </w:p>
          <w:p w14:paraId="6EA4A4EF">
            <w:pPr>
              <w:pStyle w:val="11"/>
              <w:ind w:firstLine="420" w:firstLineChars="200"/>
              <w:rPr>
                <w:rFonts w:hint="eastAsia"/>
              </w:rPr>
            </w:pPr>
            <w:r>
              <w:rPr>
                <w:rFonts w:hint="eastAsia" w:ascii="宋体" w:hAnsi="宋体" w:eastAsia="宋体" w:cs="宋体"/>
                <w:b w:val="0"/>
                <w:bCs/>
                <w:color w:val="auto"/>
                <w:sz w:val="21"/>
                <w:szCs w:val="21"/>
              </w:rPr>
              <w:t>本磋商文件未明确的其他事项，按照有关法律、法规或省市有关规定执行。</w:t>
            </w:r>
          </w:p>
        </w:tc>
      </w:tr>
      <w:bookmarkEnd w:id="7"/>
      <w:bookmarkEnd w:id="8"/>
    </w:tbl>
    <w:p w14:paraId="579365B1">
      <w:pPr>
        <w:widowControl/>
        <w:spacing w:line="460" w:lineRule="atLeast"/>
        <w:jc w:val="left"/>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4CB127D8">
      <w:pPr>
        <w:pStyle w:val="31"/>
        <w:spacing w:before="381" w:after="381" w:line="460" w:lineRule="atLeast"/>
        <w:rPr>
          <w:rFonts w:hint="eastAsia" w:ascii="宋体" w:hAnsi="宋体" w:eastAsia="宋体" w:cs="宋体"/>
          <w:color w:val="auto"/>
          <w:highlight w:val="none"/>
        </w:rPr>
      </w:pPr>
      <w:r>
        <w:rPr>
          <w:rFonts w:hint="eastAsia" w:ascii="宋体" w:hAnsi="宋体" w:eastAsia="宋体" w:cs="宋体"/>
          <w:color w:val="auto"/>
          <w:highlight w:val="none"/>
        </w:rPr>
        <w:t>供应商须知</w:t>
      </w:r>
    </w:p>
    <w:p w14:paraId="43525C90">
      <w:pPr>
        <w:pStyle w:val="32"/>
        <w:spacing w:before="190" w:after="190" w:line="460" w:lineRule="atLeast"/>
        <w:rPr>
          <w:rFonts w:hint="eastAsia" w:ascii="宋体" w:hAnsi="宋体" w:cs="宋体"/>
          <w:color w:val="auto"/>
          <w:highlight w:val="none"/>
        </w:rPr>
      </w:pPr>
      <w:r>
        <w:rPr>
          <w:rFonts w:hint="eastAsia" w:ascii="宋体" w:hAnsi="宋体" w:cs="宋体"/>
          <w:color w:val="auto"/>
          <w:highlight w:val="none"/>
        </w:rPr>
        <w:t>一、总则</w:t>
      </w:r>
    </w:p>
    <w:p w14:paraId="49B5EB03">
      <w:pPr>
        <w:pStyle w:val="34"/>
        <w:spacing w:line="460" w:lineRule="atLeast"/>
        <w:ind w:firstLine="422"/>
        <w:rPr>
          <w:rFonts w:hint="eastAsia" w:ascii="宋体" w:hAnsi="宋体" w:cs="宋体"/>
          <w:b/>
          <w:color w:val="auto"/>
          <w:sz w:val="21"/>
          <w:szCs w:val="20"/>
          <w:highlight w:val="none"/>
        </w:rPr>
      </w:pPr>
      <w:r>
        <w:rPr>
          <w:rFonts w:hint="eastAsia" w:ascii="宋体" w:hAnsi="宋体" w:cs="宋体"/>
          <w:b/>
          <w:color w:val="auto"/>
          <w:sz w:val="21"/>
          <w:szCs w:val="20"/>
          <w:highlight w:val="none"/>
        </w:rPr>
        <w:t>1.适用范围</w:t>
      </w:r>
    </w:p>
    <w:p w14:paraId="63059EBD">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1.1本磋商文件仅适用于本次竞争性磋商采购项目。</w:t>
      </w:r>
    </w:p>
    <w:p w14:paraId="69A7B1E4">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1.2、本磋商文件的最终解释权由采购人名称和采购代理机构享有。对磋商文件中供应商参加本次政府采购活动应当具备的条件，磋商项目技术、服务、商务及其他要求，评审细则及标准由采购人名称负责解释。除上述磋商文件内容，其他内容由</w:t>
      </w:r>
      <w:r>
        <w:rPr>
          <w:rFonts w:hint="eastAsia" w:ascii="宋体" w:hAnsi="宋体" w:cs="宋体"/>
          <w:color w:val="auto"/>
          <w:sz w:val="21"/>
          <w:szCs w:val="20"/>
          <w:highlight w:val="none"/>
          <w:lang w:eastAsia="zh-CN"/>
        </w:rPr>
        <w:t>陕西益森工程咨询有限公司</w:t>
      </w:r>
      <w:r>
        <w:rPr>
          <w:rFonts w:hint="eastAsia" w:ascii="宋体" w:hAnsi="宋体" w:cs="宋体"/>
          <w:color w:val="auto"/>
          <w:sz w:val="21"/>
          <w:szCs w:val="20"/>
          <w:highlight w:val="none"/>
        </w:rPr>
        <w:t>负责解释。</w:t>
      </w:r>
    </w:p>
    <w:p w14:paraId="616073FC">
      <w:pPr>
        <w:pStyle w:val="34"/>
        <w:spacing w:line="460" w:lineRule="atLeast"/>
        <w:ind w:firstLine="422"/>
        <w:rPr>
          <w:rFonts w:hint="eastAsia" w:ascii="宋体" w:hAnsi="宋体" w:cs="宋体"/>
          <w:b/>
          <w:color w:val="auto"/>
          <w:sz w:val="21"/>
          <w:szCs w:val="20"/>
          <w:highlight w:val="none"/>
        </w:rPr>
      </w:pPr>
      <w:r>
        <w:rPr>
          <w:rFonts w:hint="eastAsia" w:ascii="宋体" w:hAnsi="宋体" w:cs="宋体"/>
          <w:b/>
          <w:color w:val="auto"/>
          <w:sz w:val="21"/>
          <w:szCs w:val="20"/>
          <w:highlight w:val="none"/>
        </w:rPr>
        <w:t>2.有关定义</w:t>
      </w:r>
    </w:p>
    <w:p w14:paraId="4C4E6390">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2.1采购人是指依法进行政府采购的各级国家机关、事业单位、团体组织。本次磋商的采购人见供应商须知前附表。</w:t>
      </w:r>
    </w:p>
    <w:p w14:paraId="764E5D0E">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2.2监督机构是指政府采购行政监督管理部门。本次采购的监督机构见供应商须知前附表。</w:t>
      </w:r>
    </w:p>
    <w:p w14:paraId="3754E8CF">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2.3采购代理机构是指政府采购集中采购机构和从事政府采购代理业务的社会中介机构。本项目的代理机构见供应商须知前附表。</w:t>
      </w:r>
    </w:p>
    <w:p w14:paraId="4F741774">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2.4供应商是指在按照磋商公告规定获取磋商文件，拟参加响应和向采购人提供货物、工程或服务的法人、其他组织或自然人。</w:t>
      </w:r>
    </w:p>
    <w:p w14:paraId="33B49735">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2.5联合体是指两个以上的自然人、法人或者其他组织组成一个联合体，以一个供应商的身份共同参加政府采购。</w:t>
      </w:r>
    </w:p>
    <w:p w14:paraId="32198C78">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2.6 节能产品是指财政部、发展改革委、生态环境部等部门发布的《节能产品品目清单》中的产品。</w:t>
      </w:r>
    </w:p>
    <w:p w14:paraId="192EA49F">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2.7 环境标志产品是指财政部、发展改革委、生态环境部等部门发布的《环境标志产品品目清单》中的产品。</w:t>
      </w:r>
    </w:p>
    <w:p w14:paraId="2D6E371D">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2.8 进口产品是指通过中国海关报关验放进入中国境内且产自关境外的产品，详见《关于政府采购进口产品管理有关问题的通知》(财库[2007]119号)。</w:t>
      </w:r>
    </w:p>
    <w:p w14:paraId="784514B8">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2.9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 号）、《政府采购促进中小企业发展管理办法》（财库〔2020〕46 号）、《关于印发中小企业划型标准规定的通知》（工信部联企业〔2011〕300号）。</w:t>
      </w:r>
    </w:p>
    <w:p w14:paraId="0D38D819">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2.10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8C6F74B">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2.11 残疾人福利性单位是指符合《财政部、民政部、中国残疾人联合会关于促进残疾人就业政府采购政策的通知》（财库〔2017〕141号）规定条件的单位。</w:t>
      </w:r>
    </w:p>
    <w:p w14:paraId="6409EBA2">
      <w:pPr>
        <w:pStyle w:val="32"/>
        <w:spacing w:before="190" w:after="190" w:line="460" w:lineRule="atLeast"/>
        <w:rPr>
          <w:rFonts w:hint="eastAsia" w:ascii="宋体" w:hAnsi="宋体" w:cs="宋体"/>
          <w:color w:val="auto"/>
          <w:highlight w:val="none"/>
        </w:rPr>
      </w:pPr>
      <w:r>
        <w:rPr>
          <w:rFonts w:hint="eastAsia" w:ascii="宋体" w:hAnsi="宋体" w:cs="宋体"/>
          <w:color w:val="auto"/>
          <w:highlight w:val="none"/>
        </w:rPr>
        <w:t>二、磋商文件</w:t>
      </w:r>
    </w:p>
    <w:p w14:paraId="6BA19B90">
      <w:pPr>
        <w:pStyle w:val="34"/>
        <w:spacing w:line="460" w:lineRule="atLeast"/>
        <w:ind w:firstLine="422"/>
        <w:rPr>
          <w:rFonts w:hint="eastAsia" w:ascii="宋体" w:hAnsi="宋体" w:cs="宋体"/>
          <w:b/>
          <w:color w:val="auto"/>
          <w:sz w:val="21"/>
          <w:szCs w:val="20"/>
          <w:highlight w:val="none"/>
        </w:rPr>
      </w:pPr>
      <w:r>
        <w:rPr>
          <w:rFonts w:hint="eastAsia" w:ascii="宋体" w:hAnsi="宋体" w:cs="宋体"/>
          <w:b/>
          <w:color w:val="auto"/>
          <w:sz w:val="21"/>
          <w:szCs w:val="20"/>
          <w:highlight w:val="none"/>
        </w:rPr>
        <w:t>3.磋商文件的构成</w:t>
      </w:r>
    </w:p>
    <w:p w14:paraId="31D9CADD">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3.1磋商文件是本次采购活动的基本依据，也是供应商准备响应文件、参加采购活动的依据。磋商文件包括供应商资格条件、采购邀请、采购方式、采购预算、采购需求、政府采购政策要求、评审程序、评审方法、评审标准、价格构成或者报价要求、响应文件编制要求、保证金交纳数额和形式以及不予退还保证金的情形、磋商过程中可能实质性变动的内容、响应文件提交的截止时间、开启时间及地点以及合同草案条款等。</w:t>
      </w:r>
    </w:p>
    <w:p w14:paraId="0B485B54">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3.2本磋商文件包括以下内容：</w:t>
      </w:r>
    </w:p>
    <w:p w14:paraId="71E44D3A">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（1）竞争性磋商公告；</w:t>
      </w:r>
    </w:p>
    <w:p w14:paraId="5E738E3F">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（2）供应商须知；</w:t>
      </w:r>
    </w:p>
    <w:p w14:paraId="1225018C">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（3）资格审查；</w:t>
      </w:r>
    </w:p>
    <w:p w14:paraId="30B91899">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（4）磋商办法；</w:t>
      </w:r>
    </w:p>
    <w:p w14:paraId="47F17D06">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（5）磋商内容及采购要求；</w:t>
      </w:r>
    </w:p>
    <w:p w14:paraId="1656280C">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（6）合同草案条款</w:t>
      </w:r>
    </w:p>
    <w:p w14:paraId="024B182C">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（7）响应文件格式。</w:t>
      </w:r>
    </w:p>
    <w:p w14:paraId="15EB1239">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3.2供应商应认真阅读和充分理解磋商文件中所有的事项、格式条款和规范要求。供应商应按照磋商文件要求交响应文件并保证所供的全部资料的真实性，并对磋商文件做出实质性响应，否则响应无效。</w:t>
      </w:r>
    </w:p>
    <w:p w14:paraId="7626DE10">
      <w:pPr>
        <w:pStyle w:val="34"/>
        <w:spacing w:line="460" w:lineRule="atLeast"/>
        <w:ind w:firstLine="422"/>
        <w:rPr>
          <w:rFonts w:hint="eastAsia" w:ascii="宋体" w:hAnsi="宋体" w:cs="宋体"/>
          <w:b/>
          <w:color w:val="auto"/>
          <w:sz w:val="21"/>
          <w:szCs w:val="20"/>
          <w:highlight w:val="none"/>
        </w:rPr>
      </w:pPr>
      <w:r>
        <w:rPr>
          <w:rFonts w:hint="eastAsia" w:ascii="宋体" w:hAnsi="宋体" w:cs="宋体"/>
          <w:b/>
          <w:color w:val="auto"/>
          <w:sz w:val="21"/>
          <w:szCs w:val="20"/>
          <w:highlight w:val="none"/>
        </w:rPr>
        <w:t>4.磋商文件的澄清和修改</w:t>
      </w:r>
    </w:p>
    <w:p w14:paraId="4C21F5FC">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4.1在提交首次响应文件截止时间前，采购人或者代理机构可以对已发出的磋商文件进行必要的澄清或者修改。采购人、采购代理机构或者磋商小组对已发出的磋商文件进行必要澄清或者修改的，将以书面形式通知所有获取磋商文件的潜在供应商。</w:t>
      </w:r>
    </w:p>
    <w:p w14:paraId="4DE6AD39">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4.2 澄清或者修改的内容为磋商文件的组成部分，并对所有获取磋商文件的潜在供应商具有约束力。采购人或者代理机构将在陕西省政府采购网发布更正公告，供应商应及时关注本项目更正公告信息，按更正后公告要求进行响应。若供应商未按前述要求进行响应的，自行承担不利后果。</w:t>
      </w:r>
    </w:p>
    <w:p w14:paraId="25903408">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4.3 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p>
    <w:p w14:paraId="2828E5F5">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4.4 当竞争性磋商文件的澄清、答复、修改或补充通知与磋商文件就同一内容表述不一致时，以最后发出的书面文件内容为准。</w:t>
      </w:r>
    </w:p>
    <w:p w14:paraId="440AB3AE">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4.5 上述书面通知，按照获取磋商文件的潜在供应商提供的联系方式发出，因提供的信息有误导致通知延迟或无法通知的，采购人或采购代理机构不承担责任。</w:t>
      </w:r>
    </w:p>
    <w:p w14:paraId="699C0595">
      <w:pPr>
        <w:pStyle w:val="32"/>
        <w:spacing w:before="190" w:after="190" w:line="460" w:lineRule="atLeast"/>
        <w:rPr>
          <w:rFonts w:hint="eastAsia" w:ascii="宋体" w:hAnsi="宋体" w:cs="宋体"/>
          <w:color w:val="auto"/>
          <w:highlight w:val="none"/>
        </w:rPr>
      </w:pPr>
      <w:r>
        <w:rPr>
          <w:rFonts w:hint="eastAsia" w:ascii="宋体" w:hAnsi="宋体" w:cs="宋体"/>
          <w:color w:val="auto"/>
          <w:highlight w:val="none"/>
        </w:rPr>
        <w:t>三、响应文件的编制</w:t>
      </w:r>
    </w:p>
    <w:p w14:paraId="218F0A22">
      <w:pPr>
        <w:pStyle w:val="34"/>
        <w:spacing w:line="460" w:lineRule="atLeast"/>
        <w:ind w:firstLine="422"/>
        <w:rPr>
          <w:rFonts w:hint="eastAsia" w:ascii="宋体" w:hAnsi="宋体" w:cs="宋体"/>
          <w:b/>
          <w:color w:val="auto"/>
          <w:sz w:val="21"/>
          <w:szCs w:val="20"/>
          <w:highlight w:val="none"/>
        </w:rPr>
      </w:pPr>
      <w:r>
        <w:rPr>
          <w:rFonts w:hint="eastAsia" w:ascii="宋体" w:hAnsi="宋体" w:cs="宋体"/>
          <w:b/>
          <w:color w:val="auto"/>
          <w:sz w:val="21"/>
          <w:szCs w:val="20"/>
          <w:highlight w:val="none"/>
        </w:rPr>
        <w:t>5.响应文件的语言</w:t>
      </w:r>
    </w:p>
    <w:p w14:paraId="07848E80">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5.1 供应商提交的响应文件以及供应商与磋商小组在磋商过程中的所有来往书面文件均须使用中文。响应文件中如附有外文资料，主要部分要对应翻译成中文并附在相关外文资料后面。未翻译的外文资料，磋商小组将视其为无效材料。</w:t>
      </w:r>
    </w:p>
    <w:p w14:paraId="035B774E">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5.2 翻译的中文资料与外文资料如果出现差异和矛盾时，以中文为准。涉嫌提供虚假材料的按照相关法律法规处理。</w:t>
      </w:r>
    </w:p>
    <w:p w14:paraId="66FCA4A7">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5.3 如因未翻译而造成对供应商的不利后果，由供应商承担。</w:t>
      </w:r>
    </w:p>
    <w:p w14:paraId="05459927">
      <w:pPr>
        <w:pStyle w:val="34"/>
        <w:spacing w:line="460" w:lineRule="atLeast"/>
        <w:ind w:firstLine="422"/>
        <w:rPr>
          <w:rFonts w:hint="eastAsia" w:ascii="宋体" w:hAnsi="宋体" w:cs="宋体"/>
          <w:b/>
          <w:color w:val="auto"/>
          <w:sz w:val="21"/>
          <w:szCs w:val="20"/>
          <w:highlight w:val="none"/>
        </w:rPr>
      </w:pPr>
      <w:r>
        <w:rPr>
          <w:rFonts w:hint="eastAsia" w:ascii="宋体" w:hAnsi="宋体" w:cs="宋体"/>
          <w:b/>
          <w:color w:val="auto"/>
          <w:sz w:val="21"/>
          <w:szCs w:val="20"/>
          <w:highlight w:val="none"/>
        </w:rPr>
        <w:t>6.计量单位</w:t>
      </w:r>
    </w:p>
    <w:p w14:paraId="5A1111A8">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除磋商文件中另有规定外，本项目均采用国家法定的计量单位。</w:t>
      </w:r>
    </w:p>
    <w:p w14:paraId="5BDF457A">
      <w:pPr>
        <w:pStyle w:val="34"/>
        <w:spacing w:line="460" w:lineRule="atLeast"/>
        <w:ind w:firstLine="422"/>
        <w:rPr>
          <w:rFonts w:hint="eastAsia" w:ascii="宋体" w:hAnsi="宋体" w:cs="宋体"/>
          <w:b/>
          <w:color w:val="auto"/>
          <w:sz w:val="21"/>
          <w:szCs w:val="20"/>
          <w:highlight w:val="none"/>
        </w:rPr>
      </w:pPr>
      <w:r>
        <w:rPr>
          <w:rFonts w:hint="eastAsia" w:ascii="宋体" w:hAnsi="宋体" w:cs="宋体"/>
          <w:b/>
          <w:color w:val="auto"/>
          <w:sz w:val="21"/>
          <w:szCs w:val="20"/>
          <w:highlight w:val="none"/>
        </w:rPr>
        <w:t>7.响应货币</w:t>
      </w:r>
    </w:p>
    <w:p w14:paraId="1F79454B">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本项目均以人民币报价。</w:t>
      </w:r>
    </w:p>
    <w:p w14:paraId="0A641E46">
      <w:pPr>
        <w:pStyle w:val="34"/>
        <w:spacing w:line="460" w:lineRule="atLeast"/>
        <w:ind w:firstLine="422"/>
        <w:rPr>
          <w:rFonts w:hint="eastAsia" w:ascii="宋体" w:hAnsi="宋体" w:cs="宋体"/>
          <w:b/>
          <w:color w:val="auto"/>
          <w:sz w:val="21"/>
          <w:szCs w:val="20"/>
          <w:highlight w:val="none"/>
        </w:rPr>
      </w:pPr>
      <w:r>
        <w:rPr>
          <w:rFonts w:hint="eastAsia" w:ascii="宋体" w:hAnsi="宋体" w:cs="宋体"/>
          <w:b/>
          <w:color w:val="auto"/>
          <w:sz w:val="21"/>
          <w:szCs w:val="20"/>
          <w:highlight w:val="none"/>
        </w:rPr>
        <w:t>8.响应范围</w:t>
      </w:r>
    </w:p>
    <w:p w14:paraId="3DEA169B">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8.1 本项目如划分采购包，供应商可以对本项目的其中一个采购包进行响应，也可同时对多个采购包进行响应。供应商应当对所参与采购包对应第五章《磋商内容及采购要求》所列的全部内容进行响应，不得将一个采购包中的内容拆分响应，否则其对该采购包的响应将被认定为无效响应。</w:t>
      </w:r>
    </w:p>
    <w:p w14:paraId="58721478">
      <w:pPr>
        <w:pStyle w:val="34"/>
        <w:spacing w:line="460" w:lineRule="atLeast"/>
        <w:ind w:firstLine="422"/>
        <w:rPr>
          <w:rFonts w:hint="eastAsia" w:ascii="宋体" w:hAnsi="宋体" w:cs="宋体"/>
          <w:b/>
          <w:color w:val="auto"/>
          <w:sz w:val="21"/>
          <w:szCs w:val="20"/>
          <w:highlight w:val="none"/>
        </w:rPr>
      </w:pPr>
      <w:r>
        <w:rPr>
          <w:rFonts w:hint="eastAsia" w:ascii="宋体" w:hAnsi="宋体" w:cs="宋体"/>
          <w:b/>
          <w:color w:val="auto"/>
          <w:sz w:val="21"/>
          <w:szCs w:val="20"/>
          <w:highlight w:val="none"/>
        </w:rPr>
        <w:t>9.响应文件构成</w:t>
      </w:r>
    </w:p>
    <w:p w14:paraId="2B882978">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9.1 供应商应当按照磋商文件的要求编制响应文件，并对其交的响应文件的真实性、合法性承担法律责任。响应文件的部分格式要求，见第七章《响应文件格式》。</w:t>
      </w:r>
    </w:p>
    <w:p w14:paraId="21ABAD53">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9.2 对于磋商文件成交记了实质性格式文件的，供应商不得改变格式中给定的文字所表达的含义，不得删减格式中的实质性内容，不得自行添加与格式中给定的文字内容相矛盾的内容，不得对应当填写的空格不填写或不实质性响应，否则响应无效。未标记实质性格式的文件和磋商文件未提供格式的内容，可由供应商自行编写。</w:t>
      </w:r>
    </w:p>
    <w:p w14:paraId="5224FCA1">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9.3 第三章《资格审查》和第四章《磋商办法》中涉及的证明文件。</w:t>
      </w:r>
    </w:p>
    <w:p w14:paraId="6FFC7E28">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9.4 对照第五章《磋商内容及采购要求》，说明所提供货物和服务已对第五章《磋商内容及采购要求》做出了响应，或申明与第五章《磋商内容及采购要求》的偏差和例外。如第五章《磋商内容及采购要求》中要求提供证明文件的，供应商应当按具体要求提供证明文件。</w:t>
      </w:r>
    </w:p>
    <w:p w14:paraId="4480C449">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9.5 供应商认为应附的其他材料。</w:t>
      </w:r>
    </w:p>
    <w:p w14:paraId="1AF6F2D2">
      <w:pPr>
        <w:pStyle w:val="34"/>
        <w:spacing w:line="460" w:lineRule="atLeast"/>
        <w:ind w:firstLine="422"/>
        <w:rPr>
          <w:rFonts w:hint="eastAsia" w:ascii="宋体" w:hAnsi="宋体" w:cs="宋体"/>
          <w:b/>
          <w:color w:val="auto"/>
          <w:sz w:val="21"/>
          <w:szCs w:val="20"/>
          <w:highlight w:val="none"/>
        </w:rPr>
      </w:pPr>
      <w:r>
        <w:rPr>
          <w:rFonts w:hint="eastAsia" w:ascii="宋体" w:hAnsi="宋体" w:cs="宋体"/>
          <w:b/>
          <w:color w:val="auto"/>
          <w:sz w:val="21"/>
          <w:szCs w:val="20"/>
          <w:highlight w:val="none"/>
        </w:rPr>
        <w:t>10.知识产权</w:t>
      </w:r>
    </w:p>
    <w:p w14:paraId="0ECE3503">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10.1 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17D47BF3">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10.2 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4DA3D42C">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10.3 如采用供应商所不拥有的知识产权，则在报价中必须包括合法使用该知识产权的相关费用。</w:t>
      </w:r>
    </w:p>
    <w:p w14:paraId="210F6CFC">
      <w:pPr>
        <w:pStyle w:val="34"/>
        <w:spacing w:line="460" w:lineRule="atLeast"/>
        <w:ind w:firstLine="422"/>
        <w:rPr>
          <w:rFonts w:hint="eastAsia" w:ascii="宋体" w:hAnsi="宋体" w:cs="宋体"/>
          <w:b/>
          <w:color w:val="auto"/>
          <w:sz w:val="21"/>
          <w:szCs w:val="20"/>
          <w:highlight w:val="none"/>
        </w:rPr>
      </w:pPr>
      <w:r>
        <w:rPr>
          <w:rFonts w:hint="eastAsia" w:ascii="宋体" w:hAnsi="宋体" w:cs="宋体"/>
          <w:b/>
          <w:color w:val="auto"/>
          <w:sz w:val="21"/>
          <w:szCs w:val="20"/>
          <w:highlight w:val="none"/>
        </w:rPr>
        <w:t>11.响应报价</w:t>
      </w:r>
    </w:p>
    <w:p w14:paraId="67D4C095">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11.1供应商的报价应包括为完成本项目所发生的一切费用和税费，采购人将不再支付报价以外的任何费用。供应商的报价应包括但不限于下列内容，供应商须知前附表中有特殊规定的，从其规定。</w:t>
      </w:r>
    </w:p>
    <w:p w14:paraId="67ED0771">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11.2按照磋商文件要求完成本项目的全部相关费用。</w:t>
      </w:r>
    </w:p>
    <w:p w14:paraId="0B4368CC">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11.3 供应商不能供任何有选择性或可调整的最后报价（磋商文件另有规定的除外），否则其响应无效。</w:t>
      </w:r>
    </w:p>
    <w:p w14:paraId="34181F6B">
      <w:pPr>
        <w:pStyle w:val="34"/>
        <w:spacing w:line="460" w:lineRule="atLeast"/>
        <w:ind w:firstLine="422"/>
        <w:rPr>
          <w:rFonts w:hint="eastAsia" w:ascii="宋体" w:hAnsi="宋体" w:cs="宋体"/>
          <w:b/>
          <w:color w:val="auto"/>
          <w:sz w:val="21"/>
          <w:szCs w:val="20"/>
          <w:highlight w:val="none"/>
        </w:rPr>
      </w:pPr>
      <w:r>
        <w:rPr>
          <w:rFonts w:hint="eastAsia" w:ascii="宋体" w:hAnsi="宋体" w:cs="宋体"/>
          <w:b/>
          <w:color w:val="auto"/>
          <w:sz w:val="21"/>
          <w:szCs w:val="20"/>
          <w:highlight w:val="none"/>
        </w:rPr>
        <w:t>12.磋商保证金</w:t>
      </w:r>
    </w:p>
    <w:p w14:paraId="1C7A2663">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12.1 供应商应按供应商须知前附表中规定的金额及要求交纳磋商保证金。</w:t>
      </w:r>
    </w:p>
    <w:p w14:paraId="151F67A1">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12.2 交纳磋商保证金可采用的形式：政府采购法律法规接受的支票、汇票、本票、</w:t>
      </w:r>
    </w:p>
    <w:p w14:paraId="70D73FC9">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网上银行支付或者金融机构、担保机构出具的保函等非现金形式。</w:t>
      </w:r>
    </w:p>
    <w:p w14:paraId="0CB6F9FC">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12.3 磋商保证金到账（保函交）截止时间同首次响应文件交截止时间。以支票、汇票、本票、网上银行支付等形式交磋商保证金的，应在首次响应文件交截止时间前到账；以金融机构、担保机构出具的保函等形式交磋商保证金的，应在首次响应文件交截止时间前将原件交至采购代理机构；由于到账时间晚于首次响应文件交截止时间的，或者票据错误、印鉴不清等原因导致不能到账的，其响应无效。</w:t>
      </w:r>
    </w:p>
    <w:p w14:paraId="62A0E4AE">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12.4 磋商保证金有效期同响应有效期。</w:t>
      </w:r>
    </w:p>
    <w:p w14:paraId="5171C086">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12.5 供应商为联合体的，可以由联合体中的一方或者多方共同交纳磋商保证金，其交纳的保证金对联合体各方均具有约束力。</w:t>
      </w:r>
    </w:p>
    <w:p w14:paraId="13F3C24E">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12.6 换取提交磋商保证金收据</w:t>
      </w:r>
    </w:p>
    <w:p w14:paraId="0971D3DA">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12.6.1供应商在确认保证金到账后，凭相关资料到采购代理机构财务部门办理磋商保证金换票手续。</w:t>
      </w:r>
    </w:p>
    <w:p w14:paraId="6ED8F76F">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12.6.2换取提交磋商保证金票据时，供应商应向采购代理机构提供以下资料：</w:t>
      </w:r>
    </w:p>
    <w:p w14:paraId="149941BB">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（1）交纳保证金的银行回单（进账单、电汇单、电子回单）原件，或加盖供应商单位章的复印件；</w:t>
      </w:r>
    </w:p>
    <w:p w14:paraId="567B65B2">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（2）基本存款账户开户许可证复印件或者基本存款账户编号说明（仅限开户许可证取消后成立的公司）并加盖单位章。</w:t>
      </w:r>
    </w:p>
    <w:p w14:paraId="56F9316F">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12.6.3供应商未按本章要求提交磋商保证金的，其响应文件无效。</w:t>
      </w:r>
    </w:p>
    <w:p w14:paraId="30EA4C03">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12.7采购人、采购代理机构将及时退还供应商的保证金，采用银行保函、担保机构担保函等形式递交的保证金，经供应商同意后采购人、采购代理机构可以不再退还，但因供应商自身原因导致无法及时退还的除外：</w:t>
      </w:r>
    </w:p>
    <w:p w14:paraId="2772DD04">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12.7.1 已提交响应文件的供应商，在提交最后报价之前，可以根据磋商情况退出磋商。采购人、采购代理机构将退还退出磋商的供应商的磋商保证金；</w:t>
      </w:r>
    </w:p>
    <w:p w14:paraId="7C95B8B1">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12.7.2 成交供应商的磋商保证金，在采购合同签订后5个工作日内退还成交供应商；</w:t>
      </w:r>
    </w:p>
    <w:p w14:paraId="16DB6121">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12.7.3 未成交供应商的磋商保证金，在成交通知书发出后5个工作日内退还。</w:t>
      </w:r>
    </w:p>
    <w:p w14:paraId="7929E828">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12.8 有下列情形之一的，采购人或采购代理机构不予退还磋商保证金：</w:t>
      </w:r>
    </w:p>
    <w:p w14:paraId="57BC3713">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12.8.1 供应商在提交响应文件截止时间后撤回响应文件的；</w:t>
      </w:r>
    </w:p>
    <w:p w14:paraId="6A99A725">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12.8.2 供应商在响应文件中提供虚假材料的；</w:t>
      </w:r>
    </w:p>
    <w:p w14:paraId="23AE2F14">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12.8.3 除因不可抗力或磋商文件认可的情形以外，成交供应商不与采购人签订合同的；</w:t>
      </w:r>
    </w:p>
    <w:p w14:paraId="6C50D6AC">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12.8.4 供应商与采购人、其他供应商或者采购代理机构恶意串通的；</w:t>
      </w:r>
    </w:p>
    <w:p w14:paraId="74487E77">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12.8.5 供应商须知前附表规定的其他情形。</w:t>
      </w:r>
    </w:p>
    <w:p w14:paraId="1C289059">
      <w:pPr>
        <w:pStyle w:val="34"/>
        <w:spacing w:line="460" w:lineRule="atLeast"/>
        <w:ind w:firstLine="422"/>
        <w:rPr>
          <w:rFonts w:hint="eastAsia" w:ascii="宋体" w:hAnsi="宋体" w:cs="宋体"/>
          <w:b/>
          <w:color w:val="auto"/>
          <w:sz w:val="21"/>
          <w:szCs w:val="20"/>
          <w:highlight w:val="none"/>
        </w:rPr>
      </w:pPr>
      <w:r>
        <w:rPr>
          <w:rFonts w:hint="eastAsia" w:ascii="宋体" w:hAnsi="宋体" w:cs="宋体"/>
          <w:b/>
          <w:color w:val="auto"/>
          <w:sz w:val="21"/>
          <w:szCs w:val="20"/>
          <w:highlight w:val="none"/>
        </w:rPr>
        <w:t>13.响应有效期</w:t>
      </w:r>
    </w:p>
    <w:p w14:paraId="5B365636">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13.1 响应有效期详见第二章供应商须知中供应商须知前附表，在此期间响应文件对供应商具有法律约束力，从供应商须知前附表规定的递交首次响应文件截止时间之日起计算。响应文件中必须载明磋商有效期，载明的磋商有效期可以长于磋商文件规定的期限，但不得短于磋商文件规定的期限，否则，属于非实质性响应，其响应文件按无效处理。</w:t>
      </w:r>
    </w:p>
    <w:p w14:paraId="4E963214">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13.2 出现特殊情况需要延长磋商有效期的，采购代理机构或采购人可于磋商有效期满之前，以书面形式通知所有供应商延长磋商有效期。供应商应予书面答复，同意延长的，应相应延长其磋商保证金有效期，但不得要求或被允许修改其响应文件；供应商拒绝延长的，其响应文件失效，但供应商有权收回其磋商保证金。</w:t>
      </w:r>
    </w:p>
    <w:p w14:paraId="730C08A6">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13.3 在磋商有效期内，供应商撤销响应文件的，应承担磋商文件和法律规定的责任。</w:t>
      </w:r>
    </w:p>
    <w:p w14:paraId="2FB4AAE9">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13.4 成交供应商的磋商有效期自动延长至合同终止为止。</w:t>
      </w:r>
    </w:p>
    <w:p w14:paraId="410D87FB">
      <w:pPr>
        <w:pStyle w:val="34"/>
        <w:spacing w:line="460" w:lineRule="atLeast"/>
        <w:ind w:firstLine="422"/>
        <w:rPr>
          <w:rFonts w:hint="eastAsia" w:ascii="宋体" w:hAnsi="宋体" w:cs="宋体"/>
          <w:b/>
          <w:color w:val="auto"/>
          <w:sz w:val="21"/>
          <w:szCs w:val="20"/>
          <w:highlight w:val="none"/>
        </w:rPr>
      </w:pPr>
      <w:r>
        <w:rPr>
          <w:rFonts w:hint="eastAsia" w:ascii="宋体" w:hAnsi="宋体" w:cs="宋体"/>
          <w:b/>
          <w:color w:val="auto"/>
          <w:sz w:val="21"/>
          <w:szCs w:val="20"/>
          <w:highlight w:val="none"/>
        </w:rPr>
        <w:t>14.响应文件的制作、签署、盖章</w:t>
      </w:r>
    </w:p>
    <w:p w14:paraId="3F269222">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14.1 响应文件应当按照第七章“响应文件格式”进行编写，如有必要，可以增加附页，作为响应文件的组成部分。除明确允许供应商可以自行编写外，供应商不得以“响应文件格式”规定之外的方式编写相关内容；否则，响应文件将作为无效响应文件处理。对于没有格式要求的由供应商自行编写。</w:t>
      </w:r>
    </w:p>
    <w:p w14:paraId="45C0F60C">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14.2 响应文件应填写供应商的全称，并与供应商的证件、证书保持一致，按照本章第14.4条款规定签名盖章。</w:t>
      </w:r>
    </w:p>
    <w:p w14:paraId="16AC0015">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14.3 供应商应当按照供应商须知前附表规定的份数准备响应文件正本、副本和相应的电子文件。正本和副本封面应清楚地标明“正本”或“副本”字样。当副本和正本有不一致的内容，以正本书面响应文件为准。</w:t>
      </w:r>
    </w:p>
    <w:p w14:paraId="5F8BD14F">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14.4响应文件应用不褪色的材料书写或打印，副本可采用正本的复印件。响应文件应由供应商的法定代表人（单位负责人）或其委托代理人签名和盖单位章。由供应商的法定代表人（单位负责人）签名的，应附法定代表人身份证明，由其委托代理人签名的，应附授权委托书。其中：磋商响应函必须由供应商的法定代表人（单位负责人）签名和盖单位章，授权委托书必须由供应商的法定代表人（单位负责人）签名和委托代理人签名并盖单位章，其余签名或者盖章即可，否则，按未实质性响应磋商文件处理，其响应文件无效。</w:t>
      </w:r>
    </w:p>
    <w:p w14:paraId="11E9BFEF">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14.5响应文件的打印或书写应清楚工整，尽量避免行间插字、涂改或增删。如出现上述情况，改动之处应由供应商的法定代表人或其委托代理人签名或盖单位章。字迹潦草、表达不清或可能导致非唯一理解的响应文件可能视为无效响应文件。</w:t>
      </w:r>
    </w:p>
    <w:p w14:paraId="4F74ED72">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14.6 响应文件的正本和副本一律采用A4纸幅面，并分别装订和编制目录，响应文件需分册装订的，具体分册装订要求见供应商须知前附表的规定。响应文件胶装后，页面不可抽取，不得有活动页，无破损、不可拆分。</w:t>
      </w:r>
    </w:p>
    <w:p w14:paraId="53C5FC0A">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14.7 电子文件制作要求。电子文件与纸质正本响应文件的内容应保持一致，具有同等法律效力。电子文件采用PDF格式，电子文件应采用优盘拷贝，优盘应具有项目名称和供应商名称标识。未按规定制作电子文件或开启现场优盘因自身原因导致无法读取的，其响应文件无效。</w:t>
      </w:r>
    </w:p>
    <w:p w14:paraId="6D62EC5D">
      <w:pPr>
        <w:pStyle w:val="32"/>
        <w:spacing w:before="190" w:after="190" w:line="460" w:lineRule="atLeast"/>
        <w:rPr>
          <w:rFonts w:hint="eastAsia" w:ascii="宋体" w:hAnsi="宋体" w:cs="宋体"/>
          <w:color w:val="auto"/>
          <w:highlight w:val="none"/>
        </w:rPr>
      </w:pPr>
      <w:r>
        <w:rPr>
          <w:rFonts w:hint="eastAsia" w:ascii="宋体" w:hAnsi="宋体" w:cs="宋体"/>
          <w:color w:val="auto"/>
          <w:highlight w:val="none"/>
        </w:rPr>
        <w:t>四、响应文件的密封和提交</w:t>
      </w:r>
    </w:p>
    <w:p w14:paraId="071298BC">
      <w:pPr>
        <w:pStyle w:val="34"/>
        <w:spacing w:line="460" w:lineRule="atLeast"/>
        <w:ind w:firstLine="422"/>
        <w:rPr>
          <w:rFonts w:hint="eastAsia" w:ascii="宋体" w:hAnsi="宋体" w:cs="宋体"/>
          <w:b/>
          <w:color w:val="auto"/>
          <w:sz w:val="21"/>
          <w:szCs w:val="20"/>
          <w:highlight w:val="none"/>
        </w:rPr>
      </w:pPr>
      <w:r>
        <w:rPr>
          <w:rFonts w:hint="eastAsia" w:ascii="宋体" w:hAnsi="宋体" w:cs="宋体"/>
          <w:b/>
          <w:color w:val="auto"/>
          <w:sz w:val="21"/>
          <w:szCs w:val="20"/>
          <w:highlight w:val="none"/>
        </w:rPr>
        <w:t>15. 响应文件的密封和标记</w:t>
      </w:r>
    </w:p>
    <w:p w14:paraId="6F7A1BF7">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15.1 供应商应将响应文件“正本”和“副本”及“电子版”分别密封在三个密封袋中，并在密封袋上标明“正本”和“副本”及“电子版”字样，封口处应加盖公章或授权代表签字。</w:t>
      </w:r>
    </w:p>
    <w:p w14:paraId="3A8FD15C">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15.2 密封袋上标识的内容见供应商须知前附表。响应文件如果未按上述规定密封和标记，采购代理机构应当拒绝接收。</w:t>
      </w:r>
    </w:p>
    <w:p w14:paraId="3A5F8F5D">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15.3 书面方式不能准确描述采购需求或者需要对样品进行主观判断以确认是否满足采购需求的情况下需提交样品。成交单位样品不予退还，成为合同内容的一部分，做为验收依据。样品的要求见供应商须知前附表。</w:t>
      </w:r>
    </w:p>
    <w:p w14:paraId="7F0BAD8F">
      <w:pPr>
        <w:pStyle w:val="34"/>
        <w:spacing w:line="460" w:lineRule="atLeast"/>
        <w:ind w:firstLine="422"/>
        <w:rPr>
          <w:rFonts w:hint="eastAsia" w:ascii="宋体" w:hAnsi="宋体" w:cs="宋体"/>
          <w:b/>
          <w:color w:val="auto"/>
          <w:sz w:val="21"/>
          <w:szCs w:val="20"/>
          <w:highlight w:val="none"/>
        </w:rPr>
      </w:pPr>
      <w:r>
        <w:rPr>
          <w:rFonts w:hint="eastAsia" w:ascii="宋体" w:hAnsi="宋体" w:cs="宋体"/>
          <w:b/>
          <w:color w:val="auto"/>
          <w:sz w:val="21"/>
          <w:szCs w:val="20"/>
          <w:highlight w:val="none"/>
        </w:rPr>
        <w:t>16. 响应文件递交截止时间</w:t>
      </w:r>
    </w:p>
    <w:p w14:paraId="7E0E51CA">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16.1 响应文件递交截止时间和地点见供应商须知前附表。</w:t>
      </w:r>
    </w:p>
    <w:p w14:paraId="0664A28E">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16.2 供应商须由其合法的授权人在响应文件递交截止时间之前将响应文件在响应文件递交地点送达采购人并签字确认。供应商须承担因未送达并签字所造成的一切责任。</w:t>
      </w:r>
    </w:p>
    <w:p w14:paraId="5DBCD1EA">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16.3 采购人可以按本须知第4条规定，通知修改磋商文件，适当延长响应文件递交截止时间。在此情况下，采购人和供应商受响应文件递交截止时间制约的所有权利和义务均应延长至新的截止期。</w:t>
      </w:r>
    </w:p>
    <w:p w14:paraId="2FCDDDEB">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16.4采购代理机构收到响应文件后，应当如实记载响应文件的送达时间、份数、密封情况和提交人等信息。</w:t>
      </w:r>
    </w:p>
    <w:p w14:paraId="07C74708">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16.5 除供应商须知前附表另有规定外，供应商提交的响应文件不予退还。</w:t>
      </w:r>
    </w:p>
    <w:p w14:paraId="02FCBC67">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16.6 本次磋商不接受邮寄的响应文件。</w:t>
      </w:r>
    </w:p>
    <w:p w14:paraId="34D45B43">
      <w:pPr>
        <w:pStyle w:val="34"/>
        <w:spacing w:line="460" w:lineRule="atLeast"/>
        <w:ind w:firstLine="422"/>
        <w:rPr>
          <w:rFonts w:hint="eastAsia" w:ascii="宋体" w:hAnsi="宋体" w:cs="宋体"/>
          <w:b/>
          <w:color w:val="auto"/>
          <w:sz w:val="21"/>
          <w:szCs w:val="20"/>
          <w:highlight w:val="none"/>
        </w:rPr>
      </w:pPr>
      <w:r>
        <w:rPr>
          <w:rFonts w:hint="eastAsia" w:ascii="宋体" w:hAnsi="宋体" w:cs="宋体"/>
          <w:b/>
          <w:color w:val="auto"/>
          <w:sz w:val="21"/>
          <w:szCs w:val="20"/>
          <w:highlight w:val="none"/>
        </w:rPr>
        <w:t>17. 迟交的响应文件</w:t>
      </w:r>
    </w:p>
    <w:p w14:paraId="51BDFAC0">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17.1 采购人将拒绝接收第16条规定的响应文件递交截止时间后递交的任何响应文件。</w:t>
      </w:r>
    </w:p>
    <w:p w14:paraId="00496754">
      <w:pPr>
        <w:pStyle w:val="34"/>
        <w:spacing w:line="460" w:lineRule="atLeast"/>
        <w:ind w:firstLine="422"/>
        <w:rPr>
          <w:rFonts w:hint="eastAsia" w:ascii="宋体" w:hAnsi="宋体" w:cs="宋体"/>
          <w:b/>
          <w:color w:val="auto"/>
          <w:sz w:val="21"/>
          <w:szCs w:val="20"/>
          <w:highlight w:val="none"/>
        </w:rPr>
      </w:pPr>
      <w:r>
        <w:rPr>
          <w:rFonts w:hint="eastAsia" w:ascii="宋体" w:hAnsi="宋体" w:cs="宋体"/>
          <w:b/>
          <w:color w:val="auto"/>
          <w:sz w:val="21"/>
          <w:szCs w:val="20"/>
          <w:highlight w:val="none"/>
        </w:rPr>
        <w:t>18. 响应文件的修改和撤回</w:t>
      </w:r>
    </w:p>
    <w:p w14:paraId="1B0DB13F">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18.1供应商在提交响应文件后可对其响应文件进行修改或撤回，但该修改或撤回的书面通知须在响应文件递交截止时间之前送达响应文件递交地点，且该通知需其法定代表人或经正式授权的供应商代表签字方为有效。</w:t>
      </w:r>
    </w:p>
    <w:p w14:paraId="77558C69">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18.2 供应商对响应文件修改的书面材料或撤回的通知应按第14和15条规定进行编写、密封、标注和递送，并注明“修改响应文件”或“撤回响应文件”字样。</w:t>
      </w:r>
    </w:p>
    <w:p w14:paraId="27F88E29">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18.3 在响应文件递交截止时间之后，供应商不得对其响应文件做任何修改。</w:t>
      </w:r>
    </w:p>
    <w:p w14:paraId="057271AC">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18.4 供应商不得在响应文件递交截止时间起至响应文件有效期期满前撤销其响应文件。</w:t>
      </w:r>
    </w:p>
    <w:p w14:paraId="127F7E7F">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18.5 供应商撤回响应文件的，采购代理机构自收到供应商书面撤回通知之日起5个工作日内退还已收取的磋商保证金。</w:t>
      </w:r>
    </w:p>
    <w:p w14:paraId="40248BA7">
      <w:pPr>
        <w:pStyle w:val="32"/>
        <w:spacing w:before="190" w:after="190" w:line="460" w:lineRule="atLeast"/>
        <w:rPr>
          <w:rFonts w:hint="eastAsia" w:ascii="宋体" w:hAnsi="宋体" w:cs="宋体"/>
          <w:color w:val="auto"/>
          <w:highlight w:val="none"/>
        </w:rPr>
      </w:pPr>
      <w:r>
        <w:rPr>
          <w:rFonts w:hint="eastAsia" w:ascii="宋体" w:hAnsi="宋体" w:cs="宋体"/>
          <w:color w:val="auto"/>
          <w:highlight w:val="none"/>
        </w:rPr>
        <w:t>五、评审与磋商</w:t>
      </w:r>
    </w:p>
    <w:p w14:paraId="550E6460">
      <w:pPr>
        <w:pStyle w:val="34"/>
        <w:spacing w:line="460" w:lineRule="atLeast"/>
        <w:ind w:firstLine="422"/>
        <w:rPr>
          <w:rFonts w:hint="eastAsia" w:ascii="宋体" w:hAnsi="宋体" w:cs="宋体"/>
          <w:b/>
          <w:color w:val="auto"/>
          <w:sz w:val="21"/>
          <w:szCs w:val="20"/>
          <w:highlight w:val="none"/>
        </w:rPr>
      </w:pPr>
      <w:r>
        <w:rPr>
          <w:rFonts w:hint="eastAsia" w:ascii="宋体" w:hAnsi="宋体" w:cs="宋体"/>
          <w:b/>
          <w:color w:val="auto"/>
          <w:sz w:val="21"/>
          <w:szCs w:val="20"/>
          <w:highlight w:val="none"/>
        </w:rPr>
        <w:t>19.磋商小组成立</w:t>
      </w:r>
    </w:p>
    <w:p w14:paraId="242DA77F">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19.1 磋商小组成员应当按照客观、公正、审慎的原则，依据《中华人民共和国政府采购法》《中华人民共和国政府采购法实施条例》和《政府采购竞争性磋商采购方式管理暂行办法》财库〔2014〕214号的规定，成立磋商小组，磋商小组由采购人代表和评审专家共三人以上单数组成，其中评审专家人数不少于磋商小组成员总数的三分之二。评审专家将从政府采购评审专家库内相关专业的专家名单中随机抽取。采购人代表不得以评审专家身份参加本单位或者本部门采购项目的评审。采购代理机构人员不得参加本机构代理的采购项目的评审。</w:t>
      </w:r>
    </w:p>
    <w:p w14:paraId="067F66D7">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19.2 对技术复杂、专业性强的采购项目，通过随机方式难以确定合适评审专家的，经主管预算单位同意，采购人或采购代理机构可以自行选定相应专业领域的评审专家。技术复杂、专业性强的采购项目，评审专家中应当包括1名法律专家。</w:t>
      </w:r>
    </w:p>
    <w:p w14:paraId="60990651">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19.3磋商文件和供应商的响应文件是评审的依据。</w:t>
      </w:r>
    </w:p>
    <w:p w14:paraId="699444D0">
      <w:pPr>
        <w:pStyle w:val="34"/>
        <w:spacing w:line="460" w:lineRule="atLeast"/>
        <w:ind w:firstLine="422"/>
        <w:rPr>
          <w:rFonts w:hint="eastAsia" w:ascii="宋体" w:hAnsi="宋体" w:cs="宋体"/>
          <w:b/>
          <w:color w:val="auto"/>
          <w:sz w:val="21"/>
          <w:szCs w:val="20"/>
          <w:highlight w:val="none"/>
        </w:rPr>
      </w:pPr>
      <w:r>
        <w:rPr>
          <w:rFonts w:hint="eastAsia" w:ascii="宋体" w:hAnsi="宋体" w:cs="宋体"/>
          <w:b/>
          <w:color w:val="auto"/>
          <w:sz w:val="21"/>
          <w:szCs w:val="20"/>
          <w:highlight w:val="none"/>
        </w:rPr>
        <w:t>20.磋商小组职责</w:t>
      </w:r>
    </w:p>
    <w:p w14:paraId="7820D546">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20.1确认磋商文件；</w:t>
      </w:r>
    </w:p>
    <w:p w14:paraId="1EA2C5FC">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20.2审查通过了资格审查的供应商响应文件并做出评价；</w:t>
      </w:r>
    </w:p>
    <w:p w14:paraId="65920938">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20.3要求供应商解释或者澄清其响应文件；</w:t>
      </w:r>
    </w:p>
    <w:p w14:paraId="2E789DC9">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20.4编写评审报告；</w:t>
      </w:r>
    </w:p>
    <w:p w14:paraId="6449E5D5">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20.5告知采购人、采购代理机构在评审过程中发现的供应商的违法违规行为。</w:t>
      </w:r>
    </w:p>
    <w:p w14:paraId="020316F7">
      <w:pPr>
        <w:pStyle w:val="34"/>
        <w:spacing w:line="460" w:lineRule="atLeast"/>
        <w:ind w:firstLine="422"/>
        <w:rPr>
          <w:rFonts w:hint="eastAsia" w:ascii="宋体" w:hAnsi="宋体" w:cs="宋体"/>
          <w:b/>
          <w:color w:val="auto"/>
          <w:sz w:val="21"/>
          <w:szCs w:val="20"/>
          <w:highlight w:val="none"/>
        </w:rPr>
      </w:pPr>
      <w:r>
        <w:rPr>
          <w:rFonts w:hint="eastAsia" w:ascii="宋体" w:hAnsi="宋体" w:cs="宋体"/>
          <w:b/>
          <w:color w:val="auto"/>
          <w:sz w:val="21"/>
          <w:szCs w:val="20"/>
          <w:highlight w:val="none"/>
        </w:rPr>
        <w:t>21.磋商小组义务</w:t>
      </w:r>
    </w:p>
    <w:p w14:paraId="4B94BB80">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21.1 遵纪客观、公正、审慎的原则；</w:t>
      </w:r>
    </w:p>
    <w:p w14:paraId="23E9F911">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21.2 根据磋商文件的规定评审程序、评审方法和评审标准独立进行评审，对个人的评审意见承担法律责任；</w:t>
      </w:r>
    </w:p>
    <w:p w14:paraId="6204CA4E">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21.3 参与评审报告的起草；</w:t>
      </w:r>
    </w:p>
    <w:p w14:paraId="6CD1F6F6">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21.4 配合采购人、采购代理机构答复供应商提出的质疑；</w:t>
      </w:r>
    </w:p>
    <w:p w14:paraId="4DFC3965">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21.5 配合财政部门的投诉处理和监督检查工作。</w:t>
      </w:r>
    </w:p>
    <w:p w14:paraId="6032C59C">
      <w:pPr>
        <w:pStyle w:val="34"/>
        <w:spacing w:line="460" w:lineRule="atLeast"/>
        <w:ind w:firstLine="422"/>
        <w:rPr>
          <w:rFonts w:hint="eastAsia" w:ascii="宋体" w:hAnsi="宋体" w:cs="宋体"/>
          <w:b/>
          <w:color w:val="auto"/>
          <w:sz w:val="21"/>
          <w:szCs w:val="20"/>
          <w:highlight w:val="none"/>
        </w:rPr>
      </w:pPr>
      <w:r>
        <w:rPr>
          <w:rFonts w:hint="eastAsia" w:ascii="宋体" w:hAnsi="宋体" w:cs="宋体"/>
          <w:b/>
          <w:color w:val="auto"/>
          <w:sz w:val="21"/>
          <w:szCs w:val="20"/>
          <w:highlight w:val="none"/>
        </w:rPr>
        <w:t>22.磋商小组成员有下列情形之一的，应当回避：</w:t>
      </w:r>
    </w:p>
    <w:p w14:paraId="16D3DD6C">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22.1 参加采购活动前3年内与供应商存在劳动关系；</w:t>
      </w:r>
    </w:p>
    <w:p w14:paraId="58E2335A">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22.2 参加采购活动前3年内担任供应商的董事、监事；</w:t>
      </w:r>
    </w:p>
    <w:p w14:paraId="78D8E998">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22.3 参加采购活动前3年内是供应商的控股股东或者实际控制人；</w:t>
      </w:r>
    </w:p>
    <w:p w14:paraId="34866D9F">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22.4 与供应商的法定代表人或者负责人有夫妻、直系血亲、三代以内旁系血亲或者近</w:t>
      </w:r>
    </w:p>
    <w:p w14:paraId="24283AEA">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姻亲关系；</w:t>
      </w:r>
    </w:p>
    <w:p w14:paraId="3668E7CB">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22.5 与供应商有其他可能影响政府采购活动公平、公正进行的关系。</w:t>
      </w:r>
    </w:p>
    <w:p w14:paraId="719126D7">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23.磋商小组成员到位后，推荐一名评审专家担任磋商小组组长，并由磋商小组组长牵头组织本项目磋商工作。采购人代表，不得担任磋商小组组长。</w:t>
      </w:r>
    </w:p>
    <w:p w14:paraId="688C0CF9">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24.磋商过程中，因磋商小组成员缺席、回避或者健康等特殊原因导致磋商小组组成不符合规定的，采购代理机构应当依法补足后继续磋商。被更换的磋商小组成员所作出的评审意见无效。无法及时补足磋商小组成员的，采购代理机构应当停止磋商活动，封存所有响应文件和开启响应文件、磋商和评审资料，依法重新组建磋商小组进行磋商。原磋商小组所作出的评审意见无效。采购代理机构应当将变更、重新组建磋商小组的情况予以记录，并随采购文件一并存档。</w:t>
      </w:r>
    </w:p>
    <w:p w14:paraId="5FDAAADC">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25.磋商小组及其成员，在磋商中不得有下列行为：</w:t>
      </w:r>
    </w:p>
    <w:p w14:paraId="62D9A42B">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（1）确定参与磋商至磋商结束前私自接触供应商；</w:t>
      </w:r>
    </w:p>
    <w:p w14:paraId="527BF530">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（2）接受供应商提出的与响应文件不一致的澄清和说明；</w:t>
      </w:r>
    </w:p>
    <w:p w14:paraId="787A1E08">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（3）征询采购人的倾向性意见；</w:t>
      </w:r>
    </w:p>
    <w:p w14:paraId="7FDF12D0">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（4）对主观评审因素协商评分；</w:t>
      </w:r>
    </w:p>
    <w:p w14:paraId="2BE1A3C9">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（5）对客观评审因素评分不一致；</w:t>
      </w:r>
    </w:p>
    <w:p w14:paraId="0A5510FE">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（6）在磋商过程中擅离职守，影响磋商程序正常进行的；</w:t>
      </w:r>
    </w:p>
    <w:p w14:paraId="7C7991DF">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（7）记录、复制或带走任何评审资料；</w:t>
      </w:r>
    </w:p>
    <w:p w14:paraId="5EDE21A7">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（8）其他不遵守评审纪律的行为。</w:t>
      </w:r>
    </w:p>
    <w:p w14:paraId="0ABDF770">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磋商小组成员有前款第一至四项行为之一的，其评审意见无效，并不得获取评审劳务报酬。</w:t>
      </w:r>
    </w:p>
    <w:p w14:paraId="34CA2927">
      <w:pPr>
        <w:pStyle w:val="34"/>
        <w:spacing w:line="460" w:lineRule="atLeast"/>
        <w:ind w:firstLine="422"/>
        <w:rPr>
          <w:rFonts w:hint="eastAsia" w:ascii="宋体" w:hAnsi="宋体" w:cs="宋体"/>
          <w:b/>
          <w:color w:val="auto"/>
          <w:sz w:val="21"/>
          <w:szCs w:val="20"/>
          <w:highlight w:val="none"/>
        </w:rPr>
      </w:pPr>
      <w:r>
        <w:rPr>
          <w:rFonts w:hint="eastAsia" w:ascii="宋体" w:hAnsi="宋体" w:cs="宋体"/>
          <w:b/>
          <w:color w:val="auto"/>
          <w:sz w:val="21"/>
          <w:szCs w:val="20"/>
          <w:highlight w:val="none"/>
        </w:rPr>
        <w:t>26.磋商原则</w:t>
      </w:r>
    </w:p>
    <w:p w14:paraId="4A99901D">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26.1“客观、公正、审慎”为本次磋商的基本原则，磋商小组按照这一原则的要求，公正、平等地对待各供应商。同时，在磋商中恪守以下原则：</w:t>
      </w:r>
    </w:p>
    <w:p w14:paraId="003A854D">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（1）统一性原则：磋商小组将按照统一的磋商原则和方法，用统一标准进行评审。</w:t>
      </w:r>
    </w:p>
    <w:p w14:paraId="60188980">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2）独立性原则:磋商工作在磋商小组内部独立进行，不受外界任何因素的干扰和影响。磋商小组成员对其出具的意见承担个人责任。供应商试图影响或干预评审的任何行为，将导致其丧失磋商的资格，并承担相应的法律责任。</w:t>
      </w:r>
    </w:p>
    <w:p w14:paraId="285FEBFD">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（3）物有所值原则：通过首轮的磋商报价，激发供应商展开竞争，进一步优化方案，并使报价符合预期目标。</w:t>
      </w:r>
    </w:p>
    <w:p w14:paraId="02ED0DC6">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（4）客观性原则：磋商小组将严格按照磋商文件要求，对供应商的响应文件进行认真评审；磋商小组对响应文件的评审仅依据响应文件本身，而不依据响应文件以外的任何因素。</w:t>
      </w:r>
    </w:p>
    <w:p w14:paraId="5B3615A2">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（5）保密性原则：采购代理机构应当采取必要的措施，保证评审在严格保密情况下进行。</w:t>
      </w:r>
    </w:p>
    <w:p w14:paraId="44E8C43E">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（6）综合性原则:磋商小组将综合分析、评审供应商的各项指标，而不以单项指标的优劣评定出成交供应商。</w:t>
      </w:r>
    </w:p>
    <w:p w14:paraId="30BD4794">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26.2 磋商小组有权对整个磋商和评审过程中出现的所有问题，可根据《中华人民共和国政府采购法》及《中华人民共和国政府采购法实施条例》和《政府采购竞争性磋商采购方式管理暂行办法》等相关规定进行处理。</w:t>
      </w:r>
    </w:p>
    <w:p w14:paraId="686FD66D">
      <w:pPr>
        <w:pStyle w:val="34"/>
        <w:spacing w:line="460" w:lineRule="atLeast"/>
        <w:ind w:firstLine="422"/>
        <w:rPr>
          <w:rFonts w:hint="eastAsia" w:ascii="宋体" w:hAnsi="宋体" w:cs="宋体"/>
          <w:b/>
          <w:color w:val="auto"/>
          <w:sz w:val="21"/>
          <w:szCs w:val="20"/>
          <w:highlight w:val="none"/>
        </w:rPr>
      </w:pPr>
      <w:r>
        <w:rPr>
          <w:rFonts w:hint="eastAsia" w:ascii="宋体" w:hAnsi="宋体" w:cs="宋体"/>
          <w:b/>
          <w:color w:val="auto"/>
          <w:sz w:val="21"/>
          <w:szCs w:val="20"/>
          <w:highlight w:val="none"/>
        </w:rPr>
        <w:t>27.磋商程序</w:t>
      </w:r>
    </w:p>
    <w:p w14:paraId="2581EF63">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27.1 磋商小组根据磋商文件第四章《磋商办法》规定的方法、评审因素、标准和程序，在与单一供应商进行反复磋商的基础上，对其响应文件进行评审。第四章《磋商办法》没有规定的方法、评审因素和标准，不作为评审依据。</w:t>
      </w:r>
    </w:p>
    <w:p w14:paraId="04C97000">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27.2.在磋商文件规定的时间和地点，由采购代理机构组织磋商工作，供应商须委派代表参加，签名以证明其出席。</w:t>
      </w:r>
    </w:p>
    <w:p w14:paraId="705690FB">
      <w:pPr>
        <w:pStyle w:val="34"/>
        <w:spacing w:line="460" w:lineRule="atLeast"/>
        <w:ind w:firstLine="420"/>
        <w:rPr>
          <w:rFonts w:hint="default" w:ascii="宋体" w:hAnsi="宋体" w:eastAsia="宋体" w:cs="宋体"/>
          <w:color w:val="auto"/>
          <w:sz w:val="21"/>
          <w:szCs w:val="20"/>
          <w:highlight w:val="none"/>
          <w:lang w:val="en-US" w:eastAsia="zh-CN"/>
        </w:rPr>
      </w:pPr>
      <w:r>
        <w:rPr>
          <w:rFonts w:hint="eastAsia" w:ascii="宋体" w:hAnsi="宋体" w:cs="宋体"/>
          <w:color w:val="auto"/>
          <w:sz w:val="21"/>
          <w:szCs w:val="20"/>
          <w:highlight w:val="none"/>
          <w:lang w:val="en-US" w:eastAsia="zh-CN"/>
        </w:rPr>
        <w:t>27.3</w:t>
      </w:r>
      <w:r>
        <w:rPr>
          <w:rFonts w:hint="eastAsia" w:eastAsia="宋体" w:cs="Times New Roman"/>
          <w:color w:val="auto"/>
          <w:sz w:val="21"/>
          <w:szCs w:val="21"/>
          <w:lang w:val="en-US" w:eastAsia="zh-CN"/>
        </w:rPr>
        <w:t>监督</w:t>
      </w:r>
      <w:r>
        <w:rPr>
          <w:rFonts w:eastAsia="宋体" w:cs="Times New Roman"/>
          <w:color w:val="auto"/>
          <w:sz w:val="21"/>
          <w:szCs w:val="21"/>
        </w:rPr>
        <w:t>人当众检查供应商的法定代表人或被授权人</w:t>
      </w:r>
      <w:r>
        <w:rPr>
          <w:rFonts w:hint="eastAsia" w:eastAsia="宋体" w:cs="Times New Roman"/>
          <w:color w:val="auto"/>
          <w:sz w:val="21"/>
          <w:szCs w:val="21"/>
          <w:lang w:val="en-US" w:eastAsia="zh-CN"/>
        </w:rPr>
        <w:t>身份，</w:t>
      </w:r>
      <w:r>
        <w:rPr>
          <w:rFonts w:eastAsia="宋体" w:cs="Times New Roman"/>
          <w:color w:val="auto"/>
          <w:sz w:val="21"/>
          <w:szCs w:val="21"/>
        </w:rPr>
        <w:t>签字确认并宣读检查结果。</w:t>
      </w:r>
      <w:r>
        <w:rPr>
          <w:rFonts w:hint="eastAsia" w:eastAsia="宋体" w:cs="Times New Roman"/>
          <w:b/>
          <w:bCs/>
          <w:color w:val="auto"/>
          <w:sz w:val="21"/>
          <w:szCs w:val="21"/>
          <w:lang w:eastAsia="zh-CN"/>
        </w:rPr>
        <w:t>（</w:t>
      </w:r>
      <w:r>
        <w:rPr>
          <w:rFonts w:hint="eastAsia" w:eastAsia="宋体" w:cs="Times New Roman"/>
          <w:b/>
          <w:bCs/>
          <w:color w:val="auto"/>
          <w:sz w:val="21"/>
          <w:szCs w:val="21"/>
          <w:lang w:val="en-US" w:eastAsia="zh-CN"/>
        </w:rPr>
        <w:t>供应商现场法定代表人（主要负责人）委托代理人参加磋商时，应提供一份手持法定代表人（主要负责人）委托授权书；法定代表人（主要负责人）亲自参加磋商时，应提供一份手持法定代表人（主要负责人）身份证明书）未提供按无效投标处理。</w:t>
      </w:r>
    </w:p>
    <w:p w14:paraId="3EDA6AF8">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27.</w:t>
      </w:r>
      <w:r>
        <w:rPr>
          <w:rFonts w:hint="eastAsia" w:ascii="宋体" w:hAnsi="宋体" w:cs="宋体"/>
          <w:color w:val="auto"/>
          <w:sz w:val="21"/>
          <w:szCs w:val="20"/>
          <w:highlight w:val="none"/>
          <w:lang w:val="en-US" w:eastAsia="zh-CN"/>
        </w:rPr>
        <w:t>4</w:t>
      </w:r>
      <w:r>
        <w:rPr>
          <w:rFonts w:hint="eastAsia" w:ascii="宋体" w:hAnsi="宋体" w:cs="宋体"/>
          <w:color w:val="auto"/>
          <w:sz w:val="21"/>
          <w:szCs w:val="20"/>
          <w:highlight w:val="none"/>
        </w:rPr>
        <w:t>各供应商或其推荐的代表与采购监督人共同检查响应文件的密封情况，经检查无误后，签字确认。</w:t>
      </w:r>
    </w:p>
    <w:p w14:paraId="5C46840F">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27.</w:t>
      </w:r>
      <w:r>
        <w:rPr>
          <w:rFonts w:hint="eastAsia" w:ascii="宋体" w:hAnsi="宋体" w:cs="宋体"/>
          <w:color w:val="auto"/>
          <w:sz w:val="21"/>
          <w:szCs w:val="20"/>
          <w:highlight w:val="none"/>
          <w:lang w:val="en-US" w:eastAsia="zh-CN"/>
        </w:rPr>
        <w:t>5</w:t>
      </w:r>
      <w:r>
        <w:rPr>
          <w:rFonts w:hint="eastAsia" w:ascii="宋体" w:hAnsi="宋体" w:cs="宋体"/>
          <w:color w:val="auto"/>
          <w:sz w:val="21"/>
          <w:szCs w:val="20"/>
          <w:highlight w:val="none"/>
        </w:rPr>
        <w:t>采购代理机构工作人员按照顺序，将各供应商首次响应文件的份数等内容公布，无异议后，由供应商法定代表人（或授权代表人）和监督人签字确认。</w:t>
      </w:r>
    </w:p>
    <w:p w14:paraId="184516BB">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27.</w:t>
      </w:r>
      <w:r>
        <w:rPr>
          <w:rFonts w:hint="eastAsia" w:ascii="宋体" w:hAnsi="宋体" w:cs="宋体"/>
          <w:color w:val="auto"/>
          <w:sz w:val="21"/>
          <w:szCs w:val="20"/>
          <w:highlight w:val="none"/>
          <w:lang w:val="en-US" w:eastAsia="zh-CN"/>
        </w:rPr>
        <w:t>6</w:t>
      </w:r>
      <w:r>
        <w:rPr>
          <w:rFonts w:hint="eastAsia" w:ascii="宋体" w:hAnsi="宋体" w:cs="宋体"/>
          <w:color w:val="auto"/>
          <w:sz w:val="21"/>
          <w:szCs w:val="20"/>
          <w:highlight w:val="none"/>
        </w:rPr>
        <w:t xml:space="preserve"> 磋商响应文件的资格性审查。依据《政府采购法》第二十三条和磋商文件的规定，采购人负责对响应文件中的资格证明文件、信用查询记录等进行审查，以确认供应商具备相应资格。资格性审查出现下列情况者（但不限于），按无效文件处理：</w:t>
      </w:r>
    </w:p>
    <w:p w14:paraId="2D85D143">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（1）供应商不符合《中华人民共和国政府采购法》第二十二条的规定和特定资格条件要求的。</w:t>
      </w:r>
    </w:p>
    <w:p w14:paraId="01B9BC34">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（2）供应商没有经过正常渠道领取磋商文件或供应商的名称与获取磋商文件单位的名称不符。</w:t>
      </w:r>
    </w:p>
    <w:p w14:paraId="4D75C798">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（3）磋商响应文件中未提交法定代表人授权书（法定代表人直接参加磋商未按要求提交其有效身份证）或授权书的合法性或有效性不符合磋商文件规定。授权代表本单位证明的有效性或符合性不符合要求的。</w:t>
      </w:r>
    </w:p>
    <w:p w14:paraId="3A76EE9C">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（4）信用查询中列入失信被执行人、重大税收违法失信主体、政府采购严重违法失信行为记录名单及其他不符合《中华人民共和国政府采购法》第二十二条规定条件的供应商。</w:t>
      </w:r>
    </w:p>
    <w:p w14:paraId="7FAC9FB9">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（5）采购人或采购代理机构通过“信用中国”网站(www.creditchina.gov.cn)、中国政府采购网(www.ccgp.gov.cn) 等查询相关主体信用记录，并将查询网页打印、存档备查。</w:t>
      </w:r>
    </w:p>
    <w:p w14:paraId="1C78803C">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6）查询时间为磋商文件发售期至评审截止时间前，此段时间段外，网站信息发生的任何变更均不作为资格审查依据。供应商不良信用记录以采购人或采购代理机构查询结果为准。供应商自行提供的与网站信息不一致的其他证明材料亦不作为资格审查依据。</w:t>
      </w:r>
    </w:p>
    <w:p w14:paraId="55DC335F">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7）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7BAB987A">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27.6 磋商响应文件有效性、完整性和响应程度审查：磋商小组负责对通过资格审查的响应文件的有效性、完整性和响应性进行审查，以确定是否满足磋商文件要求，出现下列情况者（但不限于），按无效文件处理。</w:t>
      </w:r>
    </w:p>
    <w:p w14:paraId="01057FC7">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（1）供应商未按磋商文件要求加盖单位公章。</w:t>
      </w:r>
    </w:p>
    <w:p w14:paraId="4B03A7B8">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（2）磋商响应文件未按磋商文件要求进行法定代表人或其授权代表签字。</w:t>
      </w:r>
    </w:p>
    <w:p w14:paraId="6646210C">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（3）无有效期或有效期达不到磋商文件的要求。</w:t>
      </w:r>
    </w:p>
    <w:p w14:paraId="2B6EC18C">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（4）供应商首次磋商报价出现选择性报价。</w:t>
      </w:r>
    </w:p>
    <w:p w14:paraId="5303D8D2">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（5）首次磋商报价超出采购预算。</w:t>
      </w:r>
    </w:p>
    <w:p w14:paraId="55A1DCA2">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（6）磋商内容出现漏项或数量与要求不符，出现重大负偏差。</w:t>
      </w:r>
    </w:p>
    <w:p w14:paraId="3D9A25B8">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（7）响应报价与市场价偏离较大，低于成本，形成不正当竞争。</w:t>
      </w:r>
    </w:p>
    <w:p w14:paraId="5DA5C8C7">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 xml:space="preserve">（8）保证金未提交或未提交至指定账户、或提交保证金不符合磋商文件要求的。 </w:t>
      </w:r>
    </w:p>
    <w:p w14:paraId="3C145854">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27.7 磋商</w:t>
      </w:r>
    </w:p>
    <w:p w14:paraId="738D66C7">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27.7.1 磋商小组集中与各供应商分别进行磋商，并给所有参加磋商供应商平等的磋商机会。</w:t>
      </w:r>
    </w:p>
    <w:p w14:paraId="12ACDF73">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27.7.2 磋商小组在对响应文件的有效性、完整性和响应程度进行审核时，以书面形式要求供应商对响应文件中含义不明确、同类问题表述不一致、或者明显文字和计算错误的内容在约定时间内做出必要的澄清、说明或更正。供应商澄清、说明或者更正应当由法定代表人或者授权代表签字或者加盖公章。澄清、说明或者更正不得超出响应范围，或者改变响应文件的实质性内容。</w:t>
      </w:r>
    </w:p>
    <w:p w14:paraId="0D04FBB3">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27.7.3 磋商过程中，磋商小组可以根据磋商文件和磋商情况实质性变动采购需求中的技术、服务要求以及合同草案条款，但不得变动磋商文件中的其他内容。实质性变动的内容，需经采购人代表确认，并成为磋商文件的有效组成部分。</w:t>
      </w:r>
    </w:p>
    <w:p w14:paraId="1338A8FE">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27.7.4 如出现下述情形之一的，视为供应商主动退出磋商，其响应将被拒绝：</w:t>
      </w:r>
    </w:p>
    <w:p w14:paraId="7FB7DD21">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（1）供应商未按要求确认磋商小组确定的本项目最终技术需求的；</w:t>
      </w:r>
    </w:p>
    <w:p w14:paraId="4BAB386B">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（2）最后报价未实质性响应磋商小组确定的本项目最终技术需求的，或附有采购人无法接受的条件的。</w:t>
      </w:r>
    </w:p>
    <w:p w14:paraId="02A03D69">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27.8 最后报价</w:t>
      </w:r>
    </w:p>
    <w:p w14:paraId="5860A522">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27.8.1 磋商结束后，磋商小组要求所有实质性响应的供应商在规定时间内提交最后报价，提交最后报价的供应商不少于3家。最后报价是供应商响应文件的有效组成部分。</w:t>
      </w:r>
    </w:p>
    <w:p w14:paraId="0EABE7D8">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27.8.2 最后报价应按报价的格式内容填写，并且同时提交最后响应报价表、最后报价明细表、最后节能、环境标志产品明细表等内容。各供应商在提交响应文件时，应对最后报价由法定代表人（或授权代表人）签字。</w:t>
      </w:r>
    </w:p>
    <w:p w14:paraId="73E9EF74">
      <w:pPr>
        <w:pStyle w:val="32"/>
        <w:spacing w:before="190" w:after="190" w:line="460" w:lineRule="atLeast"/>
        <w:rPr>
          <w:rFonts w:hint="eastAsia" w:ascii="宋体" w:hAnsi="宋体" w:cs="宋体"/>
          <w:color w:val="auto"/>
          <w:highlight w:val="none"/>
        </w:rPr>
      </w:pPr>
      <w:r>
        <w:rPr>
          <w:rFonts w:hint="eastAsia" w:ascii="宋体" w:hAnsi="宋体" w:cs="宋体"/>
          <w:color w:val="auto"/>
          <w:highlight w:val="none"/>
        </w:rPr>
        <w:t>六、确定成交</w:t>
      </w:r>
    </w:p>
    <w:p w14:paraId="709438DD">
      <w:pPr>
        <w:pStyle w:val="34"/>
        <w:spacing w:line="460" w:lineRule="atLeast"/>
        <w:ind w:firstLine="422"/>
        <w:rPr>
          <w:rFonts w:hint="eastAsia" w:ascii="宋体" w:hAnsi="宋体" w:cs="宋体"/>
          <w:b/>
          <w:color w:val="auto"/>
          <w:sz w:val="21"/>
          <w:szCs w:val="20"/>
          <w:highlight w:val="none"/>
        </w:rPr>
      </w:pPr>
      <w:r>
        <w:rPr>
          <w:rFonts w:hint="eastAsia" w:ascii="宋体" w:hAnsi="宋体" w:cs="宋体"/>
          <w:b/>
          <w:color w:val="auto"/>
          <w:sz w:val="21"/>
          <w:szCs w:val="20"/>
          <w:highlight w:val="none"/>
        </w:rPr>
        <w:t>28.确定成交供应商</w:t>
      </w:r>
    </w:p>
    <w:p w14:paraId="01565CB7">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28.1磋商小组根据评审方法的规定对供应商进行评审排序，推荐成交候选人，形成评审报告。评审报告由磋商小组成员签字确认。</w:t>
      </w:r>
    </w:p>
    <w:p w14:paraId="692F97A5">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28.2采购代理机构在评审结束后2个工作日内将评审报告送采购人确认。</w:t>
      </w:r>
    </w:p>
    <w:p w14:paraId="61D97380">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28.3采购人应当在收到评审报告后5个工作日内，根据评审报告对评审过程及结果进行严格审核后确定成交供应商，同时，将确定成交供应商的结果复函至采购代理机构。</w:t>
      </w:r>
    </w:p>
    <w:p w14:paraId="6E30E3A4">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采购人在收到评审报告5个工作日内未按评审报告推荐的成交候选人中顺序确定成交供应商，又不能说明合法理由的，视同按照评审报告推荐的顺序确定排名第一的成交候选人为成交供应商。</w:t>
      </w:r>
    </w:p>
    <w:p w14:paraId="649A0B3A">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28.4采购人也可以书面授权磋商小组直接确定成交供应商。</w:t>
      </w:r>
    </w:p>
    <w:p w14:paraId="04ADABA2">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28.5采购代理机构应当在接到采购人“定标”复函之日起2个工作日内，根据采购人确定的成交供应商，在省级以上财政部门指定的媒体上公告成交结果，采购文件应当随成交结果同时公告；成交供应商享受了中小企业发展扶持政策的，其《中小企业声明函》或者《残疾人福利性单位声明函》也应随成交结果同时公告。在公告成交结果的同时，采购人或采购代理机构应当向成交供应商发出《成交通知书》。成交通知书是合同文件的组成部分。</w:t>
      </w:r>
    </w:p>
    <w:p w14:paraId="159E071F">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28.6供应商对成交公告有异议的，按照《中华人民共和国政府采购法》第五十二条之有关规定执行。提出质疑的供应商应当有明确的请求和必要的证明材料，应保证提出的质疑内容及相应证明材料的真实性及来源的合法性，并承担相应的法律责任。</w:t>
      </w:r>
    </w:p>
    <w:p w14:paraId="6A83FC9D">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28.7成交通知书对采购人和成交供应商具有同等法律效力。成交通知书发出之后，采购人改变成交结果，或者成交供应商放弃成交，应当承担相应的法律责任。</w:t>
      </w:r>
    </w:p>
    <w:p w14:paraId="647EF065">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28.8成交供应商拒绝与采购人签订合同的，采购人可以按照评审报告推荐的成交候选人名单排序，确定下一候选人为成交供应商，也可以重新开展政府采购活动。</w:t>
      </w:r>
    </w:p>
    <w:p w14:paraId="74D938F7">
      <w:pPr>
        <w:pStyle w:val="34"/>
        <w:spacing w:line="460" w:lineRule="atLeast"/>
        <w:ind w:firstLine="422"/>
        <w:rPr>
          <w:rFonts w:hint="eastAsia" w:ascii="宋体" w:hAnsi="宋体" w:cs="宋体"/>
          <w:b/>
          <w:color w:val="auto"/>
          <w:sz w:val="21"/>
          <w:szCs w:val="20"/>
          <w:highlight w:val="none"/>
        </w:rPr>
      </w:pPr>
      <w:r>
        <w:rPr>
          <w:rFonts w:hint="eastAsia" w:ascii="宋体" w:hAnsi="宋体" w:cs="宋体"/>
          <w:b/>
          <w:color w:val="auto"/>
          <w:sz w:val="21"/>
          <w:szCs w:val="20"/>
          <w:highlight w:val="none"/>
        </w:rPr>
        <w:t>29.履约保证金</w:t>
      </w:r>
    </w:p>
    <w:p w14:paraId="4C6B599C">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29.1供应商须知前附表规定成交供应商需要提交履约保证金的，成交供应商在收到采购代理机构的成交通知书后5日内，应当按照供应商须知前附表规定的形式、金额，向采购人提交履约保证金或履约担保。联合体成交的，履约保证金或履约担保由联合体各方或者联合体中牵头人的名义提交。</w:t>
      </w:r>
    </w:p>
    <w:p w14:paraId="4D599581">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29.2磋商文件要求供应商提交履约保证金的，供应商可通过支票、本票、汇票、网上银行支付等非现金形式交纳，也可通过履约担保函形式提交，其中采用纸质保函的，应当提交保函原件。</w:t>
      </w:r>
    </w:p>
    <w:p w14:paraId="00C95BEB">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29.3采用履约保函形式时应注意以下事项：</w:t>
      </w:r>
    </w:p>
    <w:p w14:paraId="47D808FB">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（1）履约保函的受益人为采购人，供应商未能按合同规定履行其义务时，采购人有权从履约保证金中取得补偿。</w:t>
      </w:r>
    </w:p>
    <w:p w14:paraId="45DD7162">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（2） 履约保函的内容包括但不限于保函申请人、项目名称（如分标段，还应写明所投标段）、担保金额、保函有效期（履约保函的有效期至少应覆盖至合同验收之日，履约保函有效期不足的，供应商应向履约保函签发机构办理担保续期手续）；</w:t>
      </w:r>
    </w:p>
    <w:p w14:paraId="5B5386A1">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（3）担保金额不少于磋商文件中规定的履约保证金交纳金额；</w:t>
      </w:r>
    </w:p>
    <w:p w14:paraId="2E60BA03">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（4）保函申请人须与供应商名称一致。若供应商为联合体形式，原则上可由联合体任意一方或多方作为保函申请人。</w:t>
      </w:r>
    </w:p>
    <w:p w14:paraId="4FCCD1AA">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29.4成交供应商不能按照本章第29.1项规定提交履约保证金或履约担保的，视为放弃成交资格，有磋商保证金的不予退还，给采购人造成损失的，成交供应商应当予以赔偿。</w:t>
      </w:r>
    </w:p>
    <w:p w14:paraId="7F945905">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29.5在采购项目验收合格后，成交供应商持政府采购项目验收单，到履约保证金原收取人处办理退还手续，5个工作日内无息退还（针对支票、本票、汇票、网上银行等支付形式）\当场返还（针对纸质保函）。</w:t>
      </w:r>
    </w:p>
    <w:p w14:paraId="79281517">
      <w:pPr>
        <w:pStyle w:val="34"/>
        <w:spacing w:line="460" w:lineRule="atLeast"/>
        <w:ind w:firstLine="422"/>
        <w:rPr>
          <w:rFonts w:hint="eastAsia" w:ascii="宋体" w:hAnsi="宋体" w:cs="宋体"/>
          <w:b/>
          <w:color w:val="auto"/>
          <w:sz w:val="21"/>
          <w:szCs w:val="20"/>
          <w:highlight w:val="none"/>
        </w:rPr>
      </w:pPr>
      <w:r>
        <w:rPr>
          <w:rFonts w:hint="eastAsia" w:ascii="宋体" w:hAnsi="宋体" w:cs="宋体"/>
          <w:b/>
          <w:color w:val="auto"/>
          <w:sz w:val="21"/>
          <w:szCs w:val="20"/>
          <w:highlight w:val="none"/>
        </w:rPr>
        <w:t>30.签订合同</w:t>
      </w:r>
    </w:p>
    <w:p w14:paraId="11BE125D">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30.1采购人应当自《成交通知书》发出之日起25日内，按照磋商文件和成交供应商响应文件的规定，与成交供应商签订书面合同。成交供应商无正当理由拒签合同，或者在签订合同时向采购人提出附件条件，采购人有权取消其成交资格，有磋商保证金的不予退还，给采购人造成损失的，成交供应商应当予以赔偿。采购人可以按照《政府采购法实施条例》第四十九条规定，依据评审报告推荐的成交候选人名单排序确定下一候选人为成交供应商，并签订合同，或者重新开展采购活动。拒绝签订政府采购合同的成交供应商不得参加对该项目重新开展的采购活动。磋商文件及成交供应商的响应文件均作为合同的组成部分。</w:t>
      </w:r>
    </w:p>
    <w:p w14:paraId="43D328C4">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30.2 发出成交通知书后，采购人不得向成交供应商提出任何不合理要求，作为签订合同的条件，不得与成交供应商私下订立背离合同实质性内容的任何协议，所签订的合同不得对磋商文件确定的事项和成交供应商响应文件做实质性修改。</w:t>
      </w:r>
    </w:p>
    <w:p w14:paraId="16CFBCC6">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30.3 联合体成交的，联合体各方应当与采购人签订采购合同，就成交项目向采购人承担连带责任。</w:t>
      </w:r>
    </w:p>
    <w:p w14:paraId="3A89BC0A">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30.4 供应商须知前附表规定允许大中企业向小微企业分包的，成交供应商应当与接受分包的小微企业签订分包合同。</w:t>
      </w:r>
    </w:p>
    <w:p w14:paraId="50FFA9BE">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30.5 采购人应当自政府采购合同签订之日起2个工作日内，在省级以上财政部门指定的媒体上对合同进行公示，但政府采购合同中涉及国家秘密、商业秘密的内容除外。</w:t>
      </w:r>
    </w:p>
    <w:p w14:paraId="7B1FBD41">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30.6 采购人应当自合同签订之日起7个工作日内将政府采购合同报送监管机构备案。</w:t>
      </w:r>
    </w:p>
    <w:p w14:paraId="0BAC61A6">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30.7 成交供应商签订合同后，持合同原件到采购代理机构，或采购代理机构根据陕西省政府采购网合同备案结果办理保证金退还手续。</w:t>
      </w:r>
    </w:p>
    <w:p w14:paraId="6F2ADAAB">
      <w:pPr>
        <w:pStyle w:val="34"/>
        <w:spacing w:line="460" w:lineRule="atLeast"/>
        <w:ind w:firstLine="422"/>
        <w:rPr>
          <w:rFonts w:hint="eastAsia" w:ascii="宋体" w:hAnsi="宋体" w:cs="宋体"/>
          <w:b/>
          <w:color w:val="auto"/>
          <w:sz w:val="21"/>
          <w:szCs w:val="20"/>
          <w:highlight w:val="none"/>
        </w:rPr>
      </w:pPr>
      <w:r>
        <w:rPr>
          <w:rFonts w:hint="eastAsia" w:ascii="宋体" w:hAnsi="宋体" w:cs="宋体"/>
          <w:b/>
          <w:color w:val="auto"/>
          <w:sz w:val="21"/>
          <w:szCs w:val="20"/>
          <w:highlight w:val="none"/>
        </w:rPr>
        <w:t>31.合同分包</w:t>
      </w:r>
    </w:p>
    <w:p w14:paraId="5A13C941">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31.1供应商根据磋商文件的规定和采购项目的实际情况，拟在成交后将采购项目的非主体、非关键性工作分包的，应当在响应文件中载明分包承担主体，分包承担主体应当具备相应资质条件且不得再次分包。分包供应商履行的分包项目的品牌、规格型号及技术要求等，必须与成交的一致。</w:t>
      </w:r>
    </w:p>
    <w:p w14:paraId="441CBB9F">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31.2分包履行合同的部分应当为采购项目的非主体、非关键性工作，不属于成交供应商的主要合同义务。</w:t>
      </w:r>
    </w:p>
    <w:p w14:paraId="1D56AA04">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31.3采购合同实行分包履行的，成交供应商就采购项目和分包项目向采购人负责，分包供应商就分包项目承担责任。履行分包项目事项应当具备法定资质规定要求的，分包供应商应当具备相应资质。</w:t>
      </w:r>
    </w:p>
    <w:p w14:paraId="20C51A78">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31.4中小企业依据《政府采购促进中小企业发展管理办法》（财库〔2020〕46号）规定的政策获取政府采购合同后，小型、微型企业不得将合同分包或转包给大型、中型企业，中型企业不得将合同分包或转包给大型企业。</w:t>
      </w:r>
    </w:p>
    <w:p w14:paraId="44953E37">
      <w:pPr>
        <w:pStyle w:val="34"/>
        <w:spacing w:line="460" w:lineRule="atLeast"/>
        <w:ind w:firstLine="422"/>
        <w:rPr>
          <w:rFonts w:hint="eastAsia" w:ascii="宋体" w:hAnsi="宋体" w:cs="宋体"/>
          <w:b/>
          <w:color w:val="auto"/>
          <w:sz w:val="21"/>
          <w:szCs w:val="20"/>
          <w:highlight w:val="none"/>
        </w:rPr>
      </w:pPr>
      <w:r>
        <w:rPr>
          <w:rFonts w:hint="eastAsia" w:ascii="宋体" w:hAnsi="宋体" w:cs="宋体"/>
          <w:b/>
          <w:color w:val="auto"/>
          <w:sz w:val="21"/>
          <w:szCs w:val="20"/>
          <w:highlight w:val="none"/>
        </w:rPr>
        <w:t>32.合同转包</w:t>
      </w:r>
    </w:p>
    <w:p w14:paraId="2C80AEE8">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32.1严禁成交供应商将本采购项目采购合同转包。本项目所称转包，是指成交供应商签订政府采购合同后，不履行合同约定的责任和义务，将其全部工程转给他人或者将其全部工程肢解以后以分包的名义分别转给其他单位承包的行为。</w:t>
      </w:r>
    </w:p>
    <w:p w14:paraId="5FC2B579">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32.2成交供应商转包的，视同拒绝履行政府采购合同，将依法追究法律责任</w:t>
      </w:r>
    </w:p>
    <w:p w14:paraId="4BB8CFD4">
      <w:pPr>
        <w:pStyle w:val="34"/>
        <w:spacing w:line="460" w:lineRule="atLeast"/>
        <w:ind w:firstLine="422"/>
        <w:rPr>
          <w:rFonts w:hint="eastAsia" w:ascii="宋体" w:hAnsi="宋体" w:cs="宋体"/>
          <w:b/>
          <w:color w:val="auto"/>
          <w:sz w:val="21"/>
          <w:szCs w:val="20"/>
          <w:highlight w:val="none"/>
        </w:rPr>
      </w:pPr>
      <w:r>
        <w:rPr>
          <w:rFonts w:hint="eastAsia" w:ascii="宋体" w:hAnsi="宋体" w:cs="宋体"/>
          <w:b/>
          <w:color w:val="auto"/>
          <w:sz w:val="21"/>
          <w:szCs w:val="20"/>
          <w:highlight w:val="none"/>
        </w:rPr>
        <w:t>33.合同履行</w:t>
      </w:r>
    </w:p>
    <w:p w14:paraId="0C09CEF0">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33.1 政府采购合同一经签订，双方应严格履行合同规定的义务。在合同履行过程中，如发生合同纠纷，合同双方应按照《中华人民共和国民法典》及合同条款的有关规定进行处理。</w:t>
      </w:r>
    </w:p>
    <w:p w14:paraId="6F547546">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33.2 政府采购合同订立后，合同各方不得擅自变更或者中止或者终止合同。政府采购合同需要变更的，采购人应将有关合同变更内容，以书面形式报政府采购监督管理部门备案；因特殊情况需要中止或终止合同的，采购人应将中止或终止合同的理由以及相应措施，以书面形式报政府采购监督管理部门备案。</w:t>
      </w:r>
    </w:p>
    <w:p w14:paraId="1623DF17">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33.3 政府采购合同履行中，采购人需追加与合同标的相同的货物的，在不改变合同其他条款的前提下，可以与成交供应商签订补充合同，但所补充合同的采购金额不得超过原合同采购金额的百分之十。签订补充合同的应按规定备案。</w:t>
      </w:r>
    </w:p>
    <w:p w14:paraId="7932351E">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33.4 供应商须知前附表规定允许合同分包的，享受了中小企业政府采购扶持政策，在履行合同时，未按分包意向协议约定的比例分包给小微企业的，视为提供虚假材料谋取成交情形，采购人将依法追究其法律责任。</w:t>
      </w:r>
    </w:p>
    <w:p w14:paraId="162CAFD8">
      <w:pPr>
        <w:pStyle w:val="34"/>
        <w:spacing w:line="460" w:lineRule="atLeast"/>
        <w:ind w:firstLine="422"/>
        <w:rPr>
          <w:rFonts w:hint="eastAsia" w:ascii="宋体" w:hAnsi="宋体" w:cs="宋体"/>
          <w:b/>
          <w:color w:val="auto"/>
          <w:sz w:val="21"/>
          <w:szCs w:val="20"/>
          <w:highlight w:val="none"/>
        </w:rPr>
      </w:pPr>
      <w:r>
        <w:rPr>
          <w:rFonts w:hint="eastAsia" w:ascii="宋体" w:hAnsi="宋体" w:cs="宋体"/>
          <w:b/>
          <w:color w:val="auto"/>
          <w:sz w:val="21"/>
          <w:szCs w:val="20"/>
          <w:highlight w:val="none"/>
        </w:rPr>
        <w:t>34.其他情况</w:t>
      </w:r>
    </w:p>
    <w:p w14:paraId="4B62B355">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34.1磋商开始后，出现下列情形之一的，采购代理机构将终止竞争性磋商采购活动，发布项目终止公告并说明原因，重新开展采购活动：</w:t>
      </w:r>
    </w:p>
    <w:p w14:paraId="248690C2">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（1）因情况变化，不再符合规定的竞争性磋商采购方式适用情形的；</w:t>
      </w:r>
    </w:p>
    <w:p w14:paraId="596C23E3">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（2）出现影响采购公正的违法、违规行为的；</w:t>
      </w:r>
    </w:p>
    <w:p w14:paraId="24A9AB43">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（3）在采购过程中符合要求的供应商不足3家的 ；</w:t>
      </w:r>
    </w:p>
    <w:p w14:paraId="1C1BDD1E">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（4）报价未超过采购预算的供应商不足3家的；</w:t>
      </w:r>
    </w:p>
    <w:p w14:paraId="73FE8F14">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（5）法律规定其它情形除外。</w:t>
      </w:r>
    </w:p>
    <w:p w14:paraId="07C3E18A">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34.2 提交最后报价的供应商为2家时，可以继续进行磋商的情形：</w:t>
      </w:r>
    </w:p>
    <w:p w14:paraId="00B01493">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（1）市场竞争不充分的科研项目，以及需要扶持的科技成果转化项目；</w:t>
      </w:r>
    </w:p>
    <w:p w14:paraId="7E11E9AB">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（2）根据《关于政府采购竞争性磋商采购方式管理暂行办法有关问题的补充通知》（财库〔2015〕124号）文件的相关规定，在采购过程中符合要求的供应商（社会资本）只有2家的。</w:t>
      </w:r>
    </w:p>
    <w:p w14:paraId="103E5404">
      <w:pPr>
        <w:pStyle w:val="34"/>
        <w:spacing w:line="460" w:lineRule="atLeast"/>
        <w:ind w:firstLine="422"/>
        <w:rPr>
          <w:rFonts w:hint="eastAsia" w:ascii="宋体" w:hAnsi="宋体" w:cs="宋体"/>
          <w:b/>
          <w:color w:val="auto"/>
          <w:sz w:val="21"/>
          <w:szCs w:val="20"/>
          <w:highlight w:val="none"/>
        </w:rPr>
      </w:pPr>
      <w:r>
        <w:rPr>
          <w:rFonts w:hint="eastAsia" w:ascii="宋体" w:hAnsi="宋体" w:cs="宋体"/>
          <w:b/>
          <w:color w:val="auto"/>
          <w:sz w:val="21"/>
          <w:szCs w:val="20"/>
          <w:highlight w:val="none"/>
        </w:rPr>
        <w:t>35.纪律要求</w:t>
      </w:r>
    </w:p>
    <w:p w14:paraId="4229C517">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35.1磋商活动纪律要求</w:t>
      </w:r>
    </w:p>
    <w:p w14:paraId="577AE091">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采购人、代理机构应保证磋商活动在严格保密的情况下进行，采购人、代理机构、供应商和磋商小组成员应当严格遵守政府采购法律法规规章制度和本项目竞争性磋商文件以及代理机构现场管理规定，接受采购人委派的监督人员的监督，任何单位和个人不得非法干预和影响磋商过程和结果。</w:t>
      </w:r>
    </w:p>
    <w:p w14:paraId="2005F305">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对各供应商的商业秘密，磋商小组成员应予以保密，不得泄露给其他供应商。</w:t>
      </w:r>
    </w:p>
    <w:p w14:paraId="1F48C037">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35.2供应商不得具有的情形</w:t>
      </w:r>
    </w:p>
    <w:p w14:paraId="4502B6B4">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供应商参加响应不得有下列情形：</w:t>
      </w:r>
    </w:p>
    <w:p w14:paraId="1427DE20">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（1）有下列情形之一的，视为供应商串通响应：</w:t>
      </w:r>
    </w:p>
    <w:p w14:paraId="58813715">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①　不同供应商的响应文件由同一单位或者个人编制；</w:t>
      </w:r>
    </w:p>
    <w:p w14:paraId="702B0914">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②　不同供应商委托同一单位或者个人办理磋商事宜；</w:t>
      </w:r>
    </w:p>
    <w:p w14:paraId="3E08260C">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③　不同供应商的响应文件载明的项目管理成员或者联系人员为同一人；</w:t>
      </w:r>
    </w:p>
    <w:p w14:paraId="59A875D8">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④　不同供应商的响应文件异常一致或者响应报价呈规律性差异；</w:t>
      </w:r>
    </w:p>
    <w:p w14:paraId="2EBDD75B">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⑤　不同供应商的响应文件相互混装。</w:t>
      </w:r>
    </w:p>
    <w:p w14:paraId="43FB8983">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（2）提供虚假材料谋取成交；</w:t>
      </w:r>
    </w:p>
    <w:p w14:paraId="23D73D0F">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（3）采取不正当手段诋毁、排挤其他供应商；</w:t>
      </w:r>
    </w:p>
    <w:p w14:paraId="134E3375">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（4）与采购人或代理机构、其他供应商恶意串通；</w:t>
      </w:r>
    </w:p>
    <w:p w14:paraId="3A18BC29">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（5）向采购人或代理机构、磋商小组成员行贿或者提供其他不正当利益；</w:t>
      </w:r>
    </w:p>
    <w:p w14:paraId="61F7549F">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（6）在磋商过程中与采购人或代理机构进行协商磋商；</w:t>
      </w:r>
    </w:p>
    <w:p w14:paraId="68764EE5">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（7）成交后无正当理由拒不与采购人签订政府采购合同；</w:t>
      </w:r>
    </w:p>
    <w:p w14:paraId="1DBDA00E">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（8）未按照采购文件确定的事项签订政府采购合同；</w:t>
      </w:r>
    </w:p>
    <w:p w14:paraId="0EB1EC0A">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（9）将政府采购合同转包或者违规分包；</w:t>
      </w:r>
    </w:p>
    <w:p w14:paraId="5AB902E3">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（10）提供假冒伪劣产品；</w:t>
      </w:r>
    </w:p>
    <w:p w14:paraId="06B0B4B5">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（11）擅自变更、中止或者终止政府采购合同；</w:t>
      </w:r>
    </w:p>
    <w:p w14:paraId="441128FE">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（12）拒绝有关部门的监督检查或者向监督检查部门提供虚假情况；</w:t>
      </w:r>
    </w:p>
    <w:p w14:paraId="615E7CAD">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（13）法律法规规定的其他禁止情形。</w:t>
      </w:r>
    </w:p>
    <w:p w14:paraId="00E1E1FA">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供应商有上述情形的，按照规定追究法律责任，具有前述一至十三条情形之一的，其响应文件无效，或取消被确认为成交供应商的资格或认定成交无效。</w:t>
      </w:r>
    </w:p>
    <w:p w14:paraId="74A6E139">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35.3采购人员及相关人员回避要求</w:t>
      </w:r>
    </w:p>
    <w:p w14:paraId="411B4AC2">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政府采购活动中，采购人员及相关人员与供应商有下列利害关系之一的，应当回避：</w:t>
      </w:r>
    </w:p>
    <w:p w14:paraId="4F0FCE04">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（一）参加采购活动前3年内与供应商存在劳动关系；</w:t>
      </w:r>
    </w:p>
    <w:p w14:paraId="2C5F4B9E">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（二）参加采购活动前3年内担任供应商的董事、监事；</w:t>
      </w:r>
    </w:p>
    <w:p w14:paraId="5EE4AFE8">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（三）参加采购活动前3年内是供应商的控股股东或者实际控制人；</w:t>
      </w:r>
    </w:p>
    <w:p w14:paraId="063D4A60">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（四）与供应商的法定代表人或者负责人有夫妻、直系血亲、三代以内旁系血亲或者近姻亲关系；</w:t>
      </w:r>
    </w:p>
    <w:p w14:paraId="785AF859">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（五）与供应商有其他可能影响政府采购活动公平、公正进行的关系。</w:t>
      </w:r>
    </w:p>
    <w:p w14:paraId="54F6665E">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供应商认为采购人员及相关人员与其他供应商有利害关系的，可以向代理机构书面提出回避申请，并说明理由。代理机构将及时询问被申请回避人员，有利害关系的被申请回避人员应当回避。</w:t>
      </w:r>
    </w:p>
    <w:p w14:paraId="0BC1FDB1">
      <w:pPr>
        <w:pStyle w:val="34"/>
        <w:spacing w:line="460" w:lineRule="atLeast"/>
        <w:ind w:firstLine="422"/>
        <w:rPr>
          <w:rFonts w:hint="eastAsia" w:ascii="宋体" w:hAnsi="宋体" w:cs="宋体"/>
          <w:b/>
          <w:color w:val="auto"/>
          <w:sz w:val="21"/>
          <w:szCs w:val="20"/>
          <w:highlight w:val="none"/>
        </w:rPr>
      </w:pPr>
      <w:r>
        <w:rPr>
          <w:rFonts w:hint="eastAsia" w:ascii="宋体" w:hAnsi="宋体" w:cs="宋体"/>
          <w:b/>
          <w:color w:val="auto"/>
          <w:sz w:val="21"/>
          <w:szCs w:val="20"/>
          <w:highlight w:val="none"/>
        </w:rPr>
        <w:t>36.质疑和投诉</w:t>
      </w:r>
    </w:p>
    <w:p w14:paraId="2C2E251A">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36.1供应商如果认为磋商文件(包括磋商内容及采购要求、供应商资格条件、商务条款等) 使自身的合法权益受到损害，可以在获取磋商文件之日起7个工作日内，以书面形式向采购人提出质疑；供应商如果认为采购过程或成交结果使自身的合法权益受到损害，可以在知道或者应知其权益受到损害之日起7个工作日内，以书面形式向</w:t>
      </w:r>
      <w:r>
        <w:rPr>
          <w:rFonts w:hint="eastAsia" w:ascii="宋体" w:hAnsi="宋体" w:cs="宋体"/>
          <w:color w:val="auto"/>
          <w:sz w:val="21"/>
          <w:szCs w:val="20"/>
          <w:highlight w:val="none"/>
          <w:lang w:eastAsia="zh-CN"/>
        </w:rPr>
        <w:t>陕西益森工程咨询有限公司</w:t>
      </w:r>
      <w:r>
        <w:rPr>
          <w:rFonts w:hint="eastAsia" w:ascii="宋体" w:hAnsi="宋体" w:cs="宋体"/>
          <w:color w:val="auto"/>
          <w:sz w:val="21"/>
          <w:szCs w:val="20"/>
          <w:highlight w:val="none"/>
        </w:rPr>
        <w:t>提出质疑。</w:t>
      </w:r>
    </w:p>
    <w:p w14:paraId="015219F6">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36.2供应商提出质疑应当提交质疑函和必要的证明材料，并按财政部 《质疑函范本》 给定的格式进行填写，范本下载详见【财政部国库司( gks.mof.gov.cn)】 网站〖首页• 〉政府采购管理〗栏目中的《政府采购供应商质疑函范本》。</w:t>
      </w:r>
    </w:p>
    <w:p w14:paraId="45BA98BB">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《政府采购供应商质疑函范本》链接地址：</w:t>
      </w:r>
    </w:p>
    <w:p w14:paraId="228217C7">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http://gks.mof.gov.cn/zhengfucaigouguanli/201802/t20180201_2804589.html</w:t>
      </w:r>
    </w:p>
    <w:p w14:paraId="73D6E410">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36.3质疑人为自然人的，应当由本人签字；质疑人为法人或者其他组织的，应当由法定代表人、主要负责人，或者其授权代表签字或者盖章，并加盖公章。被授权代表办理质疑事项时，除提交质疑函外，还应当提交授权委托书及被授权代表的有效身份证明，授权委托书应当载明委托代理的具体权限和事项。</w:t>
      </w:r>
    </w:p>
    <w:p w14:paraId="15F8318D">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36.4在法定质疑期内，针对同一采购程序环节的质疑应当一次性提出。采购代理机构或采购人将在收到书面质疑后7个工作日内做出答复，并以书面形式通知质疑人和其他有关供应商。</w:t>
      </w:r>
    </w:p>
    <w:p w14:paraId="6D91ABE3">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36.5有下列情形之一的，属于无效质疑，采购代理机构和采购人不予受理：</w:t>
      </w:r>
    </w:p>
    <w:p w14:paraId="087C101D">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(1) 质疑人不是参与本次政府采购项目的供应商或潜在供应商；</w:t>
      </w:r>
    </w:p>
    <w:p w14:paraId="1A82EAB3">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(2) 质疑人与质疑事项不存在利害关系的；</w:t>
      </w:r>
    </w:p>
    <w:p w14:paraId="2B72976A">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(3) 未在法定期限内提出质疑的；</w:t>
      </w:r>
    </w:p>
    <w:p w14:paraId="662794CC">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(4) 质疑未以书面形式提出，或质疑函主要内容构成不完整的，或缺乏必要的证明材料及证明材料不完整的；</w:t>
      </w:r>
    </w:p>
    <w:p w14:paraId="17844767">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(5) 质疑函没有合法有效的签字、盖章或授权的；</w:t>
      </w:r>
    </w:p>
    <w:p w14:paraId="48B40678">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(6) 以非法手段取得证据、材料的；</w:t>
      </w:r>
    </w:p>
    <w:p w14:paraId="3D691172">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(7) 质疑答复后，同一质疑人就同一事项再次提出质疑的；</w:t>
      </w:r>
    </w:p>
    <w:p w14:paraId="02CF12D1">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(8) 不符合法律、法规、规章和政府采购监管机构规定的其他条件的。</w:t>
      </w:r>
    </w:p>
    <w:p w14:paraId="5D118B94">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36.6质疑人对采购代理机构或采购人的答复不满意，以及采购代理机构或采购人未在规定时间内做出答复的，可以在答复期满后15个工作日内向政府采购监管机构提出投诉。</w:t>
      </w:r>
    </w:p>
    <w:p w14:paraId="05249AB1">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36.7供应商投诉的事项不得超出已质疑事项的范围。</w:t>
      </w:r>
    </w:p>
    <w:p w14:paraId="2FFCC04F">
      <w:pPr>
        <w:pStyle w:val="34"/>
        <w:spacing w:line="460" w:lineRule="atLeast"/>
        <w:ind w:firstLine="420"/>
        <w:rPr>
          <w:rFonts w:hint="eastAsia" w:ascii="宋体" w:hAnsi="宋体" w:eastAsia="宋体" w:cs="宋体"/>
          <w:color w:val="auto"/>
          <w:sz w:val="21"/>
          <w:szCs w:val="21"/>
        </w:rPr>
      </w:pPr>
      <w:r>
        <w:rPr>
          <w:rFonts w:hint="eastAsia" w:ascii="宋体" w:hAnsi="宋体" w:cs="宋体"/>
          <w:color w:val="auto"/>
          <w:sz w:val="21"/>
          <w:szCs w:val="20"/>
          <w:highlight w:val="none"/>
        </w:rPr>
        <w:t>36.8质疑函递交地址：</w:t>
      </w:r>
      <w:r>
        <w:rPr>
          <w:rFonts w:hint="eastAsia" w:eastAsia="宋体" w:cs="宋体"/>
          <w:color w:val="auto"/>
          <w:sz w:val="21"/>
          <w:szCs w:val="21"/>
          <w:lang w:eastAsia="zh-CN"/>
        </w:rPr>
        <w:t>陕西益森工程咨询有限公司</w:t>
      </w:r>
      <w:r>
        <w:rPr>
          <w:rFonts w:hint="eastAsia" w:ascii="宋体" w:hAnsi="宋体" w:eastAsia="宋体" w:cs="宋体"/>
          <w:color w:val="auto"/>
          <w:sz w:val="21"/>
          <w:szCs w:val="21"/>
        </w:rPr>
        <w:t>（</w:t>
      </w:r>
      <w:r>
        <w:rPr>
          <w:rFonts w:hint="eastAsia" w:ascii="宋体" w:hAnsi="宋体" w:eastAsia="宋体"/>
          <w:color w:val="auto"/>
          <w:sz w:val="21"/>
          <w:szCs w:val="21"/>
          <w:lang w:val="en-US" w:eastAsia="zh-CN"/>
        </w:rPr>
        <w:t>陕西省陕西省西安市雁塔区高新三路财富中心二期B座906</w:t>
      </w:r>
      <w:r>
        <w:rPr>
          <w:rFonts w:hint="eastAsia" w:ascii="宋体" w:hAnsi="宋体" w:eastAsia="宋体" w:cs="宋体"/>
          <w:color w:val="auto"/>
          <w:sz w:val="21"/>
          <w:szCs w:val="21"/>
        </w:rPr>
        <w:t>）</w:t>
      </w:r>
    </w:p>
    <w:p w14:paraId="40B0FE91">
      <w:pPr>
        <w:pStyle w:val="34"/>
        <w:spacing w:line="460" w:lineRule="atLeast"/>
        <w:ind w:firstLine="420"/>
        <w:rPr>
          <w:rFonts w:hint="eastAsia" w:ascii="宋体" w:hAnsi="宋体" w:eastAsia="宋体" w:cs="宋体"/>
          <w:color w:val="auto"/>
          <w:sz w:val="21"/>
          <w:szCs w:val="20"/>
          <w:highlight w:val="none"/>
          <w:lang w:eastAsia="zh-CN"/>
        </w:rPr>
      </w:pPr>
      <w:r>
        <w:rPr>
          <w:rFonts w:hint="eastAsia" w:ascii="宋体" w:hAnsi="宋体" w:cs="宋体"/>
          <w:color w:val="auto"/>
          <w:sz w:val="21"/>
          <w:szCs w:val="20"/>
          <w:highlight w:val="none"/>
          <w:lang w:val="en-US" w:eastAsia="zh-CN"/>
        </w:rPr>
        <w:t>联系部门：</w:t>
      </w:r>
      <w:r>
        <w:rPr>
          <w:rFonts w:hint="eastAsia" w:ascii="宋体" w:hAnsi="宋体" w:cs="宋体"/>
          <w:color w:val="auto"/>
          <w:sz w:val="21"/>
          <w:szCs w:val="20"/>
          <w:highlight w:val="none"/>
          <w:lang w:eastAsia="zh-CN"/>
        </w:rPr>
        <w:t>陕西益森工程咨询有限公司</w:t>
      </w:r>
      <w:r>
        <w:rPr>
          <w:rFonts w:hint="eastAsia" w:ascii="宋体" w:hAnsi="宋体" w:cs="宋体"/>
          <w:color w:val="auto"/>
          <w:sz w:val="21"/>
          <w:szCs w:val="20"/>
          <w:highlight w:val="none"/>
          <w:lang w:val="en-US" w:eastAsia="zh-CN"/>
        </w:rPr>
        <w:t>代理部</w:t>
      </w:r>
      <w:r>
        <w:rPr>
          <w:rFonts w:hint="eastAsia" w:ascii="宋体" w:hAnsi="宋体" w:cs="宋体"/>
          <w:color w:val="auto"/>
          <w:sz w:val="21"/>
          <w:szCs w:val="20"/>
          <w:highlight w:val="none"/>
        </w:rPr>
        <w:t xml:space="preserve"> 联系人：</w:t>
      </w:r>
      <w:r>
        <w:rPr>
          <w:rFonts w:hint="eastAsia" w:eastAsia="宋体" w:cs="宋体"/>
          <w:color w:val="auto"/>
          <w:sz w:val="21"/>
          <w:szCs w:val="21"/>
          <w:lang w:eastAsia="zh-CN"/>
        </w:rPr>
        <w:t>谭琼</w:t>
      </w:r>
      <w:r>
        <w:rPr>
          <w:rFonts w:hint="eastAsia" w:ascii="宋体" w:hAnsi="宋体" w:cs="宋体"/>
          <w:color w:val="auto"/>
          <w:sz w:val="21"/>
          <w:szCs w:val="20"/>
          <w:highlight w:val="none"/>
        </w:rPr>
        <w:t>； 联系电话：</w:t>
      </w:r>
      <w:r>
        <w:rPr>
          <w:rFonts w:hint="default" w:ascii="宋体" w:hAnsi="宋体" w:eastAsia="宋体"/>
          <w:color w:val="auto"/>
          <w:sz w:val="21"/>
          <w:szCs w:val="21"/>
          <w:lang w:eastAsia="zh-CN"/>
        </w:rPr>
        <w:t>029-68866949</w:t>
      </w:r>
      <w:r>
        <w:rPr>
          <w:rFonts w:hint="eastAsia" w:ascii="宋体" w:hAnsi="宋体" w:cs="宋体"/>
          <w:color w:val="auto"/>
          <w:sz w:val="21"/>
          <w:szCs w:val="21"/>
          <w:highlight w:val="none"/>
        </w:rPr>
        <w:t>；</w:t>
      </w:r>
      <w:r>
        <w:rPr>
          <w:rFonts w:hint="eastAsia" w:ascii="宋体" w:hAnsi="宋体" w:cs="宋体"/>
          <w:color w:val="auto"/>
          <w:sz w:val="21"/>
          <w:szCs w:val="20"/>
          <w:highlight w:val="none"/>
        </w:rPr>
        <w:t xml:space="preserve"> 邮编：71007</w:t>
      </w:r>
      <w:r>
        <w:rPr>
          <w:rFonts w:hint="eastAsia" w:ascii="宋体" w:hAnsi="宋体" w:cs="宋体"/>
          <w:color w:val="auto"/>
          <w:sz w:val="21"/>
          <w:szCs w:val="20"/>
          <w:highlight w:val="none"/>
          <w:lang w:val="en-US" w:eastAsia="zh-CN"/>
        </w:rPr>
        <w:t>5</w:t>
      </w:r>
    </w:p>
    <w:p w14:paraId="6122E767">
      <w:pPr>
        <w:widowControl/>
        <w:spacing w:line="460" w:lineRule="atLeast"/>
        <w:jc w:val="left"/>
        <w:rPr>
          <w:rFonts w:hint="eastAsia" w:ascii="宋体" w:hAnsi="宋体" w:eastAsia="宋体" w:cs="宋体"/>
          <w:b/>
          <w:color w:val="auto"/>
          <w:sz w:val="32"/>
          <w:highlight w:val="none"/>
        </w:rPr>
      </w:pPr>
      <w:r>
        <w:rPr>
          <w:rFonts w:hint="eastAsia" w:ascii="宋体" w:hAnsi="宋体" w:eastAsia="宋体" w:cs="宋体"/>
          <w:color w:val="auto"/>
          <w:highlight w:val="none"/>
        </w:rPr>
        <w:br w:type="page"/>
      </w:r>
    </w:p>
    <w:p w14:paraId="13143562">
      <w:pPr>
        <w:pStyle w:val="31"/>
        <w:spacing w:before="381" w:after="381" w:line="460" w:lineRule="atLeast"/>
        <w:outlineLvl w:val="0"/>
        <w:rPr>
          <w:rFonts w:hint="eastAsia" w:ascii="宋体" w:hAnsi="宋体" w:eastAsia="宋体" w:cs="宋体"/>
          <w:color w:val="auto"/>
          <w:highlight w:val="none"/>
        </w:rPr>
      </w:pPr>
      <w:bookmarkStart w:id="9" w:name="_Toc162282439"/>
      <w:bookmarkStart w:id="10" w:name="_Toc16999"/>
      <w:r>
        <w:rPr>
          <w:rFonts w:hint="eastAsia" w:ascii="宋体" w:hAnsi="宋体" w:eastAsia="宋体" w:cs="宋体"/>
          <w:color w:val="auto"/>
          <w:highlight w:val="none"/>
        </w:rPr>
        <w:t>第三章 资格审查</w:t>
      </w:r>
      <w:bookmarkEnd w:id="9"/>
      <w:bookmarkEnd w:id="10"/>
    </w:p>
    <w:p w14:paraId="0950B7B6">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1.开标结束后，由采购人对磋商响应文件中的供应商资格证明文件进行审查，并对供应商信用记录进行核查。</w:t>
      </w:r>
    </w:p>
    <w:p w14:paraId="78A4830D">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2.供应商提供的资格证明文件缺少任何一项或有任何一项不满足，都将被视为无效投标。供应商所提供的资格证明文件应图文清晰、易于辨识，否则由此带来的不利后果由供应商自行承担。</w:t>
      </w:r>
    </w:p>
    <w:p w14:paraId="5A4483EE">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3.资格审查按下列程序进行：</w:t>
      </w:r>
    </w:p>
    <w:p w14:paraId="11862532">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（1）供应商基本资格条件审查；</w:t>
      </w:r>
    </w:p>
    <w:p w14:paraId="624D9992">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（2）供应商特定资格条件审查（如有）。</w:t>
      </w:r>
    </w:p>
    <w:p w14:paraId="56096EE6">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4.磋商文件经确认后，磋商小组对响应文件中的供应商资格证明文件进行审查。出现下列情形的，响应文件将被视为无效：</w:t>
      </w:r>
    </w:p>
    <w:p w14:paraId="42F046DF">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（1）不具备磋商文件中规定的资格要求的；</w:t>
      </w:r>
    </w:p>
    <w:p w14:paraId="16DBA045">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（2）未按磋商文件要求提供资格证明文件，或资格证明文件未按磋商文件要求签字、盖章的；</w:t>
      </w:r>
    </w:p>
    <w:p w14:paraId="02A046F2">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（3）法律法规规定的其他无效情形。</w:t>
      </w:r>
    </w:p>
    <w:p w14:paraId="59CE5727">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5.资格审查结束后，资格审查人应当对审查结果进行签字确认；对未通过资格审查的供应商，资格审查小组应当场告知其未通过的原因。未通过资格审查的供应商，不得进入后续磋商、评审环节。</w:t>
      </w:r>
    </w:p>
    <w:p w14:paraId="5BF25793">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6.通过资格审查的供应商不足3家的，不得进行符合性审查，应予以废标。</w:t>
      </w:r>
    </w:p>
    <w:p w14:paraId="7B167C2A">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7.资格性审查表</w:t>
      </w:r>
    </w:p>
    <w:p w14:paraId="28A64854">
      <w:pPr>
        <w:pStyle w:val="34"/>
        <w:spacing w:line="460" w:lineRule="atLeast"/>
        <w:ind w:firstLine="420"/>
        <w:rPr>
          <w:rFonts w:hint="eastAsia" w:ascii="宋体" w:hAnsi="宋体" w:cs="宋体"/>
          <w:color w:val="auto"/>
          <w:sz w:val="21"/>
          <w:szCs w:val="21"/>
          <w:highlight w:val="none"/>
        </w:rPr>
      </w:pPr>
    </w:p>
    <w:p w14:paraId="0E3175BE">
      <w:pPr>
        <w:pStyle w:val="34"/>
        <w:spacing w:line="460" w:lineRule="atLeast"/>
        <w:ind w:firstLine="420"/>
        <w:rPr>
          <w:rFonts w:hint="eastAsia" w:ascii="宋体" w:hAnsi="宋体" w:cs="宋体"/>
          <w:color w:val="auto"/>
          <w:sz w:val="21"/>
          <w:szCs w:val="21"/>
          <w:highlight w:val="none"/>
        </w:rPr>
      </w:pPr>
    </w:p>
    <w:p w14:paraId="1A7EA87B">
      <w:pPr>
        <w:pStyle w:val="34"/>
        <w:spacing w:line="460" w:lineRule="atLeast"/>
        <w:ind w:firstLine="420"/>
        <w:rPr>
          <w:rFonts w:hint="eastAsia" w:ascii="宋体" w:hAnsi="宋体" w:cs="宋体"/>
          <w:color w:val="auto"/>
          <w:sz w:val="21"/>
          <w:szCs w:val="21"/>
          <w:highlight w:val="none"/>
        </w:rPr>
      </w:pPr>
    </w:p>
    <w:p w14:paraId="081241D7">
      <w:pPr>
        <w:pStyle w:val="34"/>
        <w:spacing w:line="460" w:lineRule="atLeast"/>
        <w:ind w:firstLine="420"/>
        <w:rPr>
          <w:rFonts w:hint="eastAsia" w:ascii="宋体" w:hAnsi="宋体" w:cs="宋体"/>
          <w:color w:val="auto"/>
          <w:sz w:val="21"/>
          <w:szCs w:val="21"/>
          <w:highlight w:val="none"/>
        </w:rPr>
      </w:pPr>
    </w:p>
    <w:p w14:paraId="3F748FB3">
      <w:pPr>
        <w:pStyle w:val="34"/>
        <w:spacing w:line="460" w:lineRule="atLeast"/>
        <w:ind w:firstLine="420"/>
        <w:rPr>
          <w:rFonts w:hint="eastAsia" w:ascii="宋体" w:hAnsi="宋体" w:cs="宋体"/>
          <w:color w:val="auto"/>
          <w:sz w:val="21"/>
          <w:szCs w:val="21"/>
          <w:highlight w:val="none"/>
        </w:rPr>
      </w:pPr>
    </w:p>
    <w:p w14:paraId="75B9A183">
      <w:pPr>
        <w:pStyle w:val="34"/>
        <w:spacing w:line="460" w:lineRule="atLeast"/>
        <w:ind w:firstLine="420"/>
        <w:rPr>
          <w:rFonts w:hint="eastAsia" w:ascii="宋体" w:hAnsi="宋体" w:cs="宋体"/>
          <w:color w:val="auto"/>
          <w:sz w:val="21"/>
          <w:szCs w:val="21"/>
          <w:highlight w:val="none"/>
        </w:rPr>
      </w:pPr>
    </w:p>
    <w:p w14:paraId="6D761679">
      <w:pPr>
        <w:pStyle w:val="34"/>
        <w:spacing w:line="460" w:lineRule="atLeast"/>
        <w:ind w:firstLine="420"/>
        <w:rPr>
          <w:rFonts w:hint="eastAsia" w:ascii="宋体" w:hAnsi="宋体" w:cs="宋体"/>
          <w:color w:val="auto"/>
          <w:sz w:val="21"/>
          <w:szCs w:val="21"/>
          <w:highlight w:val="none"/>
        </w:rPr>
      </w:pPr>
    </w:p>
    <w:p w14:paraId="664911C5">
      <w:pPr>
        <w:pStyle w:val="34"/>
        <w:spacing w:line="460" w:lineRule="atLeast"/>
        <w:ind w:firstLine="420"/>
        <w:rPr>
          <w:rFonts w:hint="eastAsia" w:ascii="宋体" w:hAnsi="宋体" w:cs="宋体"/>
          <w:color w:val="auto"/>
          <w:sz w:val="21"/>
          <w:szCs w:val="21"/>
          <w:highlight w:val="none"/>
        </w:rPr>
      </w:pPr>
    </w:p>
    <w:tbl>
      <w:tblPr>
        <w:tblStyle w:val="23"/>
        <w:tblW w:w="9009"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836"/>
        <w:gridCol w:w="2336"/>
        <w:gridCol w:w="3936"/>
        <w:gridCol w:w="1901"/>
      </w:tblGrid>
      <w:tr w14:paraId="1FCEEA0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36" w:type="dxa"/>
            <w:tcBorders>
              <w:top w:val="single" w:color="auto" w:sz="12" w:space="0"/>
              <w:bottom w:val="single" w:color="auto" w:sz="2" w:space="0"/>
            </w:tcBorders>
            <w:shd w:val="clear" w:color="auto" w:fill="F2F2F2"/>
            <w:vAlign w:val="center"/>
          </w:tcPr>
          <w:p w14:paraId="0A42D888">
            <w:pPr>
              <w:spacing w:line="460" w:lineRule="atLeast"/>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2336" w:type="dxa"/>
            <w:tcBorders>
              <w:top w:val="single" w:color="auto" w:sz="12" w:space="0"/>
              <w:bottom w:val="single" w:color="auto" w:sz="2" w:space="0"/>
            </w:tcBorders>
            <w:shd w:val="clear" w:color="auto" w:fill="F2F2F2"/>
            <w:vAlign w:val="center"/>
          </w:tcPr>
          <w:p w14:paraId="4179804B">
            <w:pPr>
              <w:spacing w:line="460" w:lineRule="atLeast"/>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资格项</w:t>
            </w:r>
          </w:p>
        </w:tc>
        <w:tc>
          <w:tcPr>
            <w:tcW w:w="3936" w:type="dxa"/>
            <w:tcBorders>
              <w:top w:val="single" w:color="auto" w:sz="12" w:space="0"/>
              <w:bottom w:val="single" w:color="auto" w:sz="2" w:space="0"/>
            </w:tcBorders>
            <w:shd w:val="clear" w:color="auto" w:fill="F2F2F2"/>
            <w:vAlign w:val="center"/>
          </w:tcPr>
          <w:p w14:paraId="6D3BA17F">
            <w:pPr>
              <w:spacing w:line="460" w:lineRule="atLeast"/>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审查内容</w:t>
            </w:r>
          </w:p>
        </w:tc>
        <w:tc>
          <w:tcPr>
            <w:tcW w:w="1901" w:type="dxa"/>
            <w:tcBorders>
              <w:top w:val="single" w:color="auto" w:sz="12" w:space="0"/>
              <w:bottom w:val="single" w:color="auto" w:sz="2" w:space="0"/>
            </w:tcBorders>
            <w:shd w:val="clear" w:color="auto" w:fill="F2F2F2"/>
            <w:vAlign w:val="center"/>
          </w:tcPr>
          <w:p w14:paraId="23AF86B1">
            <w:pPr>
              <w:spacing w:line="460" w:lineRule="atLeast"/>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审查标准</w:t>
            </w:r>
          </w:p>
        </w:tc>
      </w:tr>
      <w:tr w14:paraId="0AB0E74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625" w:hRule="atLeast"/>
          <w:jc w:val="center"/>
        </w:trPr>
        <w:tc>
          <w:tcPr>
            <w:tcW w:w="836" w:type="dxa"/>
            <w:vAlign w:val="center"/>
          </w:tcPr>
          <w:p w14:paraId="5FF4CB15">
            <w:pPr>
              <w:spacing w:line="460" w:lineRule="atLeast"/>
              <w:jc w:val="center"/>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1</w:t>
            </w:r>
          </w:p>
        </w:tc>
        <w:tc>
          <w:tcPr>
            <w:tcW w:w="2336" w:type="dxa"/>
            <w:vAlign w:val="center"/>
          </w:tcPr>
          <w:p w14:paraId="0ACC5E84">
            <w:pPr>
              <w:spacing w:line="460" w:lineRule="atLeast"/>
              <w:jc w:val="center"/>
              <w:rPr>
                <w:rFonts w:hint="eastAsia" w:ascii="宋体" w:hAnsi="宋体" w:eastAsia="宋体" w:cs="宋体"/>
                <w:color w:val="auto"/>
                <w:szCs w:val="21"/>
                <w:highlight w:val="none"/>
                <w:shd w:val="clear" w:color="auto" w:fill="FFFFFF"/>
              </w:rPr>
            </w:pPr>
            <w:r>
              <w:rPr>
                <w:rFonts w:hint="eastAsia" w:ascii="宋体" w:hAnsi="宋体" w:eastAsia="宋体" w:cs="Times New Roman"/>
                <w:color w:val="auto"/>
                <w:kern w:val="2"/>
                <w:sz w:val="21"/>
                <w:szCs w:val="21"/>
                <w:lang w:val="en-US" w:eastAsia="zh-CN" w:bidi="ar-SA"/>
              </w:rPr>
              <w:t>有效的主体资格证明</w:t>
            </w:r>
          </w:p>
        </w:tc>
        <w:tc>
          <w:tcPr>
            <w:tcW w:w="3936" w:type="dxa"/>
            <w:vAlign w:val="center"/>
          </w:tcPr>
          <w:p w14:paraId="77034710">
            <w:pPr>
              <w:spacing w:line="460" w:lineRule="atLeast"/>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有效的主体资格证明：供应商应是独立承担民事责任能力的法人、其他组织或自然人，法人、其他组织须提供合法有效的营业执照(或事业单位法人证书)等证明资料，自然人须提供身份证明。</w:t>
            </w:r>
          </w:p>
        </w:tc>
        <w:tc>
          <w:tcPr>
            <w:tcW w:w="1901" w:type="dxa"/>
            <w:vAlign w:val="center"/>
          </w:tcPr>
          <w:p w14:paraId="53CA15BD">
            <w:pPr>
              <w:spacing w:line="460" w:lineRule="atLeast"/>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符合竞争性磋商文件要求</w:t>
            </w:r>
          </w:p>
        </w:tc>
      </w:tr>
      <w:tr w14:paraId="105E1C6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596" w:hRule="atLeast"/>
          <w:jc w:val="center"/>
        </w:trPr>
        <w:tc>
          <w:tcPr>
            <w:tcW w:w="836" w:type="dxa"/>
            <w:vAlign w:val="center"/>
          </w:tcPr>
          <w:p w14:paraId="3FA54CAF">
            <w:pPr>
              <w:spacing w:line="460" w:lineRule="atLeast"/>
              <w:jc w:val="center"/>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2</w:t>
            </w:r>
          </w:p>
        </w:tc>
        <w:tc>
          <w:tcPr>
            <w:tcW w:w="2336" w:type="dxa"/>
            <w:vAlign w:val="center"/>
          </w:tcPr>
          <w:p w14:paraId="437BB0C3">
            <w:pPr>
              <w:spacing w:line="460" w:lineRule="atLeast"/>
              <w:jc w:val="center"/>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财务状况报告</w:t>
            </w:r>
          </w:p>
        </w:tc>
        <w:tc>
          <w:tcPr>
            <w:tcW w:w="3936" w:type="dxa"/>
            <w:vAlign w:val="center"/>
          </w:tcPr>
          <w:p w14:paraId="7B3904D9">
            <w:pPr>
              <w:pStyle w:val="34"/>
              <w:spacing w:line="460" w:lineRule="atLeast"/>
              <w:ind w:left="0" w:leftChars="0" w:firstLine="0" w:firstLineChars="0"/>
              <w:rPr>
                <w:rFonts w:hint="eastAsia" w:ascii="宋体" w:hAnsi="宋体" w:cs="宋体"/>
                <w:color w:val="auto"/>
                <w:sz w:val="21"/>
                <w:szCs w:val="21"/>
                <w:highlight w:val="none"/>
                <w:shd w:val="clear" w:color="auto" w:fill="FFFFFF"/>
              </w:rPr>
            </w:pPr>
            <w:r>
              <w:rPr>
                <w:rFonts w:hint="eastAsia" w:ascii="宋体" w:hAnsi="宋体" w:eastAsia="宋体" w:cs="Times New Roman"/>
                <w:color w:val="auto"/>
                <w:kern w:val="2"/>
                <w:sz w:val="21"/>
                <w:szCs w:val="21"/>
                <w:lang w:val="en-US" w:eastAsia="zh-CN" w:bidi="ar-SA"/>
              </w:rPr>
              <w:t>提供2025年度经审计的财务审计报告（成立时间至开标时间不足一年的可提供成立后任意时段的资产负债表）或磋商截止时间前六个月内其基本账户银行出具的资信证明或政府采购信用担保机构出具的担保函；(以上三种形式的资料提供任何一种即可)；</w:t>
            </w:r>
          </w:p>
        </w:tc>
        <w:tc>
          <w:tcPr>
            <w:tcW w:w="1901" w:type="dxa"/>
            <w:vAlign w:val="center"/>
          </w:tcPr>
          <w:p w14:paraId="557BFB22">
            <w:pPr>
              <w:spacing w:line="460" w:lineRule="atLeast"/>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符合竞争性磋商文件要求</w:t>
            </w:r>
          </w:p>
        </w:tc>
      </w:tr>
      <w:tr w14:paraId="45410C2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36" w:type="dxa"/>
            <w:vAlign w:val="center"/>
          </w:tcPr>
          <w:p w14:paraId="05742EC1">
            <w:pPr>
              <w:spacing w:line="460" w:lineRule="atLeast"/>
              <w:jc w:val="center"/>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3</w:t>
            </w:r>
          </w:p>
        </w:tc>
        <w:tc>
          <w:tcPr>
            <w:tcW w:w="2336" w:type="dxa"/>
            <w:vAlign w:val="center"/>
          </w:tcPr>
          <w:p w14:paraId="55325058">
            <w:pPr>
              <w:spacing w:line="460" w:lineRule="atLeast"/>
              <w:jc w:val="center"/>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社保资金缴纳</w:t>
            </w:r>
          </w:p>
          <w:p w14:paraId="06411C95">
            <w:pPr>
              <w:spacing w:line="460" w:lineRule="atLeast"/>
              <w:jc w:val="center"/>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证明</w:t>
            </w:r>
          </w:p>
        </w:tc>
        <w:tc>
          <w:tcPr>
            <w:tcW w:w="3936" w:type="dxa"/>
            <w:vAlign w:val="center"/>
          </w:tcPr>
          <w:p w14:paraId="0AF24717">
            <w:pPr>
              <w:spacing w:line="460" w:lineRule="atLeast"/>
              <w:rPr>
                <w:rFonts w:hint="eastAsia" w:ascii="宋体" w:hAnsi="宋体" w:eastAsia="宋体" w:cs="宋体"/>
                <w:color w:val="auto"/>
                <w:szCs w:val="21"/>
                <w:highlight w:val="none"/>
                <w:shd w:val="clear" w:color="auto" w:fill="FFFFFF"/>
              </w:rPr>
            </w:pPr>
            <w:r>
              <w:rPr>
                <w:rFonts w:hint="eastAsia" w:ascii="宋体" w:hAnsi="宋体" w:eastAsia="宋体" w:cs="宋体"/>
                <w:color w:val="auto"/>
                <w:sz w:val="21"/>
                <w:szCs w:val="21"/>
                <w:highlight w:val="none"/>
                <w:shd w:val="clear" w:color="auto" w:fill="FFFFFF"/>
              </w:rPr>
              <w:t>提供202</w:t>
            </w:r>
            <w:r>
              <w:rPr>
                <w:rFonts w:hint="eastAsia" w:eastAsia="宋体" w:cs="宋体"/>
                <w:color w:val="auto"/>
                <w:sz w:val="21"/>
                <w:szCs w:val="21"/>
                <w:highlight w:val="none"/>
                <w:shd w:val="clear" w:color="auto" w:fill="FFFFFF"/>
                <w:lang w:val="en-US" w:eastAsia="zh-CN"/>
              </w:rPr>
              <w:t>6</w:t>
            </w:r>
            <w:r>
              <w:rPr>
                <w:rFonts w:hint="eastAsia" w:ascii="宋体" w:hAnsi="宋体" w:eastAsia="宋体" w:cs="宋体"/>
                <w:color w:val="auto"/>
                <w:sz w:val="21"/>
                <w:szCs w:val="21"/>
                <w:highlight w:val="none"/>
                <w:shd w:val="clear" w:color="auto" w:fill="FFFFFF"/>
              </w:rPr>
              <w:t>年1月1日至磋商截止时间前任意一个月已缴纳的社会保障资金的凭据（专用收据或社会保险缴纳清单）；依法不需要缴纳社会保障资金的</w:t>
            </w:r>
            <w:r>
              <w:rPr>
                <w:rFonts w:hint="eastAsia" w:ascii="宋体" w:hAnsi="宋体" w:eastAsia="宋体" w:cs="宋体"/>
                <w:color w:val="auto"/>
                <w:sz w:val="21"/>
                <w:szCs w:val="21"/>
                <w:highlight w:val="none"/>
                <w:shd w:val="clear" w:color="auto" w:fill="FFFFFF"/>
                <w:lang w:eastAsia="zh-CN"/>
              </w:rPr>
              <w:t>供应商</w:t>
            </w:r>
            <w:r>
              <w:rPr>
                <w:rFonts w:hint="eastAsia" w:ascii="宋体" w:hAnsi="宋体" w:eastAsia="宋体" w:cs="宋体"/>
                <w:color w:val="auto"/>
                <w:sz w:val="21"/>
                <w:szCs w:val="21"/>
                <w:highlight w:val="none"/>
                <w:shd w:val="clear" w:color="auto" w:fill="FFFFFF"/>
              </w:rPr>
              <w:t>应提供相关文件证明</w:t>
            </w:r>
            <w:r>
              <w:rPr>
                <w:rFonts w:hint="eastAsia" w:eastAsia="宋体" w:cs="宋体"/>
                <w:color w:val="auto"/>
                <w:sz w:val="21"/>
                <w:szCs w:val="21"/>
                <w:highlight w:val="none"/>
                <w:shd w:val="clear" w:color="auto" w:fill="FFFFFF"/>
                <w:lang w:val="en-US" w:eastAsia="zh-CN"/>
              </w:rPr>
              <w:t>并加盖公章</w:t>
            </w:r>
            <w:r>
              <w:rPr>
                <w:rFonts w:hint="eastAsia" w:ascii="宋体" w:hAnsi="宋体" w:eastAsia="宋体" w:cs="宋体"/>
                <w:color w:val="auto"/>
                <w:sz w:val="21"/>
                <w:szCs w:val="21"/>
                <w:highlight w:val="none"/>
                <w:shd w:val="clear" w:color="auto" w:fill="FFFFFF"/>
              </w:rPr>
              <w:t xml:space="preserve">；  </w:t>
            </w:r>
          </w:p>
        </w:tc>
        <w:tc>
          <w:tcPr>
            <w:tcW w:w="1901" w:type="dxa"/>
            <w:vAlign w:val="center"/>
          </w:tcPr>
          <w:p w14:paraId="0B9DF15C">
            <w:pPr>
              <w:spacing w:line="460" w:lineRule="atLeast"/>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符合竞争性磋商文件要求</w:t>
            </w:r>
          </w:p>
        </w:tc>
      </w:tr>
      <w:tr w14:paraId="486D480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36" w:type="dxa"/>
            <w:vAlign w:val="center"/>
          </w:tcPr>
          <w:p w14:paraId="6B7BCA58">
            <w:pPr>
              <w:spacing w:line="460" w:lineRule="atLeast"/>
              <w:jc w:val="center"/>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4</w:t>
            </w:r>
          </w:p>
        </w:tc>
        <w:tc>
          <w:tcPr>
            <w:tcW w:w="2336" w:type="dxa"/>
            <w:vAlign w:val="center"/>
          </w:tcPr>
          <w:p w14:paraId="070E892F">
            <w:pPr>
              <w:spacing w:line="460" w:lineRule="atLeast"/>
              <w:jc w:val="center"/>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税收缴纳证明</w:t>
            </w:r>
          </w:p>
        </w:tc>
        <w:tc>
          <w:tcPr>
            <w:tcW w:w="3936" w:type="dxa"/>
            <w:vAlign w:val="center"/>
          </w:tcPr>
          <w:p w14:paraId="53B18340">
            <w:pPr>
              <w:spacing w:line="460" w:lineRule="atLeast"/>
              <w:rPr>
                <w:rFonts w:hint="eastAsia" w:ascii="宋体" w:hAnsi="宋体" w:eastAsia="宋体" w:cs="宋体"/>
                <w:color w:val="auto"/>
                <w:szCs w:val="21"/>
                <w:highlight w:val="none"/>
                <w:shd w:val="clear" w:color="auto" w:fill="FFFFFF"/>
              </w:rPr>
            </w:pPr>
            <w:r>
              <w:rPr>
                <w:rFonts w:hint="eastAsia" w:ascii="宋体" w:hAnsi="宋体" w:eastAsia="宋体" w:cs="宋体"/>
                <w:color w:val="auto"/>
                <w:sz w:val="21"/>
                <w:szCs w:val="21"/>
                <w:highlight w:val="none"/>
                <w:shd w:val="clear" w:color="auto" w:fill="FFFFFF"/>
              </w:rPr>
              <w:t>提供202</w:t>
            </w:r>
            <w:r>
              <w:rPr>
                <w:rFonts w:hint="eastAsia" w:eastAsia="宋体" w:cs="宋体"/>
                <w:color w:val="auto"/>
                <w:sz w:val="21"/>
                <w:szCs w:val="21"/>
                <w:highlight w:val="none"/>
                <w:shd w:val="clear" w:color="auto" w:fill="FFFFFF"/>
                <w:lang w:val="en-US" w:eastAsia="zh-CN"/>
              </w:rPr>
              <w:t>6</w:t>
            </w:r>
            <w:r>
              <w:rPr>
                <w:rFonts w:hint="eastAsia" w:ascii="宋体" w:hAnsi="宋体" w:eastAsia="宋体" w:cs="宋体"/>
                <w:color w:val="auto"/>
                <w:sz w:val="21"/>
                <w:szCs w:val="21"/>
                <w:highlight w:val="none"/>
                <w:shd w:val="clear" w:color="auto" w:fill="FFFFFF"/>
              </w:rPr>
              <w:t>年1月1日至磋商截止时间前任意一个月的纳税证明或完税证明，凭据应有税务机关或代收机关的公章或业务专用章。依法免税或无须缴纳税收的供应商，应提供相应证明文件</w:t>
            </w:r>
            <w:r>
              <w:rPr>
                <w:rFonts w:hint="eastAsia" w:eastAsia="宋体" w:cs="宋体"/>
                <w:color w:val="auto"/>
                <w:sz w:val="21"/>
                <w:szCs w:val="21"/>
                <w:highlight w:val="none"/>
                <w:shd w:val="clear" w:color="auto" w:fill="FFFFFF"/>
                <w:lang w:val="en-US" w:eastAsia="zh-CN"/>
              </w:rPr>
              <w:t>并加盖公章</w:t>
            </w:r>
            <w:r>
              <w:rPr>
                <w:rFonts w:hint="eastAsia" w:ascii="宋体" w:hAnsi="宋体" w:eastAsia="宋体" w:cs="宋体"/>
                <w:color w:val="auto"/>
                <w:sz w:val="21"/>
                <w:szCs w:val="21"/>
                <w:highlight w:val="none"/>
                <w:shd w:val="clear" w:color="auto" w:fill="FFFFFF"/>
              </w:rPr>
              <w:t>。</w:t>
            </w:r>
          </w:p>
        </w:tc>
        <w:tc>
          <w:tcPr>
            <w:tcW w:w="1901" w:type="dxa"/>
            <w:vAlign w:val="center"/>
          </w:tcPr>
          <w:p w14:paraId="5C050A69">
            <w:pPr>
              <w:spacing w:line="460" w:lineRule="atLeast"/>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符合竞争性磋商文件要求</w:t>
            </w:r>
          </w:p>
        </w:tc>
      </w:tr>
      <w:tr w14:paraId="2E59C74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36" w:type="dxa"/>
            <w:vAlign w:val="center"/>
          </w:tcPr>
          <w:p w14:paraId="2370B48C">
            <w:pPr>
              <w:spacing w:line="460" w:lineRule="atLeast"/>
              <w:jc w:val="center"/>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5</w:t>
            </w:r>
          </w:p>
        </w:tc>
        <w:tc>
          <w:tcPr>
            <w:tcW w:w="2336" w:type="dxa"/>
            <w:vAlign w:val="center"/>
          </w:tcPr>
          <w:p w14:paraId="35CB1256">
            <w:pPr>
              <w:spacing w:line="460" w:lineRule="atLeast"/>
              <w:jc w:val="center"/>
              <w:rPr>
                <w:rFonts w:hint="eastAsia" w:ascii="宋体" w:hAnsi="宋体" w:eastAsia="宋体" w:cs="宋体"/>
                <w:color w:val="auto"/>
                <w:szCs w:val="21"/>
                <w:highlight w:val="none"/>
                <w:shd w:val="clear" w:color="auto" w:fill="FFFFFF"/>
              </w:rPr>
            </w:pPr>
            <w:r>
              <w:rPr>
                <w:rFonts w:hint="eastAsia" w:ascii="宋体" w:hAnsi="宋体" w:eastAsia="宋体" w:cs="宋体"/>
                <w:color w:val="auto"/>
                <w:sz w:val="21"/>
                <w:szCs w:val="21"/>
                <w:highlight w:val="none"/>
                <w:shd w:val="clear" w:color="auto" w:fill="FFFFFF"/>
              </w:rPr>
              <w:t>书面声明</w:t>
            </w:r>
          </w:p>
        </w:tc>
        <w:tc>
          <w:tcPr>
            <w:tcW w:w="3936" w:type="dxa"/>
            <w:vAlign w:val="center"/>
          </w:tcPr>
          <w:p w14:paraId="4A8B3EEA">
            <w:pPr>
              <w:spacing w:line="460" w:lineRule="atLeast"/>
              <w:rPr>
                <w:rFonts w:hint="eastAsia" w:ascii="宋体" w:hAnsi="宋体" w:eastAsia="宋体" w:cs="宋体"/>
                <w:color w:val="auto"/>
                <w:szCs w:val="21"/>
                <w:highlight w:val="none"/>
                <w:shd w:val="clear" w:color="auto" w:fill="FFFFFF"/>
              </w:rPr>
            </w:pPr>
            <w:r>
              <w:rPr>
                <w:rFonts w:hint="eastAsia" w:ascii="宋体" w:hAnsi="宋体" w:eastAsia="宋体" w:cs="宋体"/>
                <w:color w:val="auto"/>
                <w:sz w:val="21"/>
                <w:szCs w:val="21"/>
                <w:highlight w:val="none"/>
                <w:shd w:val="clear" w:color="auto" w:fill="FFFFFF"/>
                <w:lang w:val="en-US" w:eastAsia="zh-CN"/>
              </w:rPr>
              <w:t>参加磋商活动前 3 年内，在经营活动中没有重大违法记录的书面声明；</w:t>
            </w:r>
          </w:p>
        </w:tc>
        <w:tc>
          <w:tcPr>
            <w:tcW w:w="1901" w:type="dxa"/>
            <w:vAlign w:val="center"/>
          </w:tcPr>
          <w:p w14:paraId="5AF97065">
            <w:pPr>
              <w:spacing w:line="460" w:lineRule="atLeast"/>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符合竞争性磋商文件要求</w:t>
            </w:r>
          </w:p>
        </w:tc>
      </w:tr>
      <w:tr w14:paraId="641FDC8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36" w:type="dxa"/>
            <w:vAlign w:val="center"/>
          </w:tcPr>
          <w:p w14:paraId="453EE0E9">
            <w:pPr>
              <w:spacing w:line="460" w:lineRule="atLeast"/>
              <w:jc w:val="center"/>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6</w:t>
            </w:r>
          </w:p>
        </w:tc>
        <w:tc>
          <w:tcPr>
            <w:tcW w:w="2336" w:type="dxa"/>
            <w:vAlign w:val="center"/>
          </w:tcPr>
          <w:p w14:paraId="184716A0">
            <w:pPr>
              <w:spacing w:line="460" w:lineRule="atLeast"/>
              <w:ind w:firstLine="210" w:firstLineChars="100"/>
              <w:jc w:val="center"/>
              <w:rPr>
                <w:rFonts w:hint="eastAsia" w:ascii="宋体" w:hAnsi="宋体" w:eastAsia="宋体" w:cs="宋体"/>
                <w:color w:val="auto"/>
                <w:szCs w:val="21"/>
                <w:highlight w:val="none"/>
                <w:shd w:val="clear" w:color="auto" w:fill="FFFFFF"/>
              </w:rPr>
            </w:pPr>
            <w:r>
              <w:rPr>
                <w:rFonts w:hint="eastAsia" w:eastAsia="宋体" w:cs="宋体"/>
                <w:color w:val="auto"/>
                <w:sz w:val="21"/>
                <w:szCs w:val="21"/>
                <w:highlight w:val="none"/>
                <w:shd w:val="clear" w:color="auto" w:fill="FFFFFF"/>
                <w:lang w:val="en-US" w:eastAsia="zh-CN"/>
              </w:rPr>
              <w:t>信用查询</w:t>
            </w:r>
          </w:p>
        </w:tc>
        <w:tc>
          <w:tcPr>
            <w:tcW w:w="3936" w:type="dxa"/>
            <w:vAlign w:val="center"/>
          </w:tcPr>
          <w:p w14:paraId="7A3BB2A4">
            <w:pPr>
              <w:keepNext w:val="0"/>
              <w:keepLines w:val="0"/>
              <w:pageBreakBefore w:val="0"/>
              <w:widowControl w:val="0"/>
              <w:kinsoku/>
              <w:wordWrap w:val="0"/>
              <w:overflowPunct/>
              <w:topLinePunct w:val="0"/>
              <w:autoSpaceDE/>
              <w:autoSpaceDN/>
              <w:bidi w:val="0"/>
              <w:adjustRightInd/>
              <w:snapToGrid/>
              <w:spacing w:line="460" w:lineRule="atLeast"/>
              <w:textAlignment w:val="auto"/>
              <w:rPr>
                <w:rFonts w:hint="eastAsia" w:ascii="宋体" w:hAnsi="宋体" w:eastAsia="宋体" w:cs="宋体"/>
                <w:color w:val="auto"/>
                <w:szCs w:val="21"/>
                <w:highlight w:val="none"/>
                <w:shd w:val="clear" w:color="auto" w:fill="FFFFFF"/>
              </w:rPr>
            </w:pPr>
            <w:r>
              <w:rPr>
                <w:rFonts w:hint="eastAsia" w:ascii="宋体" w:hAnsi="宋体" w:eastAsia="宋体" w:cs="Times New Roman"/>
                <w:color w:val="auto"/>
                <w:kern w:val="2"/>
                <w:sz w:val="21"/>
                <w:szCs w:val="21"/>
                <w:lang w:val="en-US" w:eastAsia="zh-CN" w:bidi="ar-SA"/>
              </w:rPr>
              <w:t>供应商不得为“信用中国”网站(http://www.creditchina.gov.cn)列入“失信被执行人（页面跳转至“中国执行信息公开网http://zxgk.court.gov.cn/shixin/）、重大税收违法失信主体、政府采购严重违法失信行为记录名单”的供应商；不得为中国政府采购网 (http://www.ccgp.gov.cn)“政府采购严重违法失信行为记录名单”中的供应商。</w:t>
            </w:r>
            <w:r>
              <w:rPr>
                <w:rFonts w:hint="eastAsia" w:ascii="宋体" w:hAnsi="宋体" w:eastAsia="宋体" w:cs="Times New Roman"/>
                <w:b/>
                <w:bCs/>
                <w:color w:val="auto"/>
                <w:kern w:val="2"/>
                <w:sz w:val="21"/>
                <w:szCs w:val="21"/>
                <w:lang w:val="en-US" w:eastAsia="zh-CN" w:bidi="ar-SA"/>
              </w:rPr>
              <w:t>（供应商在响应文件中提供查询截图，以现场查询结果为准）</w:t>
            </w:r>
          </w:p>
        </w:tc>
        <w:tc>
          <w:tcPr>
            <w:tcW w:w="1901" w:type="dxa"/>
            <w:vAlign w:val="center"/>
          </w:tcPr>
          <w:p w14:paraId="5F413875">
            <w:pPr>
              <w:spacing w:line="460" w:lineRule="atLeast"/>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符合竞争性磋商文件要求</w:t>
            </w:r>
          </w:p>
        </w:tc>
      </w:tr>
      <w:tr w14:paraId="1A32097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36" w:type="dxa"/>
            <w:vAlign w:val="center"/>
          </w:tcPr>
          <w:p w14:paraId="4E9D8319">
            <w:pPr>
              <w:spacing w:line="460" w:lineRule="atLeast"/>
              <w:jc w:val="center"/>
              <w:rPr>
                <w:rFonts w:hint="eastAsia" w:ascii="宋体" w:hAnsi="宋体" w:eastAsia="宋体" w:cs="宋体"/>
                <w:color w:val="auto"/>
                <w:szCs w:val="21"/>
                <w:highlight w:val="none"/>
                <w:shd w:val="clear" w:color="auto" w:fill="FFFFFF"/>
                <w:lang w:val="en-US" w:eastAsia="zh-CN"/>
              </w:rPr>
            </w:pPr>
            <w:r>
              <w:rPr>
                <w:rFonts w:hint="eastAsia" w:ascii="宋体" w:hAnsi="宋体" w:eastAsia="宋体" w:cs="宋体"/>
                <w:color w:val="auto"/>
                <w:szCs w:val="21"/>
                <w:highlight w:val="none"/>
                <w:shd w:val="clear" w:color="auto" w:fill="FFFFFF"/>
                <w:lang w:val="en-US" w:eastAsia="zh-CN"/>
              </w:rPr>
              <w:t>7</w:t>
            </w:r>
          </w:p>
        </w:tc>
        <w:tc>
          <w:tcPr>
            <w:tcW w:w="2336" w:type="dxa"/>
            <w:vAlign w:val="center"/>
          </w:tcPr>
          <w:p w14:paraId="4A0CD7A9">
            <w:pPr>
              <w:spacing w:line="460" w:lineRule="atLeast"/>
              <w:ind w:firstLine="210" w:firstLineChars="100"/>
              <w:jc w:val="center"/>
              <w:rPr>
                <w:rFonts w:hint="eastAsia"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rPr>
              <w:t>控股管理关系</w:t>
            </w:r>
          </w:p>
        </w:tc>
        <w:tc>
          <w:tcPr>
            <w:tcW w:w="3936" w:type="dxa"/>
            <w:vAlign w:val="center"/>
          </w:tcPr>
          <w:p w14:paraId="6FCB40BC">
            <w:pPr>
              <w:keepNext w:val="0"/>
              <w:keepLines w:val="0"/>
              <w:pageBreakBefore w:val="0"/>
              <w:widowControl w:val="0"/>
              <w:kinsoku/>
              <w:wordWrap w:val="0"/>
              <w:overflowPunct/>
              <w:topLinePunct w:val="0"/>
              <w:autoSpaceDE/>
              <w:autoSpaceDN/>
              <w:bidi w:val="0"/>
              <w:adjustRightInd/>
              <w:snapToGrid/>
              <w:spacing w:line="460" w:lineRule="atLeast"/>
              <w:textAlignment w:val="auto"/>
              <w:rPr>
                <w:rFonts w:hint="eastAsia" w:ascii="宋体" w:hAnsi="宋体" w:eastAsia="宋体" w:cs="Times New Roman"/>
                <w:color w:val="auto"/>
                <w:kern w:val="2"/>
                <w:sz w:val="21"/>
                <w:szCs w:val="21"/>
                <w:lang w:val="en-US" w:eastAsia="zh-CN" w:bidi="ar-SA"/>
              </w:rPr>
            </w:pPr>
            <w:r>
              <w:rPr>
                <w:rFonts w:hint="eastAsia" w:ascii="宋体" w:hAnsi="宋体" w:eastAsia="宋体" w:cs="宋体"/>
                <w:color w:val="auto"/>
                <w:sz w:val="21"/>
                <w:szCs w:val="21"/>
                <w:highlight w:val="none"/>
                <w:shd w:val="clear" w:color="auto" w:fill="FFFFFF"/>
              </w:rPr>
              <w:t>单位负责人为同一人或者存在直接控股、管理关系的不同供应商、不得参加同一合同项下的政府采购活动。与大企业的负责人为同一人，或者与大企业存在直接控股、管理关系的不得参加本项目政府采购活动。</w:t>
            </w:r>
          </w:p>
        </w:tc>
        <w:tc>
          <w:tcPr>
            <w:tcW w:w="1901" w:type="dxa"/>
            <w:vAlign w:val="center"/>
          </w:tcPr>
          <w:p w14:paraId="1FD72EB1">
            <w:pPr>
              <w:spacing w:line="460" w:lineRule="atLeast"/>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符合竞争性磋商文件要求</w:t>
            </w:r>
          </w:p>
        </w:tc>
      </w:tr>
      <w:tr w14:paraId="6B3ECBB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36" w:type="dxa"/>
            <w:vAlign w:val="center"/>
          </w:tcPr>
          <w:p w14:paraId="67020145">
            <w:pPr>
              <w:spacing w:line="460" w:lineRule="atLeast"/>
              <w:jc w:val="center"/>
              <w:rPr>
                <w:rFonts w:hint="eastAsia" w:ascii="宋体" w:hAnsi="宋体" w:eastAsia="宋体" w:cs="宋体"/>
                <w:color w:val="auto"/>
                <w:szCs w:val="21"/>
                <w:highlight w:val="none"/>
                <w:shd w:val="clear" w:color="auto" w:fill="FFFFFF"/>
                <w:lang w:eastAsia="zh-CN"/>
              </w:rPr>
            </w:pPr>
            <w:r>
              <w:rPr>
                <w:rFonts w:hint="eastAsia" w:ascii="宋体" w:hAnsi="宋体" w:eastAsia="宋体" w:cs="宋体"/>
                <w:color w:val="auto"/>
                <w:szCs w:val="21"/>
                <w:highlight w:val="none"/>
                <w:shd w:val="clear" w:color="auto" w:fill="FFFFFF"/>
                <w:lang w:val="en-US" w:eastAsia="zh-CN"/>
              </w:rPr>
              <w:t>9</w:t>
            </w:r>
          </w:p>
        </w:tc>
        <w:tc>
          <w:tcPr>
            <w:tcW w:w="2336" w:type="dxa"/>
            <w:vAlign w:val="center"/>
          </w:tcPr>
          <w:p w14:paraId="52F7A38F">
            <w:pPr>
              <w:spacing w:line="460" w:lineRule="atLeast"/>
              <w:jc w:val="center"/>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书面声明</w:t>
            </w:r>
          </w:p>
        </w:tc>
        <w:tc>
          <w:tcPr>
            <w:tcW w:w="3936" w:type="dxa"/>
          </w:tcPr>
          <w:p w14:paraId="014A8995">
            <w:pPr>
              <w:spacing w:line="460" w:lineRule="atLeast"/>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提供书面声明，包括声明具有履行合同所必需的设备和专业技术能力；</w:t>
            </w:r>
          </w:p>
        </w:tc>
        <w:tc>
          <w:tcPr>
            <w:tcW w:w="1901" w:type="dxa"/>
          </w:tcPr>
          <w:p w14:paraId="238CCA6F">
            <w:pPr>
              <w:spacing w:line="460" w:lineRule="atLeast"/>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符合竞争性磋商文件要求</w:t>
            </w:r>
          </w:p>
        </w:tc>
      </w:tr>
      <w:tr w14:paraId="25157A2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36" w:type="dxa"/>
            <w:vAlign w:val="center"/>
          </w:tcPr>
          <w:p w14:paraId="631AAE3E">
            <w:pPr>
              <w:spacing w:line="460" w:lineRule="atLeast"/>
              <w:jc w:val="center"/>
              <w:rPr>
                <w:rFonts w:hint="eastAsia" w:ascii="宋体" w:hAnsi="宋体" w:eastAsia="宋体" w:cs="宋体"/>
                <w:color w:val="auto"/>
                <w:szCs w:val="21"/>
                <w:highlight w:val="none"/>
                <w:shd w:val="clear" w:color="auto" w:fill="FFFFFF"/>
                <w:lang w:eastAsia="zh-CN"/>
              </w:rPr>
            </w:pPr>
            <w:r>
              <w:rPr>
                <w:rFonts w:hint="eastAsia" w:ascii="宋体" w:hAnsi="宋体" w:eastAsia="宋体" w:cs="宋体"/>
                <w:color w:val="auto"/>
                <w:szCs w:val="21"/>
                <w:highlight w:val="none"/>
                <w:shd w:val="clear" w:color="auto" w:fill="FFFFFF"/>
                <w:lang w:val="en-US" w:eastAsia="zh-CN"/>
              </w:rPr>
              <w:t>9</w:t>
            </w:r>
          </w:p>
        </w:tc>
        <w:tc>
          <w:tcPr>
            <w:tcW w:w="2336" w:type="dxa"/>
            <w:vAlign w:val="center"/>
          </w:tcPr>
          <w:p w14:paraId="119B78F0">
            <w:pPr>
              <w:spacing w:line="460" w:lineRule="atLeast"/>
              <w:jc w:val="center"/>
              <w:rPr>
                <w:rFonts w:hint="eastAsia" w:ascii="宋体" w:hAnsi="宋体" w:eastAsia="宋体" w:cs="宋体"/>
                <w:color w:val="auto"/>
                <w:szCs w:val="21"/>
                <w:highlight w:val="none"/>
                <w:shd w:val="clear" w:color="auto" w:fill="FFFFFF"/>
              </w:rPr>
            </w:pPr>
            <w:r>
              <w:rPr>
                <w:rFonts w:hint="eastAsia" w:ascii="宋体" w:hAnsi="宋体" w:eastAsia="宋体" w:cs="宋体"/>
                <w:color w:val="auto"/>
                <w:sz w:val="21"/>
                <w:szCs w:val="21"/>
                <w:highlight w:val="none"/>
                <w:shd w:val="clear" w:color="auto" w:fill="FFFFFF"/>
              </w:rPr>
              <w:t>法定代表人（主要负责人）委托授权书\身份证明</w:t>
            </w:r>
          </w:p>
        </w:tc>
        <w:tc>
          <w:tcPr>
            <w:tcW w:w="3936" w:type="dxa"/>
            <w:vAlign w:val="center"/>
          </w:tcPr>
          <w:p w14:paraId="1FF771F4">
            <w:pPr>
              <w:spacing w:line="460" w:lineRule="atLeast"/>
              <w:rPr>
                <w:rFonts w:hint="eastAsia"/>
              </w:rPr>
            </w:pPr>
            <w:r>
              <w:rPr>
                <w:rFonts w:hint="eastAsia" w:ascii="宋体" w:hAnsi="宋体" w:eastAsia="宋体" w:cs="Times New Roman"/>
                <w:color w:val="auto"/>
                <w:kern w:val="2"/>
                <w:sz w:val="21"/>
                <w:szCs w:val="21"/>
                <w:lang w:val="en-US" w:eastAsia="zh-CN" w:bidi="ar-SA"/>
              </w:rPr>
              <w:t>法定代表人授权委托书（附法定代表人身份证复印件及被授权人身份证复印件）；法定代表人直接参加磋商只需提供法定代表人身份证明书（附法定代表人身份证复印件）</w:t>
            </w:r>
          </w:p>
        </w:tc>
        <w:tc>
          <w:tcPr>
            <w:tcW w:w="1901" w:type="dxa"/>
            <w:vAlign w:val="center"/>
          </w:tcPr>
          <w:p w14:paraId="5720EC48">
            <w:pPr>
              <w:spacing w:line="460" w:lineRule="atLeast"/>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符合竞争性磋商文件要求</w:t>
            </w:r>
          </w:p>
        </w:tc>
      </w:tr>
      <w:tr w14:paraId="129E065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36" w:type="dxa"/>
            <w:vAlign w:val="center"/>
          </w:tcPr>
          <w:p w14:paraId="49F92960">
            <w:pPr>
              <w:spacing w:line="460" w:lineRule="atLeast"/>
              <w:jc w:val="center"/>
              <w:rPr>
                <w:rFonts w:hint="default" w:ascii="宋体" w:hAnsi="宋体" w:eastAsia="宋体" w:cs="宋体"/>
                <w:color w:val="auto"/>
                <w:szCs w:val="21"/>
                <w:highlight w:val="none"/>
                <w:shd w:val="clear" w:color="auto" w:fill="FFFFFF"/>
                <w:lang w:val="en-US" w:eastAsia="zh-CN"/>
              </w:rPr>
            </w:pPr>
            <w:r>
              <w:rPr>
                <w:rFonts w:hint="eastAsia" w:ascii="宋体" w:hAnsi="宋体" w:eastAsia="宋体" w:cs="宋体"/>
                <w:color w:val="auto"/>
                <w:szCs w:val="21"/>
                <w:highlight w:val="none"/>
                <w:shd w:val="clear" w:color="auto" w:fill="FFFFFF"/>
                <w:lang w:val="en-US" w:eastAsia="zh-CN"/>
              </w:rPr>
              <w:t>10</w:t>
            </w:r>
          </w:p>
        </w:tc>
        <w:tc>
          <w:tcPr>
            <w:tcW w:w="2336" w:type="dxa"/>
            <w:vAlign w:val="center"/>
          </w:tcPr>
          <w:p w14:paraId="77BCE8DF">
            <w:pPr>
              <w:spacing w:line="460" w:lineRule="atLeast"/>
              <w:jc w:val="center"/>
              <w:rPr>
                <w:rFonts w:hint="default"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资质证书</w:t>
            </w:r>
          </w:p>
        </w:tc>
        <w:tc>
          <w:tcPr>
            <w:tcW w:w="3936" w:type="dxa"/>
            <w:vAlign w:val="center"/>
          </w:tcPr>
          <w:p w14:paraId="187E9601">
            <w:pPr>
              <w:spacing w:line="460" w:lineRule="atLeast"/>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供应商须具备建筑主管部门颁发的工程勘察综合甲级资质或工程勘察专业资质（工程测量）乙级及以上资质且同时具有工程勘察专业资质（岩土工程勘察分项）乙级及以上资质。</w:t>
            </w:r>
          </w:p>
        </w:tc>
        <w:tc>
          <w:tcPr>
            <w:tcW w:w="1901" w:type="dxa"/>
            <w:vAlign w:val="center"/>
          </w:tcPr>
          <w:p w14:paraId="12CFA00A">
            <w:pPr>
              <w:spacing w:line="460" w:lineRule="atLeast"/>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符合竞争性磋商文件要求</w:t>
            </w:r>
          </w:p>
        </w:tc>
      </w:tr>
      <w:tr w14:paraId="5DD1895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36" w:type="dxa"/>
            <w:vAlign w:val="center"/>
          </w:tcPr>
          <w:p w14:paraId="54E4B379">
            <w:pPr>
              <w:spacing w:line="460" w:lineRule="atLeast"/>
              <w:jc w:val="center"/>
              <w:rPr>
                <w:rFonts w:hint="default" w:ascii="宋体" w:hAnsi="宋体" w:eastAsia="宋体" w:cs="宋体"/>
                <w:color w:val="auto"/>
                <w:szCs w:val="21"/>
                <w:highlight w:val="none"/>
                <w:shd w:val="clear" w:color="auto" w:fill="FFFFFF"/>
                <w:lang w:val="en-US" w:eastAsia="zh-CN"/>
              </w:rPr>
            </w:pPr>
            <w:r>
              <w:rPr>
                <w:rFonts w:hint="eastAsia" w:ascii="宋体" w:hAnsi="宋体" w:eastAsia="宋体" w:cs="宋体"/>
                <w:color w:val="auto"/>
                <w:szCs w:val="21"/>
                <w:highlight w:val="none"/>
                <w:shd w:val="clear" w:color="auto" w:fill="FFFFFF"/>
                <w:lang w:val="en-US" w:eastAsia="zh-CN"/>
              </w:rPr>
              <w:t>11</w:t>
            </w:r>
          </w:p>
        </w:tc>
        <w:tc>
          <w:tcPr>
            <w:tcW w:w="2336" w:type="dxa"/>
            <w:vAlign w:val="center"/>
          </w:tcPr>
          <w:p w14:paraId="248D0F60">
            <w:pPr>
              <w:spacing w:line="460" w:lineRule="atLeast"/>
              <w:jc w:val="center"/>
              <w:rPr>
                <w:rFonts w:hint="default"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项目负责人</w:t>
            </w:r>
          </w:p>
        </w:tc>
        <w:tc>
          <w:tcPr>
            <w:tcW w:w="3936" w:type="dxa"/>
            <w:vAlign w:val="center"/>
          </w:tcPr>
          <w:p w14:paraId="180BB8A8">
            <w:pPr>
              <w:spacing w:line="460" w:lineRule="atLeast"/>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供应商拟派项目负责人具备注册测绘师资格证书且在本单位注册或具有相关专业中级及以上职称。</w:t>
            </w:r>
          </w:p>
        </w:tc>
        <w:tc>
          <w:tcPr>
            <w:tcW w:w="1901" w:type="dxa"/>
            <w:vAlign w:val="center"/>
          </w:tcPr>
          <w:p w14:paraId="486E9842">
            <w:pPr>
              <w:spacing w:line="460" w:lineRule="atLeast"/>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符合竞争性磋商文件要求</w:t>
            </w:r>
          </w:p>
        </w:tc>
      </w:tr>
      <w:tr w14:paraId="747BA38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016" w:hRule="atLeast"/>
          <w:jc w:val="center"/>
        </w:trPr>
        <w:tc>
          <w:tcPr>
            <w:tcW w:w="836" w:type="dxa"/>
            <w:vAlign w:val="center"/>
          </w:tcPr>
          <w:p w14:paraId="57750ED7">
            <w:pPr>
              <w:spacing w:line="460" w:lineRule="atLeast"/>
              <w:jc w:val="center"/>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12</w:t>
            </w:r>
          </w:p>
        </w:tc>
        <w:tc>
          <w:tcPr>
            <w:tcW w:w="2336" w:type="dxa"/>
            <w:vAlign w:val="center"/>
          </w:tcPr>
          <w:p w14:paraId="40C7221A">
            <w:pPr>
              <w:spacing w:line="460" w:lineRule="atLeas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联合体磋商</w:t>
            </w:r>
          </w:p>
        </w:tc>
        <w:tc>
          <w:tcPr>
            <w:tcW w:w="3936" w:type="dxa"/>
            <w:vAlign w:val="center"/>
          </w:tcPr>
          <w:p w14:paraId="32740AAD">
            <w:pPr>
              <w:spacing w:line="460" w:lineRule="atLeast"/>
              <w:jc w:val="lef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本项目不接受联合体磋商</w:t>
            </w:r>
            <w:r>
              <w:rPr>
                <w:rFonts w:hint="eastAsia" w:eastAsia="宋体" w:cs="宋体"/>
                <w:color w:val="auto"/>
                <w:sz w:val="21"/>
                <w:szCs w:val="21"/>
                <w:highlight w:val="none"/>
                <w:lang w:eastAsia="zh-CN"/>
              </w:rPr>
              <w:t>（</w:t>
            </w:r>
            <w:r>
              <w:rPr>
                <w:rFonts w:hint="eastAsia" w:eastAsia="宋体" w:cs="宋体"/>
                <w:color w:val="auto"/>
                <w:sz w:val="21"/>
                <w:szCs w:val="21"/>
                <w:highlight w:val="none"/>
                <w:lang w:val="en-US" w:eastAsia="zh-CN"/>
              </w:rPr>
              <w:t>提供声明书</w:t>
            </w:r>
            <w:r>
              <w:rPr>
                <w:rFonts w:hint="eastAsia" w:eastAsia="宋体" w:cs="宋体"/>
                <w:color w:val="auto"/>
                <w:sz w:val="21"/>
                <w:szCs w:val="21"/>
                <w:highlight w:val="none"/>
                <w:lang w:eastAsia="zh-CN"/>
              </w:rPr>
              <w:t>）</w:t>
            </w:r>
          </w:p>
        </w:tc>
        <w:tc>
          <w:tcPr>
            <w:tcW w:w="1901" w:type="dxa"/>
            <w:vAlign w:val="center"/>
          </w:tcPr>
          <w:p w14:paraId="28CA5069">
            <w:pPr>
              <w:spacing w:line="460" w:lineRule="atLeast"/>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符合竞争性磋商文件要求</w:t>
            </w:r>
          </w:p>
        </w:tc>
      </w:tr>
    </w:tbl>
    <w:p w14:paraId="6675A7AD">
      <w:pPr>
        <w:pStyle w:val="34"/>
        <w:spacing w:line="460" w:lineRule="atLeast"/>
        <w:ind w:firstLine="0" w:firstLineChars="0"/>
        <w:rPr>
          <w:rFonts w:hint="eastAsia" w:ascii="宋体" w:hAnsi="宋体" w:cs="宋体"/>
          <w:color w:val="auto"/>
          <w:sz w:val="21"/>
          <w:szCs w:val="21"/>
          <w:highlight w:val="none"/>
        </w:rPr>
      </w:pPr>
    </w:p>
    <w:p w14:paraId="463CAA7D">
      <w:pPr>
        <w:pStyle w:val="34"/>
        <w:spacing w:line="460" w:lineRule="atLeast"/>
        <w:ind w:firstLine="0" w:firstLineChars="0"/>
        <w:rPr>
          <w:rFonts w:hint="eastAsia" w:ascii="宋体" w:hAnsi="宋体" w:cs="宋体"/>
          <w:color w:val="auto"/>
          <w:sz w:val="21"/>
          <w:szCs w:val="21"/>
          <w:highlight w:val="none"/>
        </w:rPr>
      </w:pPr>
      <w:r>
        <w:rPr>
          <w:rFonts w:hint="eastAsia" w:ascii="宋体" w:hAnsi="宋体" w:cs="宋体"/>
          <w:color w:val="auto"/>
          <w:sz w:val="21"/>
          <w:szCs w:val="21"/>
          <w:highlight w:val="none"/>
        </w:rPr>
        <w:t>注意事项：</w:t>
      </w:r>
    </w:p>
    <w:p w14:paraId="2065456B">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1）除银行、保险、石油石化、电力、电信行业外，其他行业分支机构在参与投标时，须同时提供分支机构主体资格证明文件和总公司（总所）出具的授权书，总公司（总所）只能授权一家分支机构。经总公司（总所）授权后，总公司（总所）取得的相关资质证书对分支机构有效（法律法规或行业另有规定的除外）。</w:t>
      </w:r>
    </w:p>
    <w:p w14:paraId="6824E2B3">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（2）以联合体形式参与投标时，应提供有效的《联合体协议书》，并遵循磋商文件第二章中“关于联合体”的相关规定。</w:t>
      </w:r>
    </w:p>
    <w:p w14:paraId="6A19DC25">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（3）《无重大违法记录声明》、《法定代表人委托授权书》、《法定代表人身份证明书》、《联合体协议书》应按第七章《响应文件格式》中给定的格式填写，并按要求签字、盖章。</w:t>
      </w:r>
    </w:p>
    <w:p w14:paraId="7D1F5F97">
      <w:pPr>
        <w:pStyle w:val="34"/>
        <w:spacing w:line="460" w:lineRule="atLeast"/>
        <w:ind w:firstLine="420"/>
        <w:rPr>
          <w:rFonts w:hint="eastAsia" w:ascii="宋体" w:hAnsi="宋体" w:cs="宋体"/>
          <w:color w:val="auto"/>
          <w:highlight w:val="none"/>
        </w:rPr>
      </w:pPr>
      <w:r>
        <w:rPr>
          <w:rFonts w:hint="eastAsia" w:ascii="宋体" w:hAnsi="宋体" w:cs="宋体"/>
          <w:color w:val="auto"/>
          <w:sz w:val="21"/>
          <w:szCs w:val="21"/>
          <w:highlight w:val="none"/>
        </w:rPr>
        <w:t>（4）按照财政部《关于在政府采购活动中查询及使用信用记录有关问题的通知》（财库〔2016〕125号）要求，在资格审查阶段，采购人将对投标供应商的信用记录进行核查，出现磋商文件第二章中“关于信用查询”所列失信行为的，将拒绝其参与政府采购活动。</w:t>
      </w:r>
    </w:p>
    <w:p w14:paraId="37A31021">
      <w:pPr>
        <w:widowControl/>
        <w:spacing w:line="460" w:lineRule="atLeast"/>
        <w:jc w:val="left"/>
        <w:rPr>
          <w:rFonts w:hint="eastAsia" w:ascii="宋体" w:hAnsi="宋体" w:eastAsia="宋体" w:cs="宋体"/>
          <w:color w:val="auto"/>
          <w:sz w:val="24"/>
          <w:highlight w:val="none"/>
        </w:rPr>
      </w:pPr>
      <w:r>
        <w:rPr>
          <w:rFonts w:hint="eastAsia" w:ascii="宋体" w:hAnsi="宋体" w:eastAsia="宋体" w:cs="宋体"/>
          <w:color w:val="auto"/>
          <w:highlight w:val="none"/>
        </w:rPr>
        <w:br w:type="page"/>
      </w:r>
    </w:p>
    <w:p w14:paraId="05AE879A">
      <w:pPr>
        <w:pStyle w:val="31"/>
        <w:spacing w:before="381" w:after="381" w:line="460" w:lineRule="atLeast"/>
        <w:outlineLvl w:val="0"/>
        <w:rPr>
          <w:rFonts w:hint="eastAsia" w:ascii="宋体" w:hAnsi="宋体" w:eastAsia="宋体" w:cs="宋体"/>
          <w:color w:val="auto"/>
          <w:highlight w:val="none"/>
        </w:rPr>
      </w:pPr>
      <w:bookmarkStart w:id="11" w:name="_Toc162282440"/>
      <w:bookmarkStart w:id="12" w:name="_Toc12003"/>
      <w:r>
        <w:rPr>
          <w:rFonts w:hint="eastAsia" w:ascii="宋体" w:hAnsi="宋体" w:eastAsia="宋体" w:cs="宋体"/>
          <w:color w:val="auto"/>
          <w:highlight w:val="none"/>
        </w:rPr>
        <w:t>第四章  磋商办法</w:t>
      </w:r>
      <w:bookmarkEnd w:id="11"/>
      <w:bookmarkEnd w:id="12"/>
    </w:p>
    <w:p w14:paraId="1394C89C">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根据《中华人民共和国政府采购法》《中华人民共和国政府采购法实施条例》《政府采购竞争性磋商采购方式管理暂行办法》（财政部财库[2014]214号）等法律法规的规定，结合采购项目特点，制定本磋商办法。本项目采用综合评分法，即响应文件满足磋商文件全部实质性要求，且按照评审因素的量化指标评审得分最高的供应商为成交候选供应商。综合评分相等时，按照最后报价由低到高的顺序推荐；报价也相等的，按技术指标优劣顺序排列。</w:t>
      </w:r>
    </w:p>
    <w:p w14:paraId="4DE0BBD9">
      <w:pPr>
        <w:pStyle w:val="32"/>
        <w:spacing w:before="190" w:after="190" w:line="460" w:lineRule="atLeast"/>
        <w:rPr>
          <w:rFonts w:hint="eastAsia" w:ascii="宋体" w:hAnsi="宋体" w:cs="宋体"/>
          <w:color w:val="auto"/>
          <w:highlight w:val="none"/>
        </w:rPr>
      </w:pPr>
      <w:r>
        <w:rPr>
          <w:rFonts w:hint="eastAsia" w:ascii="宋体" w:hAnsi="宋体" w:cs="宋体"/>
          <w:color w:val="auto"/>
          <w:highlight w:val="none"/>
        </w:rPr>
        <w:t>一、磋商程序</w:t>
      </w:r>
    </w:p>
    <w:p w14:paraId="41934FFE">
      <w:pPr>
        <w:pStyle w:val="34"/>
        <w:spacing w:line="460" w:lineRule="atLeast"/>
        <w:ind w:firstLine="422"/>
        <w:rPr>
          <w:rFonts w:hint="eastAsia" w:ascii="宋体" w:hAnsi="宋体" w:cs="宋体"/>
          <w:b/>
          <w:color w:val="auto"/>
          <w:sz w:val="21"/>
          <w:szCs w:val="20"/>
          <w:highlight w:val="none"/>
        </w:rPr>
      </w:pPr>
      <w:r>
        <w:rPr>
          <w:rFonts w:hint="eastAsia" w:ascii="宋体" w:hAnsi="宋体" w:cs="宋体"/>
          <w:b/>
          <w:color w:val="auto"/>
          <w:sz w:val="21"/>
          <w:szCs w:val="20"/>
          <w:highlight w:val="none"/>
        </w:rPr>
        <w:t>1.1 响应文件符合性审查</w:t>
      </w:r>
    </w:p>
    <w:p w14:paraId="4B70AD26">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1.1.1 磋商小组依法对通过资格条件审查的供应商响应文件进行符合性审查。磋商小组从响应文件的有效性、完整性和对磋商文件的响应程度进行审查，以确定其是否对磋商文件实质性要求作出响应，有无恶意串通行为。</w:t>
      </w:r>
    </w:p>
    <w:p w14:paraId="3CAF5788">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1.1.2 磋商小组将按下列评审标准对供应商的响应文件进行符合性审查，供应商若有一项不合格，即判定其符合性审查结果为不合格，将不具备磋商资格，其响应文件无效。</w:t>
      </w:r>
    </w:p>
    <w:p w14:paraId="2DBDD63F">
      <w:pPr>
        <w:spacing w:line="460" w:lineRule="atLeast"/>
        <w:ind w:firstLine="562" w:firstLineChars="200"/>
        <w:jc w:val="center"/>
        <w:rPr>
          <w:rFonts w:hint="eastAsia" w:ascii="宋体" w:hAnsi="宋体" w:eastAsia="宋体" w:cs="宋体"/>
          <w:b/>
          <w:bCs/>
          <w:color w:val="auto"/>
          <w:sz w:val="28"/>
          <w:highlight w:val="none"/>
        </w:rPr>
      </w:pPr>
      <w:r>
        <w:rPr>
          <w:rFonts w:hint="eastAsia" w:ascii="宋体" w:hAnsi="宋体" w:eastAsia="宋体" w:cs="宋体"/>
          <w:b/>
          <w:bCs/>
          <w:color w:val="auto"/>
          <w:sz w:val="28"/>
          <w:highlight w:val="none"/>
        </w:rPr>
        <w:t>符合性审查表</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5"/>
        <w:gridCol w:w="2526"/>
        <w:gridCol w:w="5475"/>
      </w:tblGrid>
      <w:tr w14:paraId="28E39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jc w:val="center"/>
        </w:trPr>
        <w:tc>
          <w:tcPr>
            <w:tcW w:w="765" w:type="dxa"/>
            <w:vAlign w:val="center"/>
          </w:tcPr>
          <w:p w14:paraId="66D1008E">
            <w:pPr>
              <w:widowControl/>
              <w:spacing w:line="460" w:lineRule="atLeast"/>
              <w:jc w:val="center"/>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序号</w:t>
            </w:r>
          </w:p>
        </w:tc>
        <w:tc>
          <w:tcPr>
            <w:tcW w:w="2526" w:type="dxa"/>
            <w:vAlign w:val="center"/>
          </w:tcPr>
          <w:p w14:paraId="7B0F4756">
            <w:pPr>
              <w:widowControl/>
              <w:spacing w:line="460" w:lineRule="atLeast"/>
              <w:jc w:val="center"/>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符合性审查项</w:t>
            </w:r>
          </w:p>
        </w:tc>
        <w:tc>
          <w:tcPr>
            <w:tcW w:w="5475" w:type="dxa"/>
            <w:vAlign w:val="center"/>
          </w:tcPr>
          <w:p w14:paraId="1430A2D5">
            <w:pPr>
              <w:widowControl/>
              <w:spacing w:line="460" w:lineRule="atLeast"/>
              <w:jc w:val="center"/>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通过条件</w:t>
            </w:r>
          </w:p>
        </w:tc>
      </w:tr>
      <w:tr w14:paraId="7C1AA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jc w:val="center"/>
        </w:trPr>
        <w:tc>
          <w:tcPr>
            <w:tcW w:w="765" w:type="dxa"/>
            <w:vAlign w:val="center"/>
          </w:tcPr>
          <w:p w14:paraId="3D439154">
            <w:pPr>
              <w:spacing w:line="460" w:lineRule="atLeast"/>
              <w:jc w:val="center"/>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1</w:t>
            </w:r>
          </w:p>
        </w:tc>
        <w:tc>
          <w:tcPr>
            <w:tcW w:w="2526" w:type="dxa"/>
          </w:tcPr>
          <w:p w14:paraId="642B2465">
            <w:pPr>
              <w:spacing w:line="460" w:lineRule="atLeast"/>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响应文件语言及计量单位</w:t>
            </w:r>
          </w:p>
        </w:tc>
        <w:tc>
          <w:tcPr>
            <w:tcW w:w="5475" w:type="dxa"/>
          </w:tcPr>
          <w:p w14:paraId="66203192">
            <w:pPr>
              <w:spacing w:line="460" w:lineRule="atLeast"/>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均符合磋商文件的要求。</w:t>
            </w:r>
          </w:p>
        </w:tc>
      </w:tr>
      <w:tr w14:paraId="353BE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3" w:hRule="atLeast"/>
          <w:jc w:val="center"/>
        </w:trPr>
        <w:tc>
          <w:tcPr>
            <w:tcW w:w="765" w:type="dxa"/>
            <w:vAlign w:val="center"/>
          </w:tcPr>
          <w:p w14:paraId="25FA5971">
            <w:pPr>
              <w:spacing w:line="460" w:lineRule="atLeast"/>
              <w:jc w:val="center"/>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2</w:t>
            </w:r>
          </w:p>
        </w:tc>
        <w:tc>
          <w:tcPr>
            <w:tcW w:w="2526" w:type="dxa"/>
            <w:vAlign w:val="center"/>
          </w:tcPr>
          <w:p w14:paraId="1045F7D4">
            <w:pPr>
              <w:spacing w:line="460" w:lineRule="atLeast"/>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与项目的一致性</w:t>
            </w:r>
          </w:p>
        </w:tc>
        <w:tc>
          <w:tcPr>
            <w:tcW w:w="5475" w:type="dxa"/>
            <w:vAlign w:val="center"/>
          </w:tcPr>
          <w:p w14:paraId="67414732">
            <w:pPr>
              <w:spacing w:line="460" w:lineRule="atLeast"/>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响应文件以下三处的项目名称、项目编号、标段（未分标段的除外）无遗漏，且与本项目一致：</w:t>
            </w:r>
          </w:p>
          <w:p w14:paraId="4E55386F">
            <w:pPr>
              <w:spacing w:line="460" w:lineRule="atLeast"/>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（1）封面；</w:t>
            </w:r>
          </w:p>
          <w:p w14:paraId="3662CA0D">
            <w:pPr>
              <w:spacing w:line="460" w:lineRule="atLeast"/>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（2）响应函；</w:t>
            </w:r>
          </w:p>
          <w:p w14:paraId="06EE1264">
            <w:pPr>
              <w:spacing w:line="460" w:lineRule="atLeast"/>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（3）法定代表人（主要负责人）委托授权书/身份证明。</w:t>
            </w:r>
          </w:p>
          <w:p w14:paraId="76444C9C">
            <w:pPr>
              <w:spacing w:line="460" w:lineRule="atLeast"/>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说明：以第一章磋商公告中的项目名称、项目编号为准。</w:t>
            </w:r>
          </w:p>
        </w:tc>
      </w:tr>
      <w:tr w14:paraId="0C8CA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765" w:type="dxa"/>
            <w:vAlign w:val="center"/>
          </w:tcPr>
          <w:p w14:paraId="55CED83F">
            <w:pPr>
              <w:spacing w:line="460" w:lineRule="atLeast"/>
              <w:jc w:val="center"/>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3</w:t>
            </w:r>
          </w:p>
        </w:tc>
        <w:tc>
          <w:tcPr>
            <w:tcW w:w="2526" w:type="dxa"/>
            <w:vAlign w:val="center"/>
          </w:tcPr>
          <w:p w14:paraId="7B4ACF63">
            <w:pPr>
              <w:spacing w:line="460" w:lineRule="atLeast"/>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响应文件组成</w:t>
            </w:r>
          </w:p>
        </w:tc>
        <w:tc>
          <w:tcPr>
            <w:tcW w:w="5475" w:type="dxa"/>
            <w:vAlign w:val="center"/>
          </w:tcPr>
          <w:p w14:paraId="0002F564">
            <w:pPr>
              <w:spacing w:line="460" w:lineRule="atLeast"/>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符合竞争性磋商文件格式要求</w:t>
            </w:r>
          </w:p>
        </w:tc>
      </w:tr>
      <w:tr w14:paraId="25D4F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jc w:val="center"/>
        </w:trPr>
        <w:tc>
          <w:tcPr>
            <w:tcW w:w="765" w:type="dxa"/>
            <w:vAlign w:val="center"/>
          </w:tcPr>
          <w:p w14:paraId="0B762B60">
            <w:pPr>
              <w:spacing w:line="460" w:lineRule="atLeast"/>
              <w:jc w:val="center"/>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4</w:t>
            </w:r>
          </w:p>
        </w:tc>
        <w:tc>
          <w:tcPr>
            <w:tcW w:w="2526" w:type="dxa"/>
            <w:vAlign w:val="center"/>
          </w:tcPr>
          <w:p w14:paraId="4F6AC3A2">
            <w:pPr>
              <w:spacing w:line="460" w:lineRule="atLeast"/>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响应文件的签署盖章</w:t>
            </w:r>
          </w:p>
        </w:tc>
        <w:tc>
          <w:tcPr>
            <w:tcW w:w="5475" w:type="dxa"/>
            <w:vAlign w:val="center"/>
          </w:tcPr>
          <w:p w14:paraId="4DE002B7">
            <w:pPr>
              <w:spacing w:line="460" w:lineRule="atLeast"/>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签字、盖章符合磋商文件要求，且无遗漏。</w:t>
            </w:r>
          </w:p>
        </w:tc>
      </w:tr>
      <w:tr w14:paraId="192CA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765" w:type="dxa"/>
            <w:vAlign w:val="center"/>
          </w:tcPr>
          <w:p w14:paraId="76D362F5">
            <w:pPr>
              <w:spacing w:line="460" w:lineRule="atLeast"/>
              <w:jc w:val="center"/>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5</w:t>
            </w:r>
          </w:p>
        </w:tc>
        <w:tc>
          <w:tcPr>
            <w:tcW w:w="2526" w:type="dxa"/>
            <w:vAlign w:val="center"/>
          </w:tcPr>
          <w:p w14:paraId="2688599A">
            <w:pPr>
              <w:spacing w:line="460" w:lineRule="atLeast"/>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响应文件有效期</w:t>
            </w:r>
          </w:p>
        </w:tc>
        <w:tc>
          <w:tcPr>
            <w:tcW w:w="5475" w:type="dxa"/>
            <w:vAlign w:val="center"/>
          </w:tcPr>
          <w:p w14:paraId="57E22184">
            <w:pPr>
              <w:spacing w:line="460" w:lineRule="atLeast"/>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符合竞争性磋商文件的要求。</w:t>
            </w:r>
          </w:p>
        </w:tc>
      </w:tr>
      <w:tr w14:paraId="3F215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jc w:val="center"/>
        </w:trPr>
        <w:tc>
          <w:tcPr>
            <w:tcW w:w="765" w:type="dxa"/>
            <w:vAlign w:val="center"/>
          </w:tcPr>
          <w:p w14:paraId="60A0BA3C">
            <w:pPr>
              <w:spacing w:line="460" w:lineRule="atLeast"/>
              <w:jc w:val="center"/>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6</w:t>
            </w:r>
          </w:p>
        </w:tc>
        <w:tc>
          <w:tcPr>
            <w:tcW w:w="2526" w:type="dxa"/>
            <w:vAlign w:val="center"/>
          </w:tcPr>
          <w:p w14:paraId="11157780">
            <w:pPr>
              <w:spacing w:line="460" w:lineRule="atLeast"/>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响应文件份数</w:t>
            </w:r>
          </w:p>
        </w:tc>
        <w:tc>
          <w:tcPr>
            <w:tcW w:w="5475" w:type="dxa"/>
            <w:vAlign w:val="center"/>
          </w:tcPr>
          <w:p w14:paraId="7F962BF5">
            <w:pPr>
              <w:spacing w:line="460" w:lineRule="atLeast"/>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符合竞争性磋商文件的要求。</w:t>
            </w:r>
          </w:p>
        </w:tc>
      </w:tr>
      <w:tr w14:paraId="38D18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1" w:hRule="atLeast"/>
          <w:jc w:val="center"/>
        </w:trPr>
        <w:tc>
          <w:tcPr>
            <w:tcW w:w="765" w:type="dxa"/>
            <w:vAlign w:val="center"/>
          </w:tcPr>
          <w:p w14:paraId="7D9E9971">
            <w:pPr>
              <w:spacing w:line="460" w:lineRule="atLeast"/>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7</w:t>
            </w:r>
          </w:p>
        </w:tc>
        <w:tc>
          <w:tcPr>
            <w:tcW w:w="2526" w:type="dxa"/>
            <w:vAlign w:val="center"/>
          </w:tcPr>
          <w:p w14:paraId="487184C7">
            <w:pPr>
              <w:spacing w:line="460" w:lineRule="atLeast"/>
              <w:ind w:firstLine="210" w:firstLineChars="100"/>
              <w:jc w:val="left"/>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磋商报价</w:t>
            </w:r>
          </w:p>
        </w:tc>
        <w:tc>
          <w:tcPr>
            <w:tcW w:w="5475" w:type="dxa"/>
          </w:tcPr>
          <w:p w14:paraId="45FFA288">
            <w:pPr>
              <w:spacing w:line="460" w:lineRule="atLeast"/>
              <w:ind w:firstLine="210" w:firstLineChars="100"/>
              <w:jc w:val="left"/>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同时满足以下条款：</w:t>
            </w:r>
          </w:p>
          <w:p w14:paraId="7B0B05E2">
            <w:pPr>
              <w:spacing w:line="460" w:lineRule="atLeast"/>
              <w:ind w:firstLine="210" w:firstLineChars="100"/>
              <w:jc w:val="left"/>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w:t>
            </w:r>
            <w:r>
              <w:rPr>
                <w:rFonts w:hint="eastAsia" w:ascii="宋体" w:hAnsi="宋体" w:eastAsia="宋体" w:cs="宋体"/>
                <w:color w:val="auto"/>
                <w:szCs w:val="21"/>
                <w:highlight w:val="none"/>
                <w:shd w:val="clear" w:color="auto" w:fill="FFFFFF"/>
                <w:lang w:val="en-US" w:eastAsia="zh-CN"/>
              </w:rPr>
              <w:t>1</w:t>
            </w:r>
            <w:r>
              <w:rPr>
                <w:rFonts w:hint="eastAsia" w:ascii="宋体" w:hAnsi="宋体" w:eastAsia="宋体" w:cs="宋体"/>
                <w:color w:val="auto"/>
                <w:szCs w:val="21"/>
                <w:highlight w:val="none"/>
                <w:shd w:val="clear" w:color="auto" w:fill="FFFFFF"/>
              </w:rPr>
              <w:t>) 磋商报价符合唯一性要求；</w:t>
            </w:r>
          </w:p>
          <w:p w14:paraId="70ED9E11">
            <w:pPr>
              <w:spacing w:line="460" w:lineRule="atLeast"/>
              <w:ind w:firstLine="210" w:firstLineChars="100"/>
              <w:jc w:val="left"/>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w:t>
            </w:r>
            <w:r>
              <w:rPr>
                <w:rFonts w:hint="eastAsia" w:ascii="宋体" w:hAnsi="宋体" w:eastAsia="宋体" w:cs="宋体"/>
                <w:color w:val="auto"/>
                <w:szCs w:val="21"/>
                <w:highlight w:val="none"/>
                <w:shd w:val="clear" w:color="auto" w:fill="FFFFFF"/>
                <w:lang w:val="en-US" w:eastAsia="zh-CN"/>
              </w:rPr>
              <w:t>2</w:t>
            </w:r>
            <w:r>
              <w:rPr>
                <w:rFonts w:hint="eastAsia" w:ascii="宋体" w:hAnsi="宋体" w:eastAsia="宋体" w:cs="宋体"/>
                <w:color w:val="auto"/>
                <w:szCs w:val="21"/>
                <w:highlight w:val="none"/>
                <w:shd w:val="clear" w:color="auto" w:fill="FFFFFF"/>
              </w:rPr>
              <w:t>) 计量单位、报价货币均符合磋商文件要求；</w:t>
            </w:r>
          </w:p>
          <w:p w14:paraId="66D5F2D3">
            <w:pPr>
              <w:spacing w:line="460" w:lineRule="atLeast"/>
              <w:ind w:firstLine="210" w:firstLineChars="100"/>
              <w:jc w:val="left"/>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w:t>
            </w:r>
            <w:r>
              <w:rPr>
                <w:rFonts w:hint="eastAsia" w:ascii="宋体" w:hAnsi="宋体" w:eastAsia="宋体" w:cs="宋体"/>
                <w:color w:val="auto"/>
                <w:szCs w:val="21"/>
                <w:highlight w:val="none"/>
                <w:shd w:val="clear" w:color="auto" w:fill="FFFFFF"/>
                <w:lang w:val="en-US" w:eastAsia="zh-CN"/>
              </w:rPr>
              <w:t>3</w:t>
            </w:r>
            <w:r>
              <w:rPr>
                <w:rFonts w:hint="eastAsia" w:ascii="宋体" w:hAnsi="宋体" w:eastAsia="宋体" w:cs="宋体"/>
                <w:color w:val="auto"/>
                <w:szCs w:val="21"/>
                <w:highlight w:val="none"/>
                <w:shd w:val="clear" w:color="auto" w:fill="FFFFFF"/>
              </w:rPr>
              <w:t>) 磋商报价未超出采购预算或磋商文件规定的最高限价。</w:t>
            </w:r>
          </w:p>
        </w:tc>
      </w:tr>
      <w:tr w14:paraId="1B92B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1" w:hRule="atLeast"/>
          <w:jc w:val="center"/>
        </w:trPr>
        <w:tc>
          <w:tcPr>
            <w:tcW w:w="765" w:type="dxa"/>
            <w:vAlign w:val="center"/>
          </w:tcPr>
          <w:p w14:paraId="76E68AC5">
            <w:pPr>
              <w:spacing w:line="460" w:lineRule="atLeast"/>
              <w:jc w:val="center"/>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8</w:t>
            </w:r>
          </w:p>
        </w:tc>
        <w:tc>
          <w:tcPr>
            <w:tcW w:w="2526" w:type="dxa"/>
            <w:vAlign w:val="center"/>
          </w:tcPr>
          <w:p w14:paraId="44788928">
            <w:pPr>
              <w:spacing w:line="460" w:lineRule="atLeast"/>
              <w:jc w:val="left"/>
              <w:rPr>
                <w:rFonts w:hint="eastAsia" w:ascii="宋体" w:hAnsi="宋体" w:eastAsia="宋体" w:cs="宋体"/>
                <w:color w:val="auto"/>
                <w:szCs w:val="21"/>
                <w:highlight w:val="none"/>
                <w:shd w:val="clear" w:color="auto" w:fill="FFFFFF"/>
              </w:rPr>
            </w:pPr>
            <w:r>
              <w:rPr>
                <w:rFonts w:hint="eastAsia" w:ascii="宋体" w:hAnsi="宋体" w:eastAsia="宋体" w:cs="宋体"/>
                <w:color w:val="auto"/>
                <w:sz w:val="21"/>
                <w:szCs w:val="21"/>
                <w:highlight w:val="none"/>
                <w:shd w:val="clear" w:color="auto" w:fill="FFFFFF"/>
              </w:rPr>
              <w:t>落实政府采购政策需满足的资格要求</w:t>
            </w:r>
          </w:p>
        </w:tc>
        <w:tc>
          <w:tcPr>
            <w:tcW w:w="5475" w:type="dxa"/>
            <w:vAlign w:val="top"/>
          </w:tcPr>
          <w:p w14:paraId="03D4A80A">
            <w:pPr>
              <w:pStyle w:val="20"/>
              <w:spacing w:line="480" w:lineRule="exact"/>
              <w:rPr>
                <w:rFonts w:hint="eastAsia" w:ascii="宋体" w:hAnsi="宋体" w:eastAsia="宋体" w:cs="宋体"/>
                <w:color w:val="auto"/>
                <w:szCs w:val="21"/>
                <w:highlight w:val="none"/>
                <w:shd w:val="clear" w:color="auto" w:fill="FFFFFF"/>
              </w:rPr>
            </w:pPr>
            <w:r>
              <w:rPr>
                <w:rFonts w:hint="eastAsia" w:ascii="宋体" w:hAnsi="宋体" w:eastAsia="宋体" w:cs="Times New Roman"/>
                <w:color w:val="auto"/>
                <w:kern w:val="2"/>
                <w:sz w:val="21"/>
                <w:szCs w:val="21"/>
                <w:lang w:val="en-US" w:eastAsia="zh-CN" w:bidi="ar-SA"/>
              </w:rPr>
              <w:t>本项目为专门面向中小企业项目；供应商应为中型企业或小型、微型企业或监狱企业或残疾人福利性单位。供应商为中小企业的，提供《中小企业声明函》；供应商为监狱企业的，应提供监狱企业的证明文件；供应商为残疾人福利性单位的，应提供《残疾人福利性单位声明函》（监狱企业或残疾人福利性单位视同小型、微型企业）。</w:t>
            </w:r>
          </w:p>
        </w:tc>
      </w:tr>
      <w:tr w14:paraId="4760F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5" w:hRule="atLeast"/>
          <w:jc w:val="center"/>
        </w:trPr>
        <w:tc>
          <w:tcPr>
            <w:tcW w:w="765" w:type="dxa"/>
            <w:vAlign w:val="center"/>
          </w:tcPr>
          <w:p w14:paraId="58C9D33F">
            <w:pPr>
              <w:spacing w:line="460" w:lineRule="atLeast"/>
              <w:jc w:val="center"/>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lang w:val="en-US" w:eastAsia="zh-CN"/>
              </w:rPr>
              <w:t>9</w:t>
            </w:r>
          </w:p>
        </w:tc>
        <w:tc>
          <w:tcPr>
            <w:tcW w:w="2526" w:type="dxa"/>
            <w:vAlign w:val="center"/>
          </w:tcPr>
          <w:p w14:paraId="51BA0A9A">
            <w:pPr>
              <w:spacing w:line="460" w:lineRule="atLeast"/>
              <w:ind w:firstLine="210" w:firstLineChars="100"/>
              <w:jc w:val="left"/>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其他</w:t>
            </w:r>
          </w:p>
        </w:tc>
        <w:tc>
          <w:tcPr>
            <w:tcW w:w="5475" w:type="dxa"/>
            <w:vAlign w:val="center"/>
          </w:tcPr>
          <w:p w14:paraId="6935934E">
            <w:pPr>
              <w:spacing w:line="460" w:lineRule="atLeast"/>
              <w:jc w:val="left"/>
              <w:rPr>
                <w:rFonts w:hint="eastAsia" w:ascii="宋体" w:hAnsi="宋体" w:eastAsia="宋体" w:cs="宋体"/>
                <w:color w:val="auto"/>
                <w:szCs w:val="21"/>
                <w:highlight w:val="none"/>
                <w:shd w:val="clear" w:color="auto" w:fill="FFFFFF"/>
              </w:rPr>
            </w:pPr>
            <w:r>
              <w:rPr>
                <w:rFonts w:hint="eastAsia" w:ascii="宋体" w:hAnsi="宋体" w:eastAsia="宋体" w:cs="宋体"/>
                <w:color w:val="auto"/>
                <w:sz w:val="21"/>
                <w:szCs w:val="21"/>
                <w:highlight w:val="none"/>
                <w:shd w:val="clear" w:color="auto" w:fill="FFFFFF"/>
                <w:lang w:val="en-US" w:eastAsia="zh-CN"/>
              </w:rPr>
              <w:t>满足磋商文件规定的“服务期、服务地点、采购资金的支付方式及约定”等实质性条款要求的；</w:t>
            </w:r>
            <w:r>
              <w:rPr>
                <w:rFonts w:hint="eastAsia" w:ascii="宋体" w:hAnsi="宋体" w:eastAsia="宋体" w:cs="宋体"/>
                <w:color w:val="auto"/>
                <w:sz w:val="21"/>
                <w:szCs w:val="21"/>
                <w:highlight w:val="none"/>
                <w:shd w:val="clear" w:color="auto" w:fill="FFFFFF"/>
              </w:rPr>
              <w:t>完全理解并接受法律法规和竞争性磋商文件对供应商的各项须知、规约要求和责任义务，没有出现法律法规或磋商文件明确规定的其他被视为“无效响应”的情形。</w:t>
            </w:r>
          </w:p>
        </w:tc>
      </w:tr>
      <w:tr w14:paraId="1445B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5" w:hRule="atLeast"/>
          <w:jc w:val="center"/>
        </w:trPr>
        <w:tc>
          <w:tcPr>
            <w:tcW w:w="765" w:type="dxa"/>
            <w:vAlign w:val="center"/>
          </w:tcPr>
          <w:p w14:paraId="0B9C04F8">
            <w:pPr>
              <w:spacing w:line="460" w:lineRule="atLeast"/>
              <w:jc w:val="center"/>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10</w:t>
            </w:r>
          </w:p>
        </w:tc>
        <w:tc>
          <w:tcPr>
            <w:tcW w:w="2526" w:type="dxa"/>
            <w:vAlign w:val="center"/>
          </w:tcPr>
          <w:p w14:paraId="4D769F1B">
            <w:pPr>
              <w:spacing w:line="460" w:lineRule="atLeast"/>
              <w:jc w:val="left"/>
              <w:rPr>
                <w:rFonts w:hint="eastAsia" w:ascii="宋体" w:hAnsi="宋体" w:eastAsia="宋体" w:cs="宋体"/>
                <w:color w:val="auto"/>
                <w:szCs w:val="21"/>
                <w:highlight w:val="none"/>
                <w:shd w:val="clear" w:color="auto" w:fill="FFFFFF"/>
              </w:rPr>
            </w:pPr>
            <w:r>
              <w:rPr>
                <w:rFonts w:hint="eastAsia" w:ascii="宋体" w:hAnsi="宋体" w:eastAsia="宋体" w:cs="宋体"/>
                <w:color w:val="auto"/>
                <w:sz w:val="21"/>
                <w:szCs w:val="21"/>
                <w:highlight w:val="none"/>
                <w:shd w:val="clear" w:color="auto" w:fill="FFFFFF"/>
              </w:rPr>
              <w:t>不正当竞争预防措施（实质性要求）</w:t>
            </w:r>
          </w:p>
        </w:tc>
        <w:tc>
          <w:tcPr>
            <w:tcW w:w="5475" w:type="dxa"/>
            <w:vAlign w:val="top"/>
          </w:tcPr>
          <w:p w14:paraId="6EF27531">
            <w:pPr>
              <w:pStyle w:val="20"/>
              <w:spacing w:line="480" w:lineRule="exact"/>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一、在评标过程中，磋商小组认为供应商的报价明显低于其他实质性响应的磋商报价，有可能影响产品质量或者不能诚信履约的，评审小组应当要求其在评审现场合理的时间内提供成本构成书面说明，并提交相关证明材料。书面说明应当按照国家财务会计制度的规定要求，逐项就供应商提供的货物、工程和服务的主营业务成本（应根据供应商企业类型予以区别）、税金及附加、销售费用、管理费用、财务费用等成本构成事项详细陈述。供应商提交的相关证明材料，应当加盖供应商（法定名称）印章，在磋商小组要求的时间内进行提交，否则提交的相关证明材料无效。供应商不能证明其报价合理性的，磋商小组应当将其响应文件作为无效处理。</w:t>
            </w:r>
          </w:p>
          <w:p w14:paraId="7EB6FCDD">
            <w:pPr>
              <w:pStyle w:val="20"/>
              <w:spacing w:line="480" w:lineRule="exact"/>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 xml:space="preserve">二、政府采购评审中出现下列情形之一的，磋商小组应当启动异常低价投标（响应）审查程序： </w:t>
            </w:r>
          </w:p>
          <w:p w14:paraId="4A682FD5">
            <w:pPr>
              <w:pStyle w:val="20"/>
              <w:spacing w:line="480" w:lineRule="exact"/>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Times New Roman"/>
                <w:color w:val="auto"/>
                <w:kern w:val="2"/>
                <w:sz w:val="21"/>
                <w:szCs w:val="21"/>
                <w:lang w:val="en-US" w:eastAsia="zh-CN" w:bidi="ar-SA"/>
              </w:rPr>
              <w:t>1.投标（响应）报价低于全部通过符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磋商小组基于专业判断，认为供应商报价过低，有可能影响产品质量或者不能诚信履约的其他情形。</w:t>
            </w:r>
          </w:p>
        </w:tc>
      </w:tr>
    </w:tbl>
    <w:p w14:paraId="5D64142C">
      <w:pPr>
        <w:pStyle w:val="34"/>
        <w:spacing w:line="460" w:lineRule="atLeast"/>
        <w:ind w:firstLine="422"/>
        <w:rPr>
          <w:rFonts w:hint="eastAsia" w:ascii="宋体" w:hAnsi="宋体" w:cs="宋体"/>
          <w:b/>
          <w:color w:val="auto"/>
          <w:sz w:val="21"/>
          <w:szCs w:val="20"/>
          <w:highlight w:val="none"/>
        </w:rPr>
      </w:pPr>
      <w:r>
        <w:rPr>
          <w:rFonts w:hint="eastAsia" w:ascii="宋体" w:hAnsi="宋体" w:cs="宋体"/>
          <w:b/>
          <w:color w:val="auto"/>
          <w:sz w:val="21"/>
          <w:szCs w:val="20"/>
          <w:highlight w:val="none"/>
        </w:rPr>
        <w:t>1.2响应文件的澄清</w:t>
      </w:r>
    </w:p>
    <w:p w14:paraId="6366CF39">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1.2.1 磋商小组在符合性审查时，可以要求供应商对响应文件中含义不明确、同类问题表述不一致或者有明显文字和计算错误的内容作出必要的澄清、说明或更正。供应商的澄清、说明或更正不得超出响应文件的范围或者改变响应文件的实质性内容。</w:t>
      </w:r>
    </w:p>
    <w:p w14:paraId="7A28A57B">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1.2.2 依照《中华人民共和国民法典》中的过失责任原则，澄清、说明或更正前磋商小组将按最不利于参与本次磋商供应商的原则对响应文件做出评判。</w:t>
      </w:r>
    </w:p>
    <w:p w14:paraId="04614F7B">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1.2.3磋商小组不接受供应商主动提出的澄清、说明或补正。磋商小组要求供应商澄清、说明或者更正响应文件应当以书面形式做出。供应商应当在规定的澄清时限内以书面形式提交，供应商的澄清、说明或者更正应当由法定代表人或其授权代表签字或者加盖公章。磋商小组对供应商提交的澄清、说明或者更正有疑问的，可以要求供应商进一步澄清、说明或者更正，直至满足评审小组的要求。</w:t>
      </w:r>
    </w:p>
    <w:p w14:paraId="2432D576">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1.2.4供应商的书面澄清、说明或者更正属于响应文件的组成部分，其内容将作为评审的依据，也将作为合同履行的重要依据。</w:t>
      </w:r>
    </w:p>
    <w:p w14:paraId="4D33D70C">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1.2.5除采用竞争性磋商方式采购的政府购买服务项目、市场竞争不充分的科研项目以及需要扶持的科技成果转化项目外，通过符合性审查的供应商不足3 家的，不得进行后续磋商活动，应予以废标。</w:t>
      </w:r>
    </w:p>
    <w:p w14:paraId="58CDD6A0">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1.2.6 未通过符合性审查的供应商，不参与磋商，由磋商小组告知该供应商。</w:t>
      </w:r>
    </w:p>
    <w:p w14:paraId="6BAFAE36">
      <w:pPr>
        <w:pStyle w:val="34"/>
        <w:spacing w:line="460" w:lineRule="atLeast"/>
        <w:ind w:firstLine="422"/>
        <w:rPr>
          <w:rFonts w:hint="eastAsia" w:ascii="宋体" w:hAnsi="宋体" w:cs="宋体"/>
          <w:b/>
          <w:color w:val="auto"/>
          <w:sz w:val="21"/>
          <w:szCs w:val="20"/>
          <w:highlight w:val="none"/>
        </w:rPr>
      </w:pPr>
      <w:r>
        <w:rPr>
          <w:rFonts w:hint="eastAsia" w:ascii="宋体" w:hAnsi="宋体" w:cs="宋体"/>
          <w:b/>
          <w:color w:val="auto"/>
          <w:sz w:val="21"/>
          <w:szCs w:val="20"/>
          <w:highlight w:val="none"/>
        </w:rPr>
        <w:t>1.3磋商</w:t>
      </w:r>
    </w:p>
    <w:p w14:paraId="4DBB31A5">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1.3.1磋商报价是供应商响应磋商项目要求的全部工作内容的价格体现，包括完成采购内容所需的直接费、间接费、利润、税金及其它相关的一切费用。供应商在报价时应充分考虑所有可能发生的费用，磋商文件未列明，而供应商认为应当计取的费用均应列入报价中。报价时不论是否计取，采购人均按已计取对待。</w:t>
      </w:r>
    </w:p>
    <w:p w14:paraId="216C73AA">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1.3.2磋商报价采取多轮报价的办法，最后报价作为计算价格分值的依据。如采购内容无实质性变更，各供应商的报价应逐次降低，本次报价超过上次报价的，为无效报价，本次报价超过采购预算或磋商文件规定的最高限价的，均按无效响应处理；本次报价超过上次报价但未超过采购预算或磋商文件规定的最高限价的，或在规定时间内最后报价未提交、提交不成功的均为无效报价，按无效响应处理。“规定时间”由现场工作人员具体确定。</w:t>
      </w:r>
    </w:p>
    <w:p w14:paraId="589E09BD">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1.3.3供应商最终报价较首次报价降价的，成交后，签订合同时应按照成交价较首次报价的下浮比率修改分项报价表中的相应报价。</w:t>
      </w:r>
    </w:p>
    <w:p w14:paraId="41E86E5A">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1.3.4 因供应商对磋商文件理解不透、误解、疏漏或对市场行情了解不清造成的后果和风险，均由供应商自己负责。</w:t>
      </w:r>
    </w:p>
    <w:p w14:paraId="0CDE529B">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 xml:space="preserve">1.3.5磋商小组所有成员应当集中与单一供应商分别进行磋商，并给予所有参加磋商的供应商平等的磋商机会。需要供应商书面答复磋商内容的，供应商应当按照磋商小组的要求，在磋商小组规定的时限内通过书面形式答复磋商的内容，并由法定代表人或其授权代表签字或者加盖公章。 </w:t>
      </w:r>
    </w:p>
    <w:p w14:paraId="4813CAF7">
      <w:pPr>
        <w:pStyle w:val="34"/>
        <w:spacing w:line="460" w:lineRule="atLeast"/>
        <w:ind w:firstLine="422"/>
        <w:rPr>
          <w:rFonts w:hint="eastAsia" w:ascii="宋体" w:hAnsi="宋体" w:cs="宋体"/>
          <w:b/>
          <w:color w:val="auto"/>
          <w:sz w:val="21"/>
          <w:szCs w:val="20"/>
          <w:highlight w:val="none"/>
        </w:rPr>
      </w:pPr>
      <w:r>
        <w:rPr>
          <w:rFonts w:hint="eastAsia" w:ascii="宋体" w:hAnsi="宋体" w:cs="宋体"/>
          <w:b/>
          <w:color w:val="auto"/>
          <w:sz w:val="21"/>
          <w:szCs w:val="20"/>
          <w:highlight w:val="none"/>
        </w:rPr>
        <w:t>1.4磋商文件的实质性变更</w:t>
      </w:r>
    </w:p>
    <w:p w14:paraId="3A5E4A96">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1.4.1 在磋商过程中，磋商小组可以根据磋商文件和磋商情况实质性变动采购需求中的技术、服务要求以及合同草案条款，但不得变动磋商文件中的其他内容。实质性变动的内容，须经采购人代表确认。</w:t>
      </w:r>
    </w:p>
    <w:p w14:paraId="4E6022B3">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1.4.2对磋商文件作出的实质性变动是磋商文件的有效组成部分，磋商小组将通过书面形式通知所有参加磋商的供应商。</w:t>
      </w:r>
    </w:p>
    <w:p w14:paraId="59200E6F">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1.4.3 供应商应当按照磋商文件的变动情况和磋商小组的要求，在磋商小组规定的时限内重新提交响应文件，由法定代表人或其授权代表签字或者加盖公章。</w:t>
      </w:r>
    </w:p>
    <w:p w14:paraId="3DD69742">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1.4.4 供应商未能在规定的时间内按照磋商小组的要求以书面形式提交实质性变更响应文件的，视作未实质性响应。</w:t>
      </w:r>
    </w:p>
    <w:p w14:paraId="6C759E22">
      <w:pPr>
        <w:pStyle w:val="34"/>
        <w:spacing w:line="460" w:lineRule="atLeast"/>
        <w:ind w:firstLine="422"/>
        <w:rPr>
          <w:rFonts w:hint="eastAsia" w:ascii="宋体" w:hAnsi="宋体" w:cs="宋体"/>
          <w:b/>
          <w:color w:val="auto"/>
          <w:sz w:val="21"/>
          <w:szCs w:val="20"/>
          <w:highlight w:val="none"/>
        </w:rPr>
      </w:pPr>
      <w:r>
        <w:rPr>
          <w:rFonts w:hint="eastAsia" w:ascii="宋体" w:hAnsi="宋体" w:cs="宋体"/>
          <w:b/>
          <w:color w:val="auto"/>
          <w:sz w:val="21"/>
          <w:szCs w:val="20"/>
          <w:highlight w:val="none"/>
        </w:rPr>
        <w:t>1.5最后报价</w:t>
      </w:r>
    </w:p>
    <w:p w14:paraId="7740726A">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1.5.1磋商文件能够详细列明采购标的的技术、服务要求的，磋商结束后，磋商小组应当要求所有实质性响应的供应商在规定时间内提交最后报价，提交最后报价的供应商不得少于 3 家。</w:t>
      </w:r>
    </w:p>
    <w:p w14:paraId="7E723448">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1.5.2磋商文件不能详细列明采购标的的技术、服务要求，需经磋商由供应商提供最终设计方案或解决方案的，磋商结束后，磋商小组应当按照少数服从多数的原则投票推荐3 家以上供应商的设计方案或者解决方案，并要求其在规定时间内提交最后报价。</w:t>
      </w:r>
    </w:p>
    <w:p w14:paraId="7E4C9E05">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1.5.3 最后报价是供应商响应文件的有效组成部分。符合《政府采购竞争性磋商采购方式管理暂行办法》第三条第四项情形的，即市场竞争不充分的科研项目，以及需要扶持的科技成果转化项目，提交最后报价的供应商可以为 2 家。根据《财政部关于政府采购竞争性磋商采购方式管理暂行办法有关问题的补充通知》(财库〔2015〕124 号)，采购的政府购买服务项目 (含政府和社会资本合作项目)，在采购过程中符合要求的供应商(社会资本)只有2家的，竞争性磋商采购活动可以继续进行。</w:t>
      </w:r>
    </w:p>
    <w:p w14:paraId="5C572D5C">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1.5.4供应商要以书面形式提交最后报价。最后报价表应由其法定代表人或被授权代表签字或者加盖公章。最后报价将作为综合评分法中价格分的计算依据。</w:t>
      </w:r>
    </w:p>
    <w:p w14:paraId="177412E4">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1.5.5 已提交响应文件的供应商，在提交最后报价之前，可以根据磋商情况书面申请退出磋商，书面申请应由其法定代表人或被授权代表签字或者加盖公章。</w:t>
      </w:r>
    </w:p>
    <w:p w14:paraId="5B0580F4">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1.5.6 磋商小组认为供应商的报价明显低于其他通过符合性和响应性审查供应商的报价，有可能影响工程、货物、服务质量或者不能诚信履约的，要求供应商在规定时间内通过书面形式提供说明 (必要时提交相关证明材料) ，供应商不能证明其报价合理性的，按无效响应对待。</w:t>
      </w:r>
    </w:p>
    <w:p w14:paraId="7D30FF75">
      <w:pPr>
        <w:pStyle w:val="34"/>
        <w:spacing w:line="460" w:lineRule="atLeast"/>
        <w:ind w:firstLine="422"/>
        <w:rPr>
          <w:rFonts w:hint="eastAsia" w:ascii="宋体" w:hAnsi="宋体" w:cs="宋体"/>
          <w:b/>
          <w:color w:val="auto"/>
          <w:sz w:val="21"/>
          <w:szCs w:val="20"/>
          <w:highlight w:val="none"/>
        </w:rPr>
      </w:pPr>
      <w:r>
        <w:rPr>
          <w:rFonts w:hint="eastAsia" w:ascii="宋体" w:hAnsi="宋体" w:cs="宋体"/>
          <w:b/>
          <w:color w:val="auto"/>
          <w:sz w:val="21"/>
          <w:szCs w:val="20"/>
          <w:highlight w:val="none"/>
        </w:rPr>
        <w:t>1.6综合比较与评价</w:t>
      </w:r>
    </w:p>
    <w:p w14:paraId="5BC51E25">
      <w:pPr>
        <w:pStyle w:val="34"/>
        <w:spacing w:line="460" w:lineRule="atLeast"/>
        <w:ind w:firstLine="420"/>
        <w:rPr>
          <w:rFonts w:hint="eastAsia" w:ascii="宋体" w:hAnsi="宋体" w:cs="宋体"/>
          <w:color w:val="auto"/>
          <w:sz w:val="21"/>
          <w:szCs w:val="20"/>
          <w:highlight w:val="none"/>
        </w:rPr>
      </w:pPr>
      <w:r>
        <w:rPr>
          <w:rFonts w:hint="eastAsia" w:ascii="宋体" w:hAnsi="宋体" w:cs="宋体"/>
          <w:color w:val="auto"/>
          <w:sz w:val="21"/>
          <w:szCs w:val="20"/>
          <w:highlight w:val="none"/>
        </w:rPr>
        <w:t>1.6.1经磋商确定最终采购需求和提交最后报价的供应商后，由磋商小组按“评标因素及权重分值表”中规定的评审方法和标准，对提交最后报价的供应商的响应文件和最后报价进行综合评分。</w:t>
      </w:r>
    </w:p>
    <w:p w14:paraId="342247FC">
      <w:pPr>
        <w:pageBreakBefore/>
        <w:spacing w:line="460" w:lineRule="atLeast"/>
        <w:ind w:firstLine="2570" w:firstLineChars="800"/>
        <w:rPr>
          <w:rFonts w:hint="eastAsia" w:ascii="宋体" w:hAnsi="宋体" w:eastAsia="宋体" w:cs="宋体"/>
          <w:b/>
          <w:color w:val="auto"/>
          <w:sz w:val="32"/>
          <w:szCs w:val="32"/>
          <w:highlight w:val="none"/>
        </w:rPr>
      </w:pPr>
      <w:bookmarkStart w:id="13" w:name="_Hlk141085206"/>
      <w:r>
        <w:rPr>
          <w:rFonts w:hint="eastAsia" w:ascii="宋体" w:hAnsi="宋体" w:eastAsia="宋体" w:cs="宋体"/>
          <w:b/>
          <w:color w:val="auto"/>
          <w:sz w:val="32"/>
          <w:szCs w:val="32"/>
          <w:highlight w:val="none"/>
        </w:rPr>
        <w:t>评标因素及权重分值表</w:t>
      </w:r>
      <w:bookmarkEnd w:id="13"/>
    </w:p>
    <w:tbl>
      <w:tblPr>
        <w:tblStyle w:val="23"/>
        <w:tblW w:w="4720"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1396"/>
        <w:gridCol w:w="7106"/>
      </w:tblGrid>
      <w:tr w14:paraId="00E32B1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821" w:type="pct"/>
            <w:vAlign w:val="center"/>
          </w:tcPr>
          <w:p w14:paraId="22306085">
            <w:pPr>
              <w:adjustRightInd w:val="0"/>
              <w:snapToGrid w:val="0"/>
              <w:spacing w:line="460" w:lineRule="atLeast"/>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评标因素</w:t>
            </w:r>
          </w:p>
        </w:tc>
        <w:tc>
          <w:tcPr>
            <w:tcW w:w="4178" w:type="pct"/>
            <w:vAlign w:val="center"/>
          </w:tcPr>
          <w:p w14:paraId="34F39D38">
            <w:pPr>
              <w:adjustRightInd w:val="0"/>
              <w:snapToGrid w:val="0"/>
              <w:spacing w:line="460" w:lineRule="atLeast"/>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赋分标准</w:t>
            </w:r>
          </w:p>
        </w:tc>
      </w:tr>
      <w:tr w14:paraId="0145FE1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21" w:type="pct"/>
            <w:vAlign w:val="center"/>
          </w:tcPr>
          <w:p w14:paraId="25F8B83F">
            <w:pPr>
              <w:adjustRightInd w:val="0"/>
              <w:snapToGrid w:val="0"/>
              <w:spacing w:line="460" w:lineRule="atLeas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磋商价格</w:t>
            </w:r>
          </w:p>
          <w:p w14:paraId="51C106C7">
            <w:pPr>
              <w:adjustRightInd w:val="0"/>
              <w:snapToGrid w:val="0"/>
              <w:spacing w:line="460" w:lineRule="atLeas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0</w:t>
            </w:r>
            <w:r>
              <w:rPr>
                <w:rFonts w:hint="eastAsia" w:ascii="宋体" w:hAnsi="宋体" w:eastAsia="宋体" w:cs="宋体"/>
                <w:color w:val="auto"/>
                <w:szCs w:val="21"/>
                <w:highlight w:val="none"/>
              </w:rPr>
              <w:t>分）</w:t>
            </w:r>
          </w:p>
        </w:tc>
        <w:tc>
          <w:tcPr>
            <w:tcW w:w="4178" w:type="pct"/>
            <w:vAlign w:val="center"/>
          </w:tcPr>
          <w:p w14:paraId="752DE6FB">
            <w:pPr>
              <w:adjustRightInd w:val="0"/>
              <w:snapToGrid w:val="0"/>
              <w:spacing w:line="460" w:lineRule="atLeast"/>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价格分采用低价优先法计算，即满足磋商文件要求且磋商响应价格最低的报价为评标基准价，其价格分为满分。其他供应商的价格分统一按照下列公式计算： </w:t>
            </w:r>
          </w:p>
          <w:p w14:paraId="7D0315E1">
            <w:pPr>
              <w:adjustRightInd w:val="0"/>
              <w:snapToGrid w:val="0"/>
              <w:spacing w:line="460" w:lineRule="atLeast"/>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磋商报价得分=（评审基准价/磋商报价）×1</w:t>
            </w:r>
            <w:r>
              <w:rPr>
                <w:rFonts w:hint="eastAsia" w:ascii="宋体" w:hAnsi="宋体" w:eastAsia="宋体" w:cs="宋体"/>
                <w:color w:val="auto"/>
                <w:szCs w:val="21"/>
                <w:highlight w:val="none"/>
                <w:lang w:val="en-US" w:eastAsia="zh-CN"/>
              </w:rPr>
              <w:t>0</w:t>
            </w:r>
            <w:r>
              <w:rPr>
                <w:rFonts w:hint="eastAsia" w:ascii="宋体" w:hAnsi="宋体" w:eastAsia="宋体" w:cs="宋体"/>
                <w:color w:val="auto"/>
                <w:szCs w:val="21"/>
                <w:highlight w:val="none"/>
              </w:rPr>
              <w:t>。</w:t>
            </w:r>
          </w:p>
          <w:p w14:paraId="7A6B4BC0">
            <w:pPr>
              <w:adjustRightInd w:val="0"/>
              <w:snapToGrid w:val="0"/>
              <w:spacing w:line="460" w:lineRule="atLeast"/>
              <w:jc w:val="left"/>
              <w:rPr>
                <w:rFonts w:hint="eastAsia" w:ascii="宋体" w:hAnsi="宋体" w:eastAsia="宋体" w:cs="宋体"/>
                <w:color w:val="auto"/>
                <w:szCs w:val="21"/>
                <w:highlight w:val="none"/>
              </w:rPr>
            </w:pP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注：本项目为</w:t>
            </w:r>
            <w:r>
              <w:rPr>
                <w:rFonts w:hint="eastAsia" w:ascii="宋体" w:hAnsi="宋体" w:eastAsia="宋体" w:cs="宋体"/>
                <w:color w:val="auto"/>
                <w:sz w:val="21"/>
                <w:szCs w:val="21"/>
              </w:rPr>
              <w:t>专门面向中小微企业的项目不享受折扣）</w:t>
            </w:r>
          </w:p>
        </w:tc>
      </w:tr>
      <w:tr w14:paraId="72361C3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63" w:hRule="atLeast"/>
          <w:jc w:val="center"/>
        </w:trPr>
        <w:tc>
          <w:tcPr>
            <w:tcW w:w="821" w:type="pct"/>
            <w:vMerge w:val="restart"/>
            <w:vAlign w:val="center"/>
          </w:tcPr>
          <w:p w14:paraId="75306248">
            <w:pPr>
              <w:adjustRightInd w:val="0"/>
              <w:snapToGrid w:val="0"/>
              <w:spacing w:line="460" w:lineRule="atLeas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技术方案</w:t>
            </w:r>
          </w:p>
          <w:p w14:paraId="735E049C">
            <w:pPr>
              <w:adjustRightInd w:val="0"/>
              <w:snapToGrid w:val="0"/>
              <w:spacing w:line="460" w:lineRule="atLeas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40</w:t>
            </w:r>
            <w:r>
              <w:rPr>
                <w:rFonts w:hint="eastAsia" w:ascii="宋体" w:hAnsi="宋体" w:eastAsia="宋体" w:cs="宋体"/>
                <w:color w:val="auto"/>
                <w:szCs w:val="21"/>
                <w:highlight w:val="none"/>
              </w:rPr>
              <w:t>分）</w:t>
            </w:r>
          </w:p>
          <w:p w14:paraId="5C376662">
            <w:pPr>
              <w:adjustRightInd w:val="0"/>
              <w:snapToGrid w:val="0"/>
              <w:spacing w:line="460" w:lineRule="atLeast"/>
              <w:jc w:val="center"/>
              <w:rPr>
                <w:rFonts w:hint="eastAsia" w:ascii="宋体" w:hAnsi="宋体" w:eastAsia="宋体" w:cs="宋体"/>
                <w:color w:val="auto"/>
                <w:szCs w:val="21"/>
                <w:highlight w:val="none"/>
              </w:rPr>
            </w:pPr>
            <w:r>
              <w:rPr>
                <w:rFonts w:hint="eastAsia" w:eastAsia="宋体" w:cs="宋体"/>
                <w:color w:val="auto"/>
                <w:sz w:val="21"/>
                <w:szCs w:val="21"/>
                <w:lang w:eastAsia="zh-CN"/>
              </w:rPr>
              <w:t>（</w:t>
            </w:r>
            <w:r>
              <w:rPr>
                <w:rFonts w:hint="eastAsia" w:eastAsia="宋体" w:cs="宋体"/>
                <w:color w:val="auto"/>
                <w:sz w:val="21"/>
                <w:szCs w:val="21"/>
                <w:lang w:val="en-US" w:eastAsia="zh-CN"/>
              </w:rPr>
              <w:t>主观分</w:t>
            </w:r>
            <w:r>
              <w:rPr>
                <w:rFonts w:hint="eastAsia" w:eastAsia="宋体" w:cs="宋体"/>
                <w:color w:val="auto"/>
                <w:sz w:val="21"/>
                <w:szCs w:val="21"/>
                <w:lang w:eastAsia="zh-CN"/>
              </w:rPr>
              <w:t>）</w:t>
            </w:r>
          </w:p>
        </w:tc>
        <w:tc>
          <w:tcPr>
            <w:tcW w:w="4178" w:type="pct"/>
            <w:vAlign w:val="center"/>
          </w:tcPr>
          <w:p w14:paraId="3F8B97A1">
            <w:pPr>
              <w:adjustRightInd w:val="0"/>
              <w:snapToGrid w:val="0"/>
              <w:spacing w:line="460" w:lineRule="atLeast"/>
              <w:jc w:val="left"/>
              <w:rPr>
                <w:rFonts w:hint="default"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1.总体服务方案（10分）</w:t>
            </w:r>
          </w:p>
          <w:p w14:paraId="0C0EA6F1">
            <w:pPr>
              <w:adjustRightInd w:val="0"/>
              <w:snapToGrid w:val="0"/>
              <w:spacing w:line="460" w:lineRule="atLeast"/>
              <w:jc w:val="left"/>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根据供应商提供的项目服务方案进行评审，内容包括但不限于：</w:t>
            </w:r>
            <w:r>
              <w:rPr>
                <w:rFonts w:hint="eastAsia" w:ascii="宋体" w:hAnsi="宋体" w:eastAsia="宋体" w:cs="宋体"/>
                <w:b/>
                <w:bCs/>
                <w:color w:val="auto"/>
                <w:szCs w:val="21"/>
                <w:highlight w:val="none"/>
              </w:rPr>
              <w:t>①总体项目描述；②对项目的理解评价;③项目需求理解分析；④实施过程中的重点难点方案与措施；⑤分项工作实施方案</w:t>
            </w:r>
          </w:p>
          <w:p w14:paraId="0CD94151">
            <w:pPr>
              <w:adjustRightInd w:val="0"/>
              <w:snapToGrid w:val="0"/>
              <w:spacing w:line="460" w:lineRule="atLeast"/>
              <w:jc w:val="lef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评审原则：</w:t>
            </w:r>
          </w:p>
          <w:p w14:paraId="174AAF52">
            <w:pPr>
              <w:adjustRightInd w:val="0"/>
              <w:snapToGrid w:val="0"/>
              <w:spacing w:line="460" w:lineRule="atLeast"/>
              <w:jc w:val="lef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完整性(上述内容无缺项、阐述详细、考虑全面、符合</w:t>
            </w:r>
            <w:r>
              <w:rPr>
                <w:rFonts w:hint="eastAsia" w:ascii="宋体" w:hAnsi="宋体" w:eastAsia="宋体" w:cs="宋体"/>
                <w:color w:val="auto"/>
                <w:szCs w:val="21"/>
                <w:highlight w:val="none"/>
                <w:lang w:val="en-US" w:eastAsia="zh-CN"/>
              </w:rPr>
              <w:t>本项目内容）；</w:t>
            </w:r>
          </w:p>
          <w:p w14:paraId="74117BE0">
            <w:pPr>
              <w:adjustRightInd w:val="0"/>
              <w:snapToGrid w:val="0"/>
              <w:spacing w:line="460" w:lineRule="atLeast"/>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可实施性(贴合服务项目实际、流程清晰可行)</w:t>
            </w:r>
            <w:r>
              <w:rPr>
                <w:rFonts w:hint="eastAsia" w:ascii="宋体" w:hAnsi="宋体" w:eastAsia="宋体" w:cs="宋体"/>
                <w:color w:val="auto"/>
                <w:szCs w:val="21"/>
                <w:highlight w:val="none"/>
                <w:lang w:eastAsia="zh-CN"/>
              </w:rPr>
              <w:t>；</w:t>
            </w:r>
          </w:p>
          <w:p w14:paraId="5A56FE83">
            <w:pPr>
              <w:adjustRightInd w:val="0"/>
              <w:snapToGrid w:val="0"/>
              <w:spacing w:line="460" w:lineRule="atLeast"/>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可落地性(含可量化执行到本项目中，无空泛表述)</w:t>
            </w:r>
            <w:r>
              <w:rPr>
                <w:rFonts w:hint="eastAsia" w:ascii="宋体" w:hAnsi="宋体" w:eastAsia="宋体" w:cs="宋体"/>
                <w:color w:val="auto"/>
                <w:szCs w:val="21"/>
                <w:highlight w:val="none"/>
                <w:lang w:eastAsia="zh-CN"/>
              </w:rPr>
              <w:t>；</w:t>
            </w:r>
          </w:p>
          <w:p w14:paraId="4197E207">
            <w:pPr>
              <w:adjustRightInd w:val="0"/>
              <w:snapToGrid w:val="0"/>
              <w:spacing w:line="460" w:lineRule="atLeast"/>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评分标准：</w:t>
            </w:r>
          </w:p>
          <w:p w14:paraId="0D887548">
            <w:pPr>
              <w:adjustRightInd w:val="0"/>
              <w:snapToGrid w:val="0"/>
              <w:spacing w:line="460" w:lineRule="atLeast"/>
              <w:jc w:val="lef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完全符合要求，内容专业、逻辑清晰，列明项阐述详细:以上</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项，每项得</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1.0-2.0</w:t>
            </w:r>
            <w:r>
              <w:rPr>
                <w:rFonts w:hint="eastAsia" w:ascii="宋体" w:hAnsi="宋体" w:eastAsia="宋体" w:cs="宋体"/>
                <w:color w:val="auto"/>
                <w:szCs w:val="21"/>
                <w:highlight w:val="none"/>
              </w:rPr>
              <w:t>分</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eastAsia="zh-CN"/>
              </w:rPr>
              <w:t>；</w:t>
            </w:r>
          </w:p>
          <w:p w14:paraId="6663208B">
            <w:pPr>
              <w:adjustRightInd w:val="0"/>
              <w:snapToGrid w:val="0"/>
              <w:spacing w:line="460" w:lineRule="atLeast"/>
              <w:jc w:val="lef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基本满足要求，列明项内容简略、有泛化表述，完整性、可实施性、可落地性有明显不足:以上</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项</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rPr>
              <w:t>每项得</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0-1.0</w:t>
            </w:r>
            <w:r>
              <w:rPr>
                <w:rFonts w:hint="eastAsia" w:ascii="宋体" w:hAnsi="宋体" w:eastAsia="宋体" w:cs="宋体"/>
                <w:color w:val="auto"/>
                <w:szCs w:val="21"/>
                <w:highlight w:val="none"/>
              </w:rPr>
              <w:t>分</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eastAsia="zh-CN"/>
              </w:rPr>
              <w:t>；</w:t>
            </w:r>
          </w:p>
          <w:p w14:paraId="1A9F5A4A">
            <w:pPr>
              <w:adjustRightInd w:val="0"/>
              <w:snapToGrid w:val="0"/>
              <w:spacing w:line="460" w:lineRule="atLeast"/>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未提供方案或列明项无实质性内容</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每项得0分。</w:t>
            </w:r>
          </w:p>
        </w:tc>
      </w:tr>
      <w:tr w14:paraId="2DB0B8A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821" w:type="pct"/>
            <w:vMerge w:val="continue"/>
            <w:vAlign w:val="center"/>
          </w:tcPr>
          <w:p w14:paraId="71659C59">
            <w:pPr>
              <w:adjustRightInd w:val="0"/>
              <w:snapToGrid w:val="0"/>
              <w:spacing w:line="460" w:lineRule="atLeast"/>
              <w:jc w:val="center"/>
              <w:rPr>
                <w:rFonts w:hint="eastAsia" w:ascii="宋体" w:hAnsi="宋体" w:eastAsia="宋体" w:cs="宋体"/>
                <w:color w:val="auto"/>
                <w:szCs w:val="21"/>
                <w:highlight w:val="none"/>
              </w:rPr>
            </w:pPr>
          </w:p>
        </w:tc>
        <w:tc>
          <w:tcPr>
            <w:tcW w:w="4178" w:type="pct"/>
            <w:vAlign w:val="center"/>
          </w:tcPr>
          <w:p w14:paraId="258EAB92">
            <w:pPr>
              <w:adjustRightInd w:val="0"/>
              <w:snapToGrid w:val="0"/>
              <w:spacing w:line="460" w:lineRule="atLeast"/>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w:t>
            </w:r>
            <w:r>
              <w:rPr>
                <w:rFonts w:hint="eastAsia" w:ascii="宋体" w:hAnsi="宋体" w:eastAsia="宋体" w:cs="宋体"/>
                <w:b/>
                <w:bCs/>
                <w:color w:val="auto"/>
                <w:szCs w:val="21"/>
                <w:highlight w:val="none"/>
                <w:lang w:val="en-US" w:eastAsia="zh-CN"/>
              </w:rPr>
              <w:t>.服务质量保障措施方案（10分）</w:t>
            </w:r>
          </w:p>
          <w:p w14:paraId="5D36C9C2">
            <w:pPr>
              <w:adjustRightInd w:val="0"/>
              <w:snapToGrid w:val="0"/>
              <w:spacing w:line="460" w:lineRule="atLeast"/>
              <w:jc w:val="left"/>
              <w:rPr>
                <w:rFonts w:hint="default" w:ascii="宋体" w:hAnsi="宋体" w:eastAsia="宋体" w:cs="宋体"/>
                <w:b/>
                <w:bCs/>
                <w:color w:val="auto"/>
                <w:szCs w:val="21"/>
                <w:highlight w:val="none"/>
                <w:lang w:val="en-US" w:eastAsia="zh-CN"/>
              </w:rPr>
            </w:pPr>
            <w:r>
              <w:rPr>
                <w:rFonts w:hint="default" w:ascii="宋体" w:hAnsi="宋体" w:eastAsia="宋体" w:cs="宋体"/>
                <w:color w:val="auto"/>
                <w:szCs w:val="21"/>
                <w:highlight w:val="none"/>
                <w:lang w:val="en-US" w:eastAsia="zh-CN"/>
              </w:rPr>
              <w:t>质量保证措施内容包括但不限于：</w:t>
            </w:r>
            <w:r>
              <w:rPr>
                <w:rFonts w:hint="default" w:ascii="宋体" w:hAnsi="宋体" w:eastAsia="宋体" w:cs="宋体"/>
                <w:b/>
                <w:bCs/>
                <w:color w:val="auto"/>
                <w:szCs w:val="21"/>
                <w:highlight w:val="none"/>
                <w:lang w:val="en-US" w:eastAsia="zh-CN"/>
              </w:rPr>
              <w:t>①质量目标；②质量管理制度；③质量保障方案；④成果文件质量控制措施；⑤沉降观测专项质量管控措施；</w:t>
            </w:r>
          </w:p>
          <w:p w14:paraId="6C89B9F5">
            <w:pPr>
              <w:adjustRightInd w:val="0"/>
              <w:snapToGrid w:val="0"/>
              <w:spacing w:line="460" w:lineRule="atLeast"/>
              <w:jc w:val="lef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评审原则：</w:t>
            </w:r>
          </w:p>
          <w:p w14:paraId="486B9B62">
            <w:pPr>
              <w:adjustRightInd w:val="0"/>
              <w:snapToGrid w:val="0"/>
              <w:spacing w:line="460" w:lineRule="atLeast"/>
              <w:jc w:val="lef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完整性(上述内容无缺项、阐述详细、考虑全面、符合</w:t>
            </w:r>
            <w:r>
              <w:rPr>
                <w:rFonts w:hint="eastAsia" w:ascii="宋体" w:hAnsi="宋体" w:eastAsia="宋体" w:cs="宋体"/>
                <w:color w:val="auto"/>
                <w:szCs w:val="21"/>
                <w:highlight w:val="none"/>
                <w:lang w:val="en-US" w:eastAsia="zh-CN"/>
              </w:rPr>
              <w:t>本项目内容）；</w:t>
            </w:r>
          </w:p>
          <w:p w14:paraId="10A205ED">
            <w:pPr>
              <w:adjustRightInd w:val="0"/>
              <w:snapToGrid w:val="0"/>
              <w:spacing w:line="460" w:lineRule="atLeast"/>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可实施性(贴合服务项目实际、流程清晰可行)</w:t>
            </w:r>
            <w:r>
              <w:rPr>
                <w:rFonts w:hint="eastAsia" w:ascii="宋体" w:hAnsi="宋体" w:eastAsia="宋体" w:cs="宋体"/>
                <w:color w:val="auto"/>
                <w:szCs w:val="21"/>
                <w:highlight w:val="none"/>
                <w:lang w:eastAsia="zh-CN"/>
              </w:rPr>
              <w:t>；</w:t>
            </w:r>
          </w:p>
          <w:p w14:paraId="529DFA01">
            <w:pPr>
              <w:adjustRightInd w:val="0"/>
              <w:snapToGrid w:val="0"/>
              <w:spacing w:line="460" w:lineRule="atLeast"/>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可落地性(含可量化执行到本项目中，无空泛表述)</w:t>
            </w:r>
            <w:r>
              <w:rPr>
                <w:rFonts w:hint="eastAsia" w:ascii="宋体" w:hAnsi="宋体" w:eastAsia="宋体" w:cs="宋体"/>
                <w:color w:val="auto"/>
                <w:szCs w:val="21"/>
                <w:highlight w:val="none"/>
                <w:lang w:eastAsia="zh-CN"/>
              </w:rPr>
              <w:t>；</w:t>
            </w:r>
          </w:p>
          <w:p w14:paraId="2A98BD5E">
            <w:pPr>
              <w:adjustRightInd w:val="0"/>
              <w:snapToGrid w:val="0"/>
              <w:spacing w:line="460" w:lineRule="atLeast"/>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评分标准：</w:t>
            </w:r>
          </w:p>
          <w:p w14:paraId="76B68DFC">
            <w:pPr>
              <w:adjustRightInd w:val="0"/>
              <w:snapToGrid w:val="0"/>
              <w:spacing w:line="460" w:lineRule="atLeast"/>
              <w:jc w:val="lef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完全符合要求，内容专业、逻辑清晰，列明项阐述详细:以上</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项，每项得</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1.0-2.0</w:t>
            </w:r>
            <w:r>
              <w:rPr>
                <w:rFonts w:hint="eastAsia" w:ascii="宋体" w:hAnsi="宋体" w:eastAsia="宋体" w:cs="宋体"/>
                <w:color w:val="auto"/>
                <w:szCs w:val="21"/>
                <w:highlight w:val="none"/>
              </w:rPr>
              <w:t>分</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eastAsia="zh-CN"/>
              </w:rPr>
              <w:t>；</w:t>
            </w:r>
          </w:p>
          <w:p w14:paraId="625876FA">
            <w:pPr>
              <w:adjustRightInd w:val="0"/>
              <w:snapToGrid w:val="0"/>
              <w:spacing w:line="460" w:lineRule="atLeast"/>
              <w:jc w:val="lef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基本满足要求，列明项内容简略、有泛化表述，完整性、可实施性、可落地性有明显不足:以上</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项</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rPr>
              <w:t>每项得</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0-1.0</w:t>
            </w:r>
            <w:r>
              <w:rPr>
                <w:rFonts w:hint="eastAsia" w:ascii="宋体" w:hAnsi="宋体" w:eastAsia="宋体" w:cs="宋体"/>
                <w:color w:val="auto"/>
                <w:szCs w:val="21"/>
                <w:highlight w:val="none"/>
              </w:rPr>
              <w:t>分</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eastAsia="zh-CN"/>
              </w:rPr>
              <w:t>；</w:t>
            </w:r>
          </w:p>
          <w:p w14:paraId="0C88FF73">
            <w:pPr>
              <w:adjustRightInd w:val="0"/>
              <w:snapToGrid w:val="0"/>
              <w:spacing w:line="460" w:lineRule="atLeast"/>
              <w:jc w:val="lef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未提供方案或列明项无实质性内容</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每项得0分。</w:t>
            </w:r>
          </w:p>
        </w:tc>
      </w:tr>
      <w:tr w14:paraId="70BBBB4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821" w:type="pct"/>
            <w:vMerge w:val="continue"/>
            <w:vAlign w:val="center"/>
          </w:tcPr>
          <w:p w14:paraId="50C2412E">
            <w:pPr>
              <w:adjustRightInd w:val="0"/>
              <w:snapToGrid w:val="0"/>
              <w:spacing w:line="460" w:lineRule="atLeast"/>
              <w:jc w:val="center"/>
              <w:rPr>
                <w:rFonts w:hint="eastAsia" w:ascii="宋体" w:hAnsi="宋体" w:eastAsia="宋体" w:cs="宋体"/>
                <w:color w:val="auto"/>
                <w:szCs w:val="21"/>
                <w:highlight w:val="none"/>
              </w:rPr>
            </w:pPr>
          </w:p>
        </w:tc>
        <w:tc>
          <w:tcPr>
            <w:tcW w:w="4178" w:type="pct"/>
            <w:vAlign w:val="center"/>
          </w:tcPr>
          <w:p w14:paraId="36AF3F54">
            <w:pPr>
              <w:adjustRightInd w:val="0"/>
              <w:snapToGrid w:val="0"/>
              <w:spacing w:line="460" w:lineRule="atLeast"/>
              <w:jc w:val="left"/>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3.工期进度计划保障措施方案（10分）</w:t>
            </w:r>
          </w:p>
          <w:p w14:paraId="7EEB6382">
            <w:pPr>
              <w:adjustRightInd w:val="0"/>
              <w:snapToGrid w:val="0"/>
              <w:spacing w:line="460" w:lineRule="atLeast"/>
              <w:jc w:val="left"/>
              <w:rPr>
                <w:rFonts w:hint="default" w:ascii="宋体" w:hAnsi="宋体" w:eastAsia="宋体" w:cs="宋体"/>
                <w:b/>
                <w:bCs/>
                <w:color w:val="auto"/>
                <w:szCs w:val="21"/>
                <w:highlight w:val="none"/>
                <w:lang w:val="en-US" w:eastAsia="zh-CN"/>
              </w:rPr>
            </w:pPr>
            <w:r>
              <w:rPr>
                <w:rFonts w:hint="default" w:ascii="宋体" w:hAnsi="宋体" w:eastAsia="宋体" w:cs="宋体"/>
                <w:color w:val="auto"/>
                <w:szCs w:val="21"/>
                <w:highlight w:val="none"/>
                <w:lang w:val="en-US" w:eastAsia="zh-CN"/>
              </w:rPr>
              <w:t>工期进度计划保障措施包括但不限于：</w:t>
            </w:r>
            <w:r>
              <w:rPr>
                <w:rFonts w:hint="default" w:ascii="宋体" w:hAnsi="宋体" w:eastAsia="宋体" w:cs="宋体"/>
                <w:b/>
                <w:bCs/>
                <w:color w:val="auto"/>
                <w:szCs w:val="21"/>
                <w:highlight w:val="none"/>
                <w:lang w:val="en-US" w:eastAsia="zh-CN"/>
              </w:rPr>
              <w:t>①匹配施工进度的观测频次、观测周期、节点计划；②本项目仪器设备配备；③滞后补测、停工复测；④竣工收尾观测；⑤工期延误补救措施。</w:t>
            </w:r>
          </w:p>
          <w:p w14:paraId="7984EFCD">
            <w:pPr>
              <w:adjustRightInd w:val="0"/>
              <w:snapToGrid w:val="0"/>
              <w:spacing w:line="460" w:lineRule="atLeast"/>
              <w:jc w:val="lef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评审原则：</w:t>
            </w:r>
          </w:p>
          <w:p w14:paraId="67826E1F">
            <w:pPr>
              <w:adjustRightInd w:val="0"/>
              <w:snapToGrid w:val="0"/>
              <w:spacing w:line="460" w:lineRule="atLeast"/>
              <w:jc w:val="lef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完整性(上述内容无缺项、阐述详细、考虑全面、符合</w:t>
            </w:r>
            <w:r>
              <w:rPr>
                <w:rFonts w:hint="eastAsia" w:ascii="宋体" w:hAnsi="宋体" w:eastAsia="宋体" w:cs="宋体"/>
                <w:color w:val="auto"/>
                <w:szCs w:val="21"/>
                <w:highlight w:val="none"/>
                <w:lang w:val="en-US" w:eastAsia="zh-CN"/>
              </w:rPr>
              <w:t>本项目内容）；</w:t>
            </w:r>
          </w:p>
          <w:p w14:paraId="35F207D9">
            <w:pPr>
              <w:adjustRightInd w:val="0"/>
              <w:snapToGrid w:val="0"/>
              <w:spacing w:line="460" w:lineRule="atLeast"/>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可实施性(贴合服务项目实际、流程清晰可行)</w:t>
            </w:r>
            <w:r>
              <w:rPr>
                <w:rFonts w:hint="eastAsia" w:ascii="宋体" w:hAnsi="宋体" w:eastAsia="宋体" w:cs="宋体"/>
                <w:color w:val="auto"/>
                <w:szCs w:val="21"/>
                <w:highlight w:val="none"/>
                <w:lang w:eastAsia="zh-CN"/>
              </w:rPr>
              <w:t>；</w:t>
            </w:r>
          </w:p>
          <w:p w14:paraId="4341AC81">
            <w:pPr>
              <w:adjustRightInd w:val="0"/>
              <w:snapToGrid w:val="0"/>
              <w:spacing w:line="460" w:lineRule="atLeast"/>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可落地性(含可量化执行到本项目中，无空泛表述)</w:t>
            </w:r>
            <w:r>
              <w:rPr>
                <w:rFonts w:hint="eastAsia" w:ascii="宋体" w:hAnsi="宋体" w:eastAsia="宋体" w:cs="宋体"/>
                <w:color w:val="auto"/>
                <w:szCs w:val="21"/>
                <w:highlight w:val="none"/>
                <w:lang w:eastAsia="zh-CN"/>
              </w:rPr>
              <w:t>；</w:t>
            </w:r>
          </w:p>
          <w:p w14:paraId="1958C7A7">
            <w:pPr>
              <w:adjustRightInd w:val="0"/>
              <w:snapToGrid w:val="0"/>
              <w:spacing w:line="460" w:lineRule="atLeast"/>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评分标准：</w:t>
            </w:r>
          </w:p>
          <w:p w14:paraId="0B704471">
            <w:pPr>
              <w:adjustRightInd w:val="0"/>
              <w:snapToGrid w:val="0"/>
              <w:spacing w:line="460" w:lineRule="atLeast"/>
              <w:jc w:val="lef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完全符合要求，内容专业、逻辑清晰，列明项阐述详细:以上</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项，每项得</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1.0-2.0</w:t>
            </w:r>
            <w:r>
              <w:rPr>
                <w:rFonts w:hint="eastAsia" w:ascii="宋体" w:hAnsi="宋体" w:eastAsia="宋体" w:cs="宋体"/>
                <w:color w:val="auto"/>
                <w:szCs w:val="21"/>
                <w:highlight w:val="none"/>
              </w:rPr>
              <w:t>分</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eastAsia="zh-CN"/>
              </w:rPr>
              <w:t>；</w:t>
            </w:r>
          </w:p>
          <w:p w14:paraId="3F2034E1">
            <w:pPr>
              <w:adjustRightInd w:val="0"/>
              <w:snapToGrid w:val="0"/>
              <w:spacing w:line="460" w:lineRule="atLeast"/>
              <w:jc w:val="lef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基本满足要求，列明项内容简略、有泛化表述，完整性、可实施性、可落地性有明显不足:以上</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项</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rPr>
              <w:t>每项得</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0-1.0</w:t>
            </w:r>
            <w:r>
              <w:rPr>
                <w:rFonts w:hint="eastAsia" w:ascii="宋体" w:hAnsi="宋体" w:eastAsia="宋体" w:cs="宋体"/>
                <w:color w:val="auto"/>
                <w:szCs w:val="21"/>
                <w:highlight w:val="none"/>
              </w:rPr>
              <w:t>分</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eastAsia="zh-CN"/>
              </w:rPr>
              <w:t>；</w:t>
            </w:r>
          </w:p>
          <w:p w14:paraId="45CC0C7B">
            <w:pPr>
              <w:adjustRightInd w:val="0"/>
              <w:snapToGrid w:val="0"/>
              <w:spacing w:line="460" w:lineRule="atLeast"/>
              <w:jc w:val="lef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未提供方案或列明项无实质性内容</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每项得0分。</w:t>
            </w:r>
          </w:p>
        </w:tc>
      </w:tr>
      <w:tr w14:paraId="1ACE61D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617" w:hRule="atLeast"/>
          <w:jc w:val="center"/>
        </w:trPr>
        <w:tc>
          <w:tcPr>
            <w:tcW w:w="821" w:type="pct"/>
            <w:vMerge w:val="continue"/>
            <w:vAlign w:val="center"/>
          </w:tcPr>
          <w:p w14:paraId="327C9D64">
            <w:pPr>
              <w:adjustRightInd w:val="0"/>
              <w:snapToGrid w:val="0"/>
              <w:spacing w:line="460" w:lineRule="atLeast"/>
              <w:jc w:val="center"/>
              <w:rPr>
                <w:rFonts w:hint="eastAsia" w:ascii="宋体" w:hAnsi="宋体" w:eastAsia="宋体" w:cs="宋体"/>
                <w:color w:val="auto"/>
                <w:szCs w:val="21"/>
                <w:highlight w:val="none"/>
              </w:rPr>
            </w:pPr>
          </w:p>
        </w:tc>
        <w:tc>
          <w:tcPr>
            <w:tcW w:w="4178" w:type="pct"/>
            <w:vAlign w:val="center"/>
          </w:tcPr>
          <w:p w14:paraId="7D539E47">
            <w:pPr>
              <w:numPr>
                <w:ilvl w:val="0"/>
                <w:numId w:val="1"/>
              </w:numPr>
              <w:adjustRightInd w:val="0"/>
              <w:snapToGrid w:val="0"/>
              <w:spacing w:line="460" w:lineRule="atLeast"/>
              <w:jc w:val="left"/>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安全保障措施方案（</w:t>
            </w:r>
            <w:r>
              <w:rPr>
                <w:rFonts w:hint="eastAsia" w:ascii="宋体" w:hAnsi="宋体" w:eastAsia="宋体" w:cs="宋体"/>
                <w:b/>
                <w:bCs/>
                <w:color w:val="auto"/>
                <w:szCs w:val="21"/>
                <w:highlight w:val="none"/>
                <w:lang w:val="en-US" w:eastAsia="zh-CN"/>
              </w:rPr>
              <w:t>10分</w:t>
            </w:r>
            <w:r>
              <w:rPr>
                <w:rFonts w:hint="eastAsia" w:ascii="宋体" w:hAnsi="宋体" w:eastAsia="宋体" w:cs="宋体"/>
                <w:b/>
                <w:bCs/>
                <w:color w:val="auto"/>
                <w:szCs w:val="21"/>
                <w:highlight w:val="none"/>
                <w:lang w:eastAsia="zh-CN"/>
              </w:rPr>
              <w:t>）</w:t>
            </w:r>
          </w:p>
          <w:p w14:paraId="003A7789">
            <w:pPr>
              <w:adjustRightInd w:val="0"/>
              <w:snapToGrid w:val="0"/>
              <w:spacing w:line="460" w:lineRule="atLeast"/>
              <w:jc w:val="left"/>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供应商针对本项目提供的安全保障方案包括但不限于：</w:t>
            </w:r>
          </w:p>
          <w:p w14:paraId="7D5D3FFD">
            <w:pPr>
              <w:adjustRightInd w:val="0"/>
              <w:snapToGrid w:val="0"/>
              <w:spacing w:line="460" w:lineRule="atLeast"/>
              <w:jc w:val="left"/>
              <w:rPr>
                <w:rFonts w:hint="default" w:ascii="宋体" w:hAnsi="宋体" w:eastAsia="宋体" w:cs="宋体"/>
                <w:b/>
                <w:bCs/>
                <w:color w:val="auto"/>
                <w:szCs w:val="21"/>
                <w:highlight w:val="none"/>
                <w:lang w:val="en-US" w:eastAsia="zh-CN"/>
              </w:rPr>
            </w:pPr>
            <w:r>
              <w:rPr>
                <w:rFonts w:hint="default" w:ascii="宋体" w:hAnsi="宋体" w:eastAsia="宋体" w:cs="宋体"/>
                <w:b/>
                <w:bCs/>
                <w:color w:val="auto"/>
                <w:szCs w:val="21"/>
                <w:highlight w:val="none"/>
                <w:lang w:val="en-US" w:eastAsia="zh-CN"/>
              </w:rPr>
              <w:t>①安全管理制度；②户外观测人员的安全培训计划；③恶劣天气作业管控；④观测数据、成果保密制度;⑤户外观测人员进场防护措施；</w:t>
            </w:r>
          </w:p>
          <w:p w14:paraId="1F5D87A7">
            <w:pPr>
              <w:adjustRightInd w:val="0"/>
              <w:snapToGrid w:val="0"/>
              <w:spacing w:line="460" w:lineRule="atLeast"/>
              <w:jc w:val="lef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评审原则：</w:t>
            </w:r>
          </w:p>
          <w:p w14:paraId="22F0800C">
            <w:pPr>
              <w:adjustRightInd w:val="0"/>
              <w:snapToGrid w:val="0"/>
              <w:spacing w:line="460" w:lineRule="atLeast"/>
              <w:jc w:val="lef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完整性(上述内容无缺项、阐述详细、考虑全面、符合</w:t>
            </w:r>
            <w:r>
              <w:rPr>
                <w:rFonts w:hint="eastAsia" w:ascii="宋体" w:hAnsi="宋体" w:eastAsia="宋体" w:cs="宋体"/>
                <w:color w:val="auto"/>
                <w:szCs w:val="21"/>
                <w:highlight w:val="none"/>
                <w:lang w:val="en-US" w:eastAsia="zh-CN"/>
              </w:rPr>
              <w:t>本项目内容）；</w:t>
            </w:r>
          </w:p>
          <w:p w14:paraId="2E7904C8">
            <w:pPr>
              <w:adjustRightInd w:val="0"/>
              <w:snapToGrid w:val="0"/>
              <w:spacing w:line="460" w:lineRule="atLeast"/>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可实施性(贴合服务项目实际、流程清晰可行)</w:t>
            </w:r>
            <w:r>
              <w:rPr>
                <w:rFonts w:hint="eastAsia" w:ascii="宋体" w:hAnsi="宋体" w:eastAsia="宋体" w:cs="宋体"/>
                <w:color w:val="auto"/>
                <w:szCs w:val="21"/>
                <w:highlight w:val="none"/>
                <w:lang w:eastAsia="zh-CN"/>
              </w:rPr>
              <w:t>；</w:t>
            </w:r>
          </w:p>
          <w:p w14:paraId="1B276C5B">
            <w:pPr>
              <w:adjustRightInd w:val="0"/>
              <w:snapToGrid w:val="0"/>
              <w:spacing w:line="460" w:lineRule="atLeast"/>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可落地性(含可量化执行到本项目中，无空泛表述)</w:t>
            </w:r>
            <w:r>
              <w:rPr>
                <w:rFonts w:hint="eastAsia" w:ascii="宋体" w:hAnsi="宋体" w:eastAsia="宋体" w:cs="宋体"/>
                <w:color w:val="auto"/>
                <w:szCs w:val="21"/>
                <w:highlight w:val="none"/>
                <w:lang w:eastAsia="zh-CN"/>
              </w:rPr>
              <w:t>；</w:t>
            </w:r>
          </w:p>
          <w:p w14:paraId="6E727D19">
            <w:pPr>
              <w:adjustRightInd w:val="0"/>
              <w:snapToGrid w:val="0"/>
              <w:spacing w:line="460" w:lineRule="atLeast"/>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评分标准：</w:t>
            </w:r>
          </w:p>
          <w:p w14:paraId="012880FD">
            <w:pPr>
              <w:adjustRightInd w:val="0"/>
              <w:snapToGrid w:val="0"/>
              <w:spacing w:line="460" w:lineRule="atLeast"/>
              <w:jc w:val="lef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完全符合要求，内容专业、逻辑清晰，列明项阐述详细:以上</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项，每项得</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1.0-2.0</w:t>
            </w:r>
            <w:r>
              <w:rPr>
                <w:rFonts w:hint="eastAsia" w:ascii="宋体" w:hAnsi="宋体" w:eastAsia="宋体" w:cs="宋体"/>
                <w:color w:val="auto"/>
                <w:szCs w:val="21"/>
                <w:highlight w:val="none"/>
              </w:rPr>
              <w:t>分</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eastAsia="zh-CN"/>
              </w:rPr>
              <w:t>；</w:t>
            </w:r>
          </w:p>
          <w:p w14:paraId="6E7898F7">
            <w:pPr>
              <w:adjustRightInd w:val="0"/>
              <w:snapToGrid w:val="0"/>
              <w:spacing w:line="460" w:lineRule="atLeast"/>
              <w:jc w:val="lef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基本满足要求，列明项内容简略、有泛化表述，完整性、可实施性、可落地性有明显不足:以上</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项</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rPr>
              <w:t>每项得</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0-1.0</w:t>
            </w:r>
            <w:r>
              <w:rPr>
                <w:rFonts w:hint="eastAsia" w:ascii="宋体" w:hAnsi="宋体" w:eastAsia="宋体" w:cs="宋体"/>
                <w:color w:val="auto"/>
                <w:szCs w:val="21"/>
                <w:highlight w:val="none"/>
              </w:rPr>
              <w:t>分</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eastAsia="zh-CN"/>
              </w:rPr>
              <w:t>；</w:t>
            </w:r>
          </w:p>
          <w:p w14:paraId="3A1F14CA">
            <w:pPr>
              <w:adjustRightInd w:val="0"/>
              <w:snapToGrid w:val="0"/>
              <w:spacing w:line="460" w:lineRule="atLeast"/>
              <w:jc w:val="lef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未提供方案或列明项无实质性内容</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每项得0分。</w:t>
            </w:r>
          </w:p>
        </w:tc>
      </w:tr>
      <w:tr w14:paraId="3E7DE77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821" w:type="pct"/>
            <w:vAlign w:val="center"/>
          </w:tcPr>
          <w:p w14:paraId="6C603C5B">
            <w:pPr>
              <w:adjustRightInd w:val="0"/>
              <w:snapToGrid w:val="0"/>
              <w:spacing w:line="460" w:lineRule="atLeas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项目投入人员（</w:t>
            </w:r>
            <w:r>
              <w:rPr>
                <w:rFonts w:hint="eastAsia" w:ascii="宋体" w:hAnsi="宋体" w:eastAsia="宋体" w:cs="宋体"/>
                <w:color w:val="auto"/>
                <w:szCs w:val="21"/>
                <w:highlight w:val="none"/>
                <w:lang w:val="en-US" w:eastAsia="zh-CN"/>
              </w:rPr>
              <w:t>17</w:t>
            </w:r>
            <w:r>
              <w:rPr>
                <w:rFonts w:hint="eastAsia" w:ascii="宋体" w:hAnsi="宋体" w:eastAsia="宋体" w:cs="宋体"/>
                <w:color w:val="auto"/>
                <w:szCs w:val="21"/>
                <w:highlight w:val="none"/>
              </w:rPr>
              <w:t>分）（客观分）</w:t>
            </w:r>
          </w:p>
        </w:tc>
        <w:tc>
          <w:tcPr>
            <w:tcW w:w="4178" w:type="pct"/>
            <w:shd w:val="clear" w:color="auto" w:fill="auto"/>
            <w:vAlign w:val="center"/>
          </w:tcPr>
          <w:p w14:paraId="685A682B">
            <w:pPr>
              <w:adjustRightInd w:val="0"/>
              <w:snapToGrid w:val="0"/>
              <w:spacing w:line="460" w:lineRule="atLeast"/>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项目团队学历：每有一个大专及以上学历得2.5分，最高得5分。</w:t>
            </w:r>
          </w:p>
          <w:p w14:paraId="1CAF2D49">
            <w:pPr>
              <w:adjustRightInd w:val="0"/>
              <w:snapToGrid w:val="0"/>
              <w:spacing w:line="460" w:lineRule="atLeast"/>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项目团队职称：除项目负责人外，其他人员每具备一个相关专业中级及以上职称得4分，具有初级职称得2分，累计最高得12分；</w:t>
            </w:r>
          </w:p>
          <w:p w14:paraId="0377DE3C">
            <w:pPr>
              <w:adjustRightInd w:val="0"/>
              <w:snapToGrid w:val="0"/>
              <w:spacing w:line="460" w:lineRule="atLeast"/>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注：响应文件中需提供以上所有人员相应证书扫描件并加盖公章（未提供不得分）。</w:t>
            </w:r>
          </w:p>
        </w:tc>
      </w:tr>
      <w:tr w14:paraId="1D8614C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821" w:type="pct"/>
            <w:vAlign w:val="center"/>
          </w:tcPr>
          <w:p w14:paraId="4629C13C">
            <w:pPr>
              <w:adjustRightInd w:val="0"/>
              <w:snapToGrid w:val="0"/>
              <w:spacing w:line="460" w:lineRule="atLeast"/>
              <w:rPr>
                <w:rFonts w:hint="eastAsia" w:ascii="宋体" w:hAnsi="宋体" w:eastAsia="宋体" w:cs="宋体"/>
                <w:color w:val="FF0000"/>
                <w:szCs w:val="21"/>
                <w:highlight w:val="none"/>
              </w:rPr>
            </w:pPr>
            <w:r>
              <w:rPr>
                <w:rFonts w:hint="eastAsia" w:ascii="宋体" w:hAnsi="宋体" w:eastAsia="宋体" w:cs="宋体"/>
                <w:color w:val="auto"/>
                <w:sz w:val="21"/>
                <w:szCs w:val="21"/>
                <w:highlight w:val="none"/>
                <w:lang w:val="en-US" w:eastAsia="zh-CN"/>
              </w:rPr>
              <w:t>认证体系（9分）（客观分）</w:t>
            </w:r>
          </w:p>
        </w:tc>
        <w:tc>
          <w:tcPr>
            <w:tcW w:w="4178" w:type="pct"/>
            <w:shd w:val="clear" w:color="auto" w:fill="auto"/>
            <w:vAlign w:val="center"/>
          </w:tcPr>
          <w:p w14:paraId="1662C956">
            <w:pPr>
              <w:adjustRightInd w:val="0"/>
              <w:snapToGrid w:val="0"/>
              <w:spacing w:line="460" w:lineRule="atLeas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具有有效的质量管理体系认证证书得3 分； </w:t>
            </w:r>
          </w:p>
          <w:p w14:paraId="64B41EC4">
            <w:pPr>
              <w:adjustRightInd w:val="0"/>
              <w:snapToGrid w:val="0"/>
              <w:spacing w:line="460" w:lineRule="atLeas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具有有效的环境管理体系认证证书得3 分； </w:t>
            </w:r>
          </w:p>
          <w:p w14:paraId="38C86802">
            <w:pPr>
              <w:adjustRightInd w:val="0"/>
              <w:snapToGrid w:val="0"/>
              <w:spacing w:line="460" w:lineRule="atLeas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具有有效的职业健康安全管理体系认证证书得3 分。</w:t>
            </w:r>
          </w:p>
          <w:p w14:paraId="377F9D5F">
            <w:pPr>
              <w:adjustRightInd w:val="0"/>
              <w:snapToGrid w:val="0"/>
              <w:spacing w:line="460" w:lineRule="atLeas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注：未提供不得分。</w:t>
            </w:r>
          </w:p>
        </w:tc>
      </w:tr>
      <w:tr w14:paraId="44747CC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821" w:type="pct"/>
            <w:vAlign w:val="center"/>
          </w:tcPr>
          <w:p w14:paraId="099E7DE8">
            <w:pPr>
              <w:adjustRightInd w:val="0"/>
              <w:snapToGrid w:val="0"/>
              <w:spacing w:line="460" w:lineRule="atLeas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业绩</w:t>
            </w:r>
          </w:p>
          <w:p w14:paraId="79582073">
            <w:pPr>
              <w:adjustRightInd w:val="0"/>
              <w:snapToGrid w:val="0"/>
              <w:spacing w:line="460" w:lineRule="atLeas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20</w:t>
            </w:r>
            <w:r>
              <w:rPr>
                <w:rFonts w:hint="eastAsia" w:ascii="宋体" w:hAnsi="宋体" w:eastAsia="宋体" w:cs="宋体"/>
                <w:color w:val="auto"/>
                <w:szCs w:val="21"/>
                <w:highlight w:val="none"/>
              </w:rPr>
              <w:t>分)</w:t>
            </w:r>
          </w:p>
          <w:p w14:paraId="2DFA62EF">
            <w:pPr>
              <w:adjustRightInd w:val="0"/>
              <w:snapToGrid w:val="0"/>
              <w:spacing w:line="460" w:lineRule="atLeast"/>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客观分</w:t>
            </w:r>
            <w:r>
              <w:rPr>
                <w:rFonts w:hint="eastAsia" w:ascii="宋体" w:hAnsi="宋体" w:eastAsia="宋体" w:cs="宋体"/>
                <w:color w:val="auto"/>
                <w:szCs w:val="21"/>
                <w:highlight w:val="none"/>
                <w:lang w:eastAsia="zh-CN"/>
              </w:rPr>
              <w:t>）</w:t>
            </w:r>
          </w:p>
        </w:tc>
        <w:tc>
          <w:tcPr>
            <w:tcW w:w="4178" w:type="pct"/>
            <w:vAlign w:val="center"/>
          </w:tcPr>
          <w:p w14:paraId="79B233A7">
            <w:pPr>
              <w:adjustRightInd w:val="0"/>
              <w:snapToGrid w:val="0"/>
              <w:spacing w:line="460" w:lineRule="atLeas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rPr>
              <w:t>近三年（2023年1月1日至今）内有类似业绩的，每份计4分，计满20分为止。（以响应文件中提供的合同或中标通知书扫描件加盖公章为准）时间以合同签订时间或中标通知书发放时间为准。</w:t>
            </w:r>
          </w:p>
        </w:tc>
      </w:tr>
      <w:tr w14:paraId="214032B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821" w:type="pct"/>
            <w:vAlign w:val="center"/>
          </w:tcPr>
          <w:p w14:paraId="43E4133F">
            <w:pPr>
              <w:adjustRightInd w:val="0"/>
              <w:snapToGrid w:val="0"/>
              <w:spacing w:line="460" w:lineRule="atLeas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服务承诺</w:t>
            </w:r>
          </w:p>
          <w:p w14:paraId="4BEAD391">
            <w:pPr>
              <w:adjustRightInd w:val="0"/>
              <w:snapToGrid w:val="0"/>
              <w:spacing w:line="460" w:lineRule="atLeas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分)</w:t>
            </w:r>
          </w:p>
          <w:p w14:paraId="1FC324C4">
            <w:pPr>
              <w:adjustRightInd w:val="0"/>
              <w:snapToGrid w:val="0"/>
              <w:spacing w:line="460" w:lineRule="atLeast"/>
              <w:jc w:val="center"/>
              <w:rPr>
                <w:rFonts w:hint="eastAsia" w:ascii="宋体" w:hAnsi="宋体" w:eastAsia="宋体" w:cs="宋体"/>
                <w:color w:val="auto"/>
                <w:szCs w:val="21"/>
                <w:highlight w:val="none"/>
              </w:rPr>
            </w:pPr>
            <w:r>
              <w:rPr>
                <w:rFonts w:hint="eastAsia" w:eastAsia="宋体" w:cs="宋体"/>
                <w:color w:val="auto"/>
                <w:sz w:val="21"/>
                <w:szCs w:val="21"/>
                <w:lang w:eastAsia="zh-CN"/>
              </w:rPr>
              <w:t>（</w:t>
            </w:r>
            <w:r>
              <w:rPr>
                <w:rFonts w:hint="eastAsia" w:eastAsia="宋体" w:cs="宋体"/>
                <w:color w:val="auto"/>
                <w:sz w:val="21"/>
                <w:szCs w:val="21"/>
                <w:lang w:val="en-US" w:eastAsia="zh-CN"/>
              </w:rPr>
              <w:t>客观分</w:t>
            </w:r>
            <w:r>
              <w:rPr>
                <w:rFonts w:hint="eastAsia" w:eastAsia="宋体" w:cs="宋体"/>
                <w:color w:val="auto"/>
                <w:sz w:val="21"/>
                <w:szCs w:val="21"/>
                <w:lang w:eastAsia="zh-CN"/>
              </w:rPr>
              <w:t>）</w:t>
            </w:r>
          </w:p>
        </w:tc>
        <w:tc>
          <w:tcPr>
            <w:tcW w:w="4178" w:type="pct"/>
            <w:vAlign w:val="center"/>
          </w:tcPr>
          <w:p w14:paraId="6C617BE6">
            <w:pPr>
              <w:adjustRightInd w:val="0"/>
              <w:snapToGrid w:val="0"/>
              <w:spacing w:line="46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提供详细的①保密保证承诺，②廉洁承诺</w:t>
            </w:r>
          </w:p>
          <w:p w14:paraId="6D925127">
            <w:pPr>
              <w:adjustRightInd w:val="0"/>
              <w:snapToGrid w:val="0"/>
              <w:spacing w:line="46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评审标准：上述承诺每提供一项得</w:t>
            </w:r>
            <w:r>
              <w:rPr>
                <w:rFonts w:hint="eastAsia" w:ascii="宋体" w:hAnsi="宋体" w:eastAsia="宋体" w:cs="宋体"/>
                <w:color w:val="auto"/>
                <w:szCs w:val="21"/>
                <w:highlight w:val="none"/>
                <w:lang w:val="en-US" w:eastAsia="zh-CN"/>
              </w:rPr>
              <w:t>2.0</w:t>
            </w:r>
            <w:r>
              <w:rPr>
                <w:rFonts w:hint="eastAsia" w:ascii="宋体" w:hAnsi="宋体" w:eastAsia="宋体" w:cs="宋体"/>
                <w:color w:val="auto"/>
                <w:szCs w:val="21"/>
                <w:highlight w:val="none"/>
              </w:rPr>
              <w:t xml:space="preserve"> 分，满分为</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分，</w:t>
            </w:r>
            <w:r>
              <w:rPr>
                <w:rFonts w:hint="eastAsia" w:ascii="宋体" w:hAnsi="宋体" w:eastAsia="宋体" w:cs="宋体"/>
                <w:color w:val="auto"/>
                <w:szCs w:val="21"/>
                <w:highlight w:val="none"/>
                <w:lang w:val="en-US" w:eastAsia="zh-CN"/>
              </w:rPr>
              <w:t>未</w:t>
            </w:r>
            <w:r>
              <w:rPr>
                <w:rFonts w:hint="eastAsia" w:ascii="宋体" w:hAnsi="宋体" w:eastAsia="宋体" w:cs="宋体"/>
                <w:color w:val="auto"/>
                <w:szCs w:val="21"/>
                <w:highlight w:val="none"/>
              </w:rPr>
              <w:t>提供不得分。</w:t>
            </w:r>
          </w:p>
        </w:tc>
      </w:tr>
      <w:tr w14:paraId="030FCD4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5000" w:type="pct"/>
            <w:gridSpan w:val="2"/>
            <w:vAlign w:val="center"/>
          </w:tcPr>
          <w:p w14:paraId="3B6F9DF4">
            <w:pPr>
              <w:spacing w:line="46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注：1）评委打分超过得分界限或未按本方法赋分时，该评委的打分按无效处理。</w:t>
            </w:r>
          </w:p>
          <w:p w14:paraId="440B5D87">
            <w:pPr>
              <w:spacing w:line="460" w:lineRule="atLeast"/>
              <w:ind w:firstLine="420" w:firstLineChars="200"/>
              <w:rPr>
                <w:rFonts w:hint="eastAsia" w:ascii="宋体" w:hAnsi="宋体" w:eastAsia="宋体" w:cs="宋体"/>
                <w:b/>
                <w:bCs/>
                <w:color w:val="auto"/>
                <w:szCs w:val="21"/>
                <w:highlight w:val="none"/>
              </w:rPr>
            </w:pPr>
            <w:r>
              <w:rPr>
                <w:rFonts w:ascii="宋体" w:hAnsi="宋体" w:eastAsia="宋体" w:cs="宋体"/>
                <w:color w:val="auto"/>
                <w:szCs w:val="21"/>
                <w:highlight w:val="none"/>
              </w:rPr>
              <w:t>2）</w:t>
            </w:r>
            <w:r>
              <w:rPr>
                <w:rFonts w:hint="eastAsia" w:ascii="宋体" w:hAnsi="宋体" w:eastAsia="宋体" w:cs="宋体"/>
                <w:color w:val="auto"/>
                <w:szCs w:val="21"/>
                <w:highlight w:val="none"/>
              </w:rPr>
              <w:t>各种计算数字均保留两位小数，第三位“四舍五入”。</w:t>
            </w:r>
          </w:p>
        </w:tc>
      </w:tr>
    </w:tbl>
    <w:p w14:paraId="1041D57D">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1.6.2评审时，磋商小组各成员应当独立对每个有效响应的文件进行评价、打分，然后汇总每个供应商每项评审因素的得分。</w:t>
      </w:r>
    </w:p>
    <w:p w14:paraId="48A7C998">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1.6.3响应文件中如果出现前后不一致的，按照下列规定修正：</w:t>
      </w:r>
    </w:p>
    <w:p w14:paraId="67EDAB00">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（1）响应文件中的大写金额与小写金额不一致的，以大写金额为准；</w:t>
      </w:r>
    </w:p>
    <w:p w14:paraId="23C61696">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（2）响应文件中的总报价与按单价计算的汇总报价不一致的，以单价计算的汇总报价为准；</w:t>
      </w:r>
    </w:p>
    <w:p w14:paraId="015D4E70">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（3）响应文件中的报价有明显小数点错误的，以总报价为准，并修改报价；</w:t>
      </w:r>
    </w:p>
    <w:p w14:paraId="7396DF46">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（4）响应文件中有关分项表内容与“磋商报价一览表”不一致的，以“磋商报价一览表”为准；</w:t>
      </w:r>
    </w:p>
    <w:p w14:paraId="7E00704C">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（5）响应文件中图表与文字表述不一致的，以文字表述为准；</w:t>
      </w:r>
    </w:p>
    <w:p w14:paraId="71E10054">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（6）响应文件正本与副本不一致的，以正本为准；</w:t>
      </w:r>
    </w:p>
    <w:p w14:paraId="5FD685EF">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（7）对不同文字文本响应文件的解释发生异议的，以中文文本为准。</w:t>
      </w:r>
    </w:p>
    <w:p w14:paraId="43DCFF8F">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按上述修正错误的方法调整的报价应对供应商具有约束力。如果供应商不接受修正后的价格，其响应文件将被拒绝。</w:t>
      </w:r>
    </w:p>
    <w:p w14:paraId="1044F3B5">
      <w:pPr>
        <w:pStyle w:val="34"/>
        <w:spacing w:line="460" w:lineRule="atLeast"/>
        <w:ind w:firstLine="422"/>
        <w:rPr>
          <w:rFonts w:hint="eastAsia" w:ascii="宋体" w:hAnsi="宋体" w:cs="宋体"/>
          <w:b/>
          <w:color w:val="auto"/>
          <w:sz w:val="21"/>
          <w:szCs w:val="21"/>
          <w:highlight w:val="none"/>
        </w:rPr>
      </w:pPr>
      <w:r>
        <w:rPr>
          <w:rFonts w:hint="eastAsia" w:ascii="宋体" w:hAnsi="宋体" w:cs="宋体"/>
          <w:b/>
          <w:color w:val="auto"/>
          <w:sz w:val="21"/>
          <w:szCs w:val="21"/>
          <w:highlight w:val="none"/>
        </w:rPr>
        <w:t>1.7 关于政府采购政策</w:t>
      </w:r>
    </w:p>
    <w:p w14:paraId="404629AA">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17.1对中小企业、监狱企业、残疾人福利性单位的优惠政策</w:t>
      </w:r>
    </w:p>
    <w:p w14:paraId="5EB94076">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1）根据《政府采购促进中小企业发展管理办法》（财库〔2020〕46号）的有关规定，提供小微企业制造的货物、承建的工程或者承接的服务（不包括使用大型、中型企业商号或者注册商标的货物）参与政府采购活动时对小型和微型企业产品的报价给予6%-10%（工程项目3%-5%）的扣除（实际价格扣除比例以本章《评审要素及分值一览表》中的具体规定为准），用扣除后的价格参加评审。同时，依据该办法第四条第二款规定在货物采购项目中，供应商提供的货物既有中小企业制造货物，也有大型企业制造货物的，不享受中小企业扶持政策。</w:t>
      </w:r>
    </w:p>
    <w:p w14:paraId="03EAE9AE">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（2）根据财政部、司法部联合下发的《关于政府采购支持监狱企业发展有关问题的通知》（财库〔2014〕68号）的规定，监狱企业视同小型、微型企业。</w:t>
      </w:r>
    </w:p>
    <w:p w14:paraId="66136085">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3）根据财政部、民政部、中国残疾人联合会下发的《关于促进残疾人就业政府采购政策的通知》（财库〔2017〕141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106AC3E2">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4）参加政府采购活动的中小企业、监狱企业、残疾人福利性单位应根据企业性质分别提供《中小企业声明函》\《监狱企业证明函》\《残疾人福利性单位声明函》。其中，《监狱企业证明函》应由省级以上监狱管理局、戒毒管理局（含新疆生产建设兵团）出具。未提供上述声明函\证明函的，不能享受磋商文件规定的价格扣除。</w:t>
      </w:r>
    </w:p>
    <w:p w14:paraId="175527D4">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1.7.2节能、环保产品采购政策</w:t>
      </w:r>
    </w:p>
    <w:p w14:paraId="38E5AF7B">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1）根据财政部、发展改革委、生态环境部、市场监管总局《关于调整优化节能产品、环境标志产品政府采购执行机制的通知》（财库〔2019〕9号）规定“对政府采购节能产品、环境标志产品实施品目清单管理”。采购人拟采购的产品属于品目清单范围的，依据国家确定的认证机构出具的、处于有效期之内的节能产品、环境标志产品认证证书，对获得证书的产品实施政府优先采购或强制采购。</w:t>
      </w:r>
    </w:p>
    <w:p w14:paraId="5E89D5C0">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2）对于已列入品目清单的产品类别，采购人可在采购需求中提出更高的节约资源和保护环境要求，对符合条件的获证产品给予优先待遇。对于未列入品目清单的产品类别，鼓励采购人综合考虑节能、节水、环保、循环、低碳、再生、有机等因素，参考相关国家标准、行业标准或团体标准，在采购需求中提出相关绿色采购要求，促进绿色产品推广应用。</w:t>
      </w:r>
    </w:p>
    <w:p w14:paraId="68DA1F4F">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（3）《节能产品政府采购品目清单》见财政部、发展改革委《关于印发节能产品政府采购品目清单的通知》（财库〔2019〕19号）附件。</w:t>
      </w:r>
    </w:p>
    <w:p w14:paraId="12EFFD82">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（4）《环境标志产品政府采购品目清单》见财政部、生态环境部《关于印发环境标志产品政府采购品目清单的通知》（财库〔2019〕18号）附件。</w:t>
      </w:r>
    </w:p>
    <w:p w14:paraId="1BDD159B">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（5）“国家确定的认证机构”名单见市场监管总局《关于发布参与实施政府采购节能产品、环境标志产品认证机构名录的公告》（2019年第16号）。</w:t>
      </w:r>
    </w:p>
    <w:p w14:paraId="0B92A9B0">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1.7.3陕西省中小企业政府采购信用融资办法</w:t>
      </w:r>
    </w:p>
    <w:p w14:paraId="14847844">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为进一步贯彻落实国务院和陕西省关于支持中小企业发展的政策措施，发挥政府采购政策导向作用，充分利用信息化技术，通过搭建信息对称、相互对接的平台，有效缓解中小企业融资难、融资贵问题。陕西省财政厅结合陕西省政府采购信息化建设实际，制定了《陕西省中小企业政府采购信用融资办法》（陕财办采〔2018〕23号）。办法规定“中小企业可根据各银行提供的方案，自行选择符合自身情况的金融产品，并根据方案中列明的联系方式和要求向相关银行提出信用融资申请。银行根据中小企业的申请开展尽职调查，合理确定融资授信额度。中小企业凭政府采购中标 (成交) 通知书或政府采购合同后，凭政府采购合同向银行提出融资申请。” (陕西省政府采购信用融资平台：http://ww w.ccgp-shaanxi.gov.cn/zcdservice/zcd/shanxi/ )</w:t>
      </w:r>
    </w:p>
    <w:p w14:paraId="39068C70">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1.7.4关于进口产品</w:t>
      </w:r>
    </w:p>
    <w:p w14:paraId="4B468652">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进口产品是指通过中国海关报关验放进入中国境内且产自关境外的产品。根据《关于政府采购进口产品管理有关问题的通知》（财办库〔2008〕248号）有关规定，磋商文件未注明“允许进口产品参与投标”的，视为拒绝进口产品参与投标；磋商文件明确“允许进口产品参与投标”的，满足需求的国内产品仍然可以参加投标。</w:t>
      </w:r>
    </w:p>
    <w:p w14:paraId="6B9BC543">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1.7.5关于同一品牌产品的处理</w:t>
      </w:r>
    </w:p>
    <w:p w14:paraId="51EB9480">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1）采用最低评标价法的采购项目，提供相同品牌产品、同一型号的不同供应商参加同一合同项下投标的，以其中通过资格审查、符合性审查且报价最低的参加评标；报价相同的，由采购人或者采购人委托磋商小组按照磋商文件规定的方式确定一个参加评标的投 标人，磋商文件未规定的采取随机抽取方式确定，其他投标无效。</w:t>
      </w:r>
    </w:p>
    <w:p w14:paraId="55ACC166">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2）使用综合评分法的采购项目，提供相同品牌产品、同一型号且通过资格审查、符合性审查的不同供应商参加同一合同项下投标的，按一家供应商计算，评审后得分最高的同品牌供应商获得中标人推荐资格；评审得分相同的，由采购人或者采购人委托磋商小组按照磋商文件规定的方式确定一个供应商获得中标人推荐资格，磋商文件未规定的采取随机抽取方式确定，其他同品牌供应商不作为中标候选人。</w:t>
      </w:r>
    </w:p>
    <w:p w14:paraId="5F844A28">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（3）非单一产品采购项目，采购人将根据采购项目技术构成、产品价格比重等因素确定核心产品（可能不止一种），并在磋商文件中载明。多家供应商提供的核心产品品牌相同的，按前两款规定处理。</w:t>
      </w:r>
    </w:p>
    <w:p w14:paraId="711DD425">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注：依据财政部国库司咨询答复（留言编号：20181228-4142-3110661），核心产品有部分采用相同品牌的，应当按照《政府采购货物和服务招标投标管理办法》（财政部令第87号）第三十一条规定执行，按一家投标人计算。依据财政部国库司咨询答复（留言编号：20180823-0141-2995853），提供相同品牌产品且通过资格审查、符合性审查的不同投标人按一家投标人计算后不足3家的，应予废标。</w:t>
      </w:r>
    </w:p>
    <w:p w14:paraId="206073B3">
      <w:pPr>
        <w:pStyle w:val="34"/>
        <w:spacing w:line="460" w:lineRule="atLeast"/>
        <w:ind w:firstLine="422"/>
        <w:rPr>
          <w:rFonts w:hint="eastAsia" w:ascii="宋体" w:hAnsi="宋体" w:cs="宋体"/>
          <w:b/>
          <w:color w:val="auto"/>
          <w:sz w:val="21"/>
          <w:szCs w:val="21"/>
          <w:highlight w:val="none"/>
        </w:rPr>
      </w:pPr>
      <w:r>
        <w:rPr>
          <w:rFonts w:hint="eastAsia" w:ascii="宋体" w:hAnsi="宋体" w:cs="宋体"/>
          <w:b/>
          <w:color w:val="auto"/>
          <w:sz w:val="21"/>
          <w:szCs w:val="21"/>
          <w:highlight w:val="none"/>
        </w:rPr>
        <w:t>1.8复核与核对评审结果</w:t>
      </w:r>
    </w:p>
    <w:p w14:paraId="2F434F01">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1.8.1 评分汇总结束后，磋商小组应当进行复核，特别要对拟推荐成交候选人的、最后报价最低的、响应文件被认定无效的进行重点复核。</w:t>
      </w:r>
    </w:p>
    <w:p w14:paraId="443A9CF3">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1.8.2 评审结果汇总完成后，评审报告签署前，采购代理机构应当核对评审结果，除下列情形外，任何人不得修改评审结果：</w:t>
      </w:r>
    </w:p>
    <w:p w14:paraId="17A3E9FA">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（1）资格性认定错误的；</w:t>
      </w:r>
    </w:p>
    <w:p w14:paraId="0653CB2E">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（2）分值汇总计算错误的；</w:t>
      </w:r>
    </w:p>
    <w:p w14:paraId="57A64F65">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（3）分项评分超出评分标准范围的；</w:t>
      </w:r>
    </w:p>
    <w:p w14:paraId="2240AB90">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（4）磋商小组对客观评审因素评分不一致的；</w:t>
      </w:r>
    </w:p>
    <w:p w14:paraId="26026CEF">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（5）经磋商小组一致认定评分畸高、畸低的。</w:t>
      </w:r>
    </w:p>
    <w:p w14:paraId="4619DA73">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经复核发现存在以上情形之一（除资格性认定错误）的，磋商小组应当当场修改评审结果，并在评审报告中记载。</w:t>
      </w:r>
    </w:p>
    <w:p w14:paraId="68DE4E82">
      <w:pPr>
        <w:pStyle w:val="34"/>
        <w:spacing w:line="460" w:lineRule="atLeast"/>
        <w:ind w:firstLine="422"/>
        <w:rPr>
          <w:rFonts w:hint="eastAsia" w:ascii="宋体" w:hAnsi="宋体" w:cs="宋体"/>
          <w:b/>
          <w:color w:val="auto"/>
          <w:sz w:val="21"/>
          <w:szCs w:val="21"/>
          <w:highlight w:val="none"/>
        </w:rPr>
      </w:pPr>
      <w:r>
        <w:rPr>
          <w:rFonts w:hint="eastAsia" w:ascii="宋体" w:hAnsi="宋体" w:cs="宋体"/>
          <w:b/>
          <w:color w:val="auto"/>
          <w:sz w:val="21"/>
          <w:szCs w:val="21"/>
          <w:highlight w:val="none"/>
        </w:rPr>
        <w:t>1.9推荐成交候选供应商</w:t>
      </w:r>
    </w:p>
    <w:p w14:paraId="3376BE2C">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磋商小组应当根据综合评分情况，按照评审得分由高到低顺序推荐3名以上成交候选供应商(有效供应商不足三家时以实际有效数量推荐)。评审得分相同的，按照最后报价由低到高的顺序推荐。评审得分且最后报价相同的，则依次比较后续项别，按照得分高者优先的顺序推荐。</w:t>
      </w:r>
    </w:p>
    <w:p w14:paraId="6D6A7BDE">
      <w:pPr>
        <w:pStyle w:val="34"/>
        <w:spacing w:line="460" w:lineRule="atLeast"/>
        <w:ind w:firstLine="422"/>
        <w:rPr>
          <w:rFonts w:hint="eastAsia" w:ascii="宋体" w:hAnsi="宋体" w:cs="宋体"/>
          <w:b/>
          <w:color w:val="auto"/>
          <w:sz w:val="21"/>
          <w:szCs w:val="21"/>
          <w:highlight w:val="none"/>
        </w:rPr>
      </w:pPr>
      <w:r>
        <w:rPr>
          <w:rFonts w:hint="eastAsia" w:ascii="宋体" w:hAnsi="宋体" w:cs="宋体"/>
          <w:b/>
          <w:color w:val="auto"/>
          <w:sz w:val="21"/>
          <w:szCs w:val="21"/>
          <w:highlight w:val="none"/>
        </w:rPr>
        <w:t>1.10编写评审报告</w:t>
      </w:r>
    </w:p>
    <w:p w14:paraId="291EE458">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1.10.1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同按评审报告推荐的顺序确定成交供应商。对拒绝说明理由的，须报政府采购监管部门处理，并将其评审情况如实记录。</w:t>
      </w:r>
    </w:p>
    <w:p w14:paraId="212ABEA4">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1.10.2采购人书面授权磋商小组直接确定成交供应商的，磋商小组应在评审报告中明确成交供应商及成交金额。</w:t>
      </w:r>
    </w:p>
    <w:p w14:paraId="7FE055AB">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1.10.3有下列情况之一的，视为供应商串通投标，其响应无效：</w:t>
      </w:r>
    </w:p>
    <w:p w14:paraId="5C4374E2">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(1)不同供应商的响应文件由同一单位或者个人编制；</w:t>
      </w:r>
    </w:p>
    <w:p w14:paraId="22E7F45F">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(2)不同供应商的磋商保证金从同一单位或者个人的账户转出（仅限供应商须知前附表要求供应商提交磋商保证金的）；</w:t>
      </w:r>
    </w:p>
    <w:p w14:paraId="37969410">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(3)不同供应商委托同一单位或者个人办理投标事宜；</w:t>
      </w:r>
    </w:p>
    <w:p w14:paraId="26BB0274">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(4)不同供应商的响应文件载明的项目管理成员或者联系人员为同一人；</w:t>
      </w:r>
    </w:p>
    <w:p w14:paraId="6F59F168">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(5)不同供应商的响应文件异常一致或者磋商报价呈规律性差异；</w:t>
      </w:r>
    </w:p>
    <w:p w14:paraId="688F17BE">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(6)不同供应商的响应文件相互混装；</w:t>
      </w:r>
    </w:p>
    <w:p w14:paraId="548EC2B1">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(7)政府采购法律法规及磋商文件规定的其他情形。</w:t>
      </w:r>
    </w:p>
    <w:p w14:paraId="03CFE502">
      <w:pPr>
        <w:pStyle w:val="34"/>
        <w:spacing w:line="460" w:lineRule="atLeast"/>
        <w:ind w:firstLine="422"/>
        <w:rPr>
          <w:rFonts w:hint="eastAsia" w:ascii="宋体" w:hAnsi="宋体" w:cs="宋体"/>
          <w:b/>
          <w:color w:val="auto"/>
          <w:sz w:val="21"/>
          <w:szCs w:val="21"/>
          <w:highlight w:val="none"/>
        </w:rPr>
      </w:pPr>
      <w:r>
        <w:rPr>
          <w:rFonts w:hint="eastAsia" w:ascii="宋体" w:hAnsi="宋体" w:cs="宋体"/>
          <w:b/>
          <w:color w:val="auto"/>
          <w:sz w:val="21"/>
          <w:szCs w:val="21"/>
          <w:highlight w:val="none"/>
        </w:rPr>
        <w:t>1.11评审现场人员的保密责任</w:t>
      </w:r>
    </w:p>
    <w:p w14:paraId="599135FF">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在采购结果确定前，采购人、采购代理机构对磋商小组名单负有保密责任。磋商小组成员、采购人和采购代理机构工作人员、相关监督人员等与评审工作有关的人员，对评审情况以及在评审过程中获悉的国家秘密、商业秘密负有保密责任。</w:t>
      </w:r>
    </w:p>
    <w:p w14:paraId="32D16149">
      <w:pPr>
        <w:pStyle w:val="32"/>
        <w:spacing w:before="190" w:after="190" w:line="460" w:lineRule="atLeast"/>
        <w:rPr>
          <w:rFonts w:hint="eastAsia" w:ascii="宋体" w:hAnsi="宋体" w:cs="宋体"/>
          <w:color w:val="auto"/>
          <w:sz w:val="21"/>
          <w:szCs w:val="21"/>
          <w:highlight w:val="none"/>
        </w:rPr>
      </w:pPr>
      <w:r>
        <w:rPr>
          <w:rFonts w:hint="eastAsia" w:ascii="宋体" w:hAnsi="宋体" w:cs="宋体"/>
          <w:color w:val="auto"/>
          <w:sz w:val="21"/>
          <w:szCs w:val="21"/>
          <w:highlight w:val="none"/>
        </w:rPr>
        <w:t>2.成交</w:t>
      </w:r>
    </w:p>
    <w:p w14:paraId="258E0BB5">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2.1采购代理机构在评审工作结束后2个工作日内，将评审报告送采购人确认。</w:t>
      </w:r>
    </w:p>
    <w:p w14:paraId="5563DE98">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2.2采购人应当在收到评审报告后5个工作日内，从评审报告提出的成交候选人中次序确定排序第一的成交候选人为成交供应商，也可以书面授权磋商小组直接确定成交供应商。采购人逾期未确定成交供应商且不提出异议的，视为同意按评审报告提出的成交候选人次序确定排序第一的成交候选人为成交供应商。</w:t>
      </w:r>
    </w:p>
    <w:p w14:paraId="735F3DC4">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2.3采购代理机构将在成交供应商确定后2个工作日内，在【陕西省政府采购网（www.ccgp-shaanxi.gov.cn）】上发布成交结果，成交结果公告期限为1个工作日。</w:t>
      </w:r>
    </w:p>
    <w:p w14:paraId="27D16C29">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2.4在发布成交结果同时，采购代理机构向成交供应商发出《成交通知书》。</w:t>
      </w:r>
    </w:p>
    <w:p w14:paraId="282F205C">
      <w:pPr>
        <w:pStyle w:val="34"/>
        <w:spacing w:line="460" w:lineRule="atLeast"/>
        <w:ind w:firstLine="0" w:firstLineChars="0"/>
        <w:rPr>
          <w:rFonts w:hint="eastAsia" w:ascii="宋体" w:hAnsi="宋体" w:cs="宋体"/>
          <w:b/>
          <w:color w:val="auto"/>
          <w:sz w:val="21"/>
          <w:szCs w:val="21"/>
          <w:highlight w:val="none"/>
        </w:rPr>
      </w:pPr>
      <w:r>
        <w:rPr>
          <w:rFonts w:hint="eastAsia" w:ascii="宋体" w:hAnsi="宋体" w:cs="宋体"/>
          <w:b/>
          <w:color w:val="auto"/>
          <w:sz w:val="21"/>
          <w:szCs w:val="21"/>
          <w:highlight w:val="none"/>
        </w:rPr>
        <w:t>3. 签订政府采购合同</w:t>
      </w:r>
    </w:p>
    <w:p w14:paraId="32F93D7E">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3.1采购人与成交供应商应当自成交通知书发出之日起25日内，按照磋商文件确定的合同文本及成交供应商的响应情况签订政府采购合同。</w:t>
      </w:r>
    </w:p>
    <w:p w14:paraId="1EB8DCF9">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3.2采购人不得向成交供应商提出超出磋商文件以外的任何要求作为签订合同的条件，不得与成交供应商订立背离磋商文件确定的合同文本以及采购标的、采购金额、技术和服务要求等实质性内容的协议。</w:t>
      </w:r>
    </w:p>
    <w:p w14:paraId="3501F9E6">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3.3成交供应商拒绝与采购人签订合同的，采购人可以按照评审报告推荐的成交候选人名单排序，确定下一候选人为成交供应商，也可以重新开展政府采购活动。</w:t>
      </w:r>
    </w:p>
    <w:p w14:paraId="27DCC44C">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3.4政府采购合同在执行过程中，确需修改、变更时，应当按照相应的审核批准程序办理。</w:t>
      </w:r>
    </w:p>
    <w:p w14:paraId="5B6365FC">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3.5磋商文件、响应文件、澄清等为政府采购合同的组成部分，具有同等法律效力。</w:t>
      </w:r>
    </w:p>
    <w:p w14:paraId="0F4C4E3D">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3.6采购人按有关规定将政府采购合同报送监管机构备案。</w:t>
      </w:r>
    </w:p>
    <w:p w14:paraId="7D623DE4">
      <w:pPr>
        <w:pStyle w:val="34"/>
        <w:spacing w:line="460" w:lineRule="atLeast"/>
        <w:ind w:firstLine="422"/>
        <w:rPr>
          <w:rFonts w:hint="eastAsia" w:ascii="宋体" w:hAnsi="宋体" w:cs="宋体"/>
          <w:b/>
          <w:color w:val="auto"/>
          <w:sz w:val="21"/>
          <w:szCs w:val="21"/>
          <w:highlight w:val="none"/>
        </w:rPr>
      </w:pPr>
      <w:r>
        <w:rPr>
          <w:rFonts w:hint="eastAsia" w:ascii="宋体" w:hAnsi="宋体" w:cs="宋体"/>
          <w:b/>
          <w:color w:val="auto"/>
          <w:sz w:val="21"/>
          <w:szCs w:val="21"/>
          <w:highlight w:val="none"/>
        </w:rPr>
        <w:t>4.其他</w:t>
      </w:r>
    </w:p>
    <w:p w14:paraId="3CED5BD3">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4.1根据《政府采购竞争性磋商采购方式管理暂行办法》（财库〔2014〕214号）第三十四条、第三十五条和《财政部关于政府采购竞争性磋商采购方式管理暂行办法有关问题的补充通知》，第一次公告后，磋商过程中出现下列情况之一的，按磋商失败处理：</w:t>
      </w:r>
    </w:p>
    <w:p w14:paraId="78E87B33">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（1）因情况变化，不再符合规定的竞争性磋商采购方式适用情形的；</w:t>
      </w:r>
    </w:p>
    <w:p w14:paraId="09CB53A9">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（2）出现影响采购公正的违法、违规行为的；</w:t>
      </w:r>
    </w:p>
    <w:p w14:paraId="58551EE2">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3）政府购买服务项目（含政府和社会资本合作项目）、市场竞争不充分的科研项目以及需要扶持的科技成果转化项目符合要求的供应商或者报价未超过采购预算的供应商不足2家的；其他项目符合要求的供应商或者报价未超过采购预算的供应商不足3家的；</w:t>
      </w:r>
    </w:p>
    <w:p w14:paraId="548EAF8C">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（4）因重大变故，采购任务取消的。</w:t>
      </w:r>
    </w:p>
    <w:p w14:paraId="00F179D6">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4.2磋商失败后，除采购任务取消外，将重新组织采购。</w:t>
      </w:r>
    </w:p>
    <w:p w14:paraId="4ADBB067">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4.3最后公告后，政府购买服务项目（含政府和社会资本合作项目）以及市场竞争不充分的科研项目以及需要扶持的科技成果转化项目符合要求的供应商或者报价未超过采购预算的供应商不足2家的（其他类别项目符合要求的供应商或者报价未超过采购预算的供应商不足3家的），本项目将依据有关规定，按政府采购监管部门事前批准的采购方式继续进行。</w:t>
      </w:r>
    </w:p>
    <w:p w14:paraId="690B38F5">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4.4磋商文件未明确的其他事项，按《政府采购法》及其相关法律法规执行。</w:t>
      </w:r>
    </w:p>
    <w:p w14:paraId="767493D7">
      <w:pPr>
        <w:pStyle w:val="34"/>
        <w:spacing w:line="460" w:lineRule="atLeast"/>
        <w:ind w:firstLine="420"/>
        <w:rPr>
          <w:rFonts w:hint="eastAsia" w:ascii="宋体" w:hAnsi="宋体" w:cs="宋体"/>
          <w:color w:val="auto"/>
          <w:sz w:val="21"/>
          <w:szCs w:val="21"/>
          <w:highlight w:val="none"/>
        </w:rPr>
      </w:pPr>
    </w:p>
    <w:p w14:paraId="1F97FB93">
      <w:pPr>
        <w:pStyle w:val="34"/>
        <w:spacing w:line="460" w:lineRule="atLeast"/>
        <w:ind w:firstLine="420"/>
        <w:rPr>
          <w:rFonts w:hint="eastAsia" w:ascii="宋体" w:hAnsi="宋体" w:cs="宋体"/>
          <w:color w:val="auto"/>
          <w:sz w:val="21"/>
          <w:szCs w:val="21"/>
          <w:highlight w:val="none"/>
        </w:rPr>
      </w:pPr>
    </w:p>
    <w:p w14:paraId="4FA65BDB">
      <w:pPr>
        <w:pStyle w:val="34"/>
        <w:spacing w:line="460" w:lineRule="atLeast"/>
        <w:ind w:firstLine="420"/>
        <w:rPr>
          <w:rFonts w:hint="eastAsia" w:ascii="宋体" w:hAnsi="宋体" w:cs="宋体"/>
          <w:color w:val="auto"/>
          <w:sz w:val="21"/>
          <w:szCs w:val="21"/>
          <w:highlight w:val="none"/>
        </w:rPr>
      </w:pPr>
    </w:p>
    <w:p w14:paraId="4C6AF280">
      <w:pPr>
        <w:pStyle w:val="31"/>
        <w:keepNext w:val="0"/>
        <w:keepLines w:val="0"/>
        <w:pageBreakBefore w:val="0"/>
        <w:widowControl w:val="0"/>
        <w:kinsoku/>
        <w:wordWrap/>
        <w:overflowPunct/>
        <w:topLinePunct w:val="0"/>
        <w:autoSpaceDE/>
        <w:autoSpaceDN/>
        <w:bidi w:val="0"/>
        <w:adjustRightInd/>
        <w:spacing w:before="381" w:after="381" w:line="500" w:lineRule="exact"/>
        <w:textAlignment w:val="auto"/>
        <w:outlineLvl w:val="0"/>
        <w:rPr>
          <w:rFonts w:hint="eastAsia" w:ascii="宋体" w:hAnsi="宋体" w:eastAsia="宋体" w:cs="宋体"/>
          <w:color w:val="auto"/>
          <w:highlight w:val="none"/>
        </w:rPr>
      </w:pPr>
      <w:bookmarkStart w:id="14" w:name="_Toc162282441"/>
      <w:bookmarkStart w:id="15" w:name="_Toc25401"/>
      <w:r>
        <w:rPr>
          <w:rFonts w:hint="eastAsia" w:ascii="宋体" w:hAnsi="宋体" w:eastAsia="宋体" w:cs="宋体"/>
          <w:color w:val="auto"/>
          <w:highlight w:val="none"/>
        </w:rPr>
        <w:t>第五章  磋商内容及采购要求</w:t>
      </w:r>
      <w:bookmarkEnd w:id="14"/>
      <w:bookmarkEnd w:id="15"/>
    </w:p>
    <w:p w14:paraId="3DE5ECDF">
      <w:pPr>
        <w:keepNext w:val="0"/>
        <w:keepLines w:val="0"/>
        <w:pageBreakBefore w:val="0"/>
        <w:widowControl w:val="0"/>
        <w:kinsoku/>
        <w:wordWrap/>
        <w:overflowPunct/>
        <w:topLinePunct w:val="0"/>
        <w:autoSpaceDE/>
        <w:autoSpaceDN/>
        <w:bidi w:val="0"/>
        <w:adjustRightInd/>
        <w:spacing w:line="500" w:lineRule="exact"/>
        <w:ind w:firstLine="422" w:firstLineChars="200"/>
        <w:textAlignment w:val="auto"/>
        <w:outlineLvl w:val="1"/>
        <w:rPr>
          <w:rFonts w:hint="eastAsia" w:ascii="宋体" w:hAnsi="宋体" w:eastAsia="宋体" w:cs="宋体"/>
          <w:b/>
          <w:bCs/>
          <w:color w:val="auto"/>
          <w:sz w:val="21"/>
          <w:szCs w:val="21"/>
          <w:highlight w:val="none"/>
        </w:rPr>
      </w:pPr>
      <w:bookmarkStart w:id="16" w:name="_Toc7976"/>
      <w:bookmarkStart w:id="17" w:name="_Toc23657"/>
      <w:bookmarkStart w:id="18" w:name="_Toc9173"/>
      <w:r>
        <w:rPr>
          <w:rFonts w:hint="eastAsia" w:ascii="宋体" w:hAnsi="宋体" w:eastAsia="宋体" w:cs="宋体"/>
          <w:b/>
          <w:bCs/>
          <w:color w:val="auto"/>
          <w:sz w:val="21"/>
          <w:szCs w:val="21"/>
          <w:highlight w:val="none"/>
        </w:rPr>
        <w:t>一、项目概况</w:t>
      </w:r>
      <w:bookmarkEnd w:id="16"/>
      <w:bookmarkEnd w:id="17"/>
      <w:bookmarkEnd w:id="18"/>
    </w:p>
    <w:p w14:paraId="2EB3C508">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420" w:firstLineChars="200"/>
        <w:textAlignment w:val="auto"/>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1、项目名称：旬邑县养老中心服务设施提升改造项目检测及监测服务</w:t>
      </w:r>
    </w:p>
    <w:p w14:paraId="734EAB32">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420" w:firstLineChars="200"/>
        <w:textAlignment w:val="auto"/>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2、包号名称：</w:t>
      </w:r>
      <w:r>
        <w:rPr>
          <w:rFonts w:hint="eastAsia" w:ascii="宋体" w:hAnsi="宋体" w:eastAsia="宋体" w:cs="宋体"/>
          <w:color w:val="auto"/>
          <w:sz w:val="21"/>
          <w:szCs w:val="21"/>
          <w:lang w:val="en-US" w:eastAsia="zh-CN" w:bidi="ar-SA"/>
        </w:rPr>
        <w:t>旬邑县养老中心服务设施提升改造项目基坑变形监测及主体沉降观测</w:t>
      </w:r>
    </w:p>
    <w:p w14:paraId="7BC14F9D">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420" w:firstLineChars="200"/>
        <w:textAlignment w:val="auto"/>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3、包号：包2</w:t>
      </w:r>
    </w:p>
    <w:p w14:paraId="6CA3F1B2">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420" w:firstLineChars="200"/>
        <w:textAlignment w:val="auto"/>
        <w:rPr>
          <w:rFonts w:hint="default"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4、项目编号：YSCG-2026-001F</w:t>
      </w:r>
    </w:p>
    <w:p w14:paraId="1510259D">
      <w:pPr>
        <w:keepNext w:val="0"/>
        <w:keepLines w:val="0"/>
        <w:pageBreakBefore w:val="0"/>
        <w:widowControl w:val="0"/>
        <w:kinsoku/>
        <w:wordWrap/>
        <w:overflowPunct/>
        <w:topLinePunct w:val="0"/>
        <w:autoSpaceDE/>
        <w:autoSpaceDN/>
        <w:bidi w:val="0"/>
        <w:adjustRightInd/>
        <w:spacing w:line="500" w:lineRule="exact"/>
        <w:ind w:firstLine="422" w:firstLineChars="200"/>
        <w:textAlignment w:val="auto"/>
        <w:outlineLvl w:val="0"/>
        <w:rPr>
          <w:rFonts w:hint="eastAsia" w:ascii="宋体" w:hAnsi="宋体" w:eastAsia="宋体" w:cs="宋体"/>
          <w:b/>
          <w:bCs/>
          <w:color w:val="auto"/>
          <w:sz w:val="21"/>
          <w:szCs w:val="21"/>
          <w:highlight w:val="none"/>
          <w:lang w:eastAsia="zh-CN"/>
        </w:rPr>
      </w:pPr>
      <w:bookmarkStart w:id="19" w:name="_Toc23250"/>
      <w:bookmarkStart w:id="20" w:name="_Toc30342"/>
      <w:bookmarkStart w:id="21" w:name="_Toc11998"/>
      <w:r>
        <w:rPr>
          <w:rFonts w:hint="eastAsia" w:ascii="宋体" w:hAnsi="宋体" w:eastAsia="宋体" w:cs="宋体"/>
          <w:b/>
          <w:bCs/>
          <w:color w:val="auto"/>
          <w:sz w:val="21"/>
          <w:szCs w:val="21"/>
          <w:highlight w:val="none"/>
        </w:rPr>
        <w:t>二、服务内容</w:t>
      </w:r>
      <w:bookmarkEnd w:id="19"/>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技术要求</w:t>
      </w:r>
      <w:r>
        <w:rPr>
          <w:rFonts w:hint="eastAsia" w:ascii="宋体" w:hAnsi="宋体" w:eastAsia="宋体" w:cs="宋体"/>
          <w:b/>
          <w:bCs/>
          <w:color w:val="auto"/>
          <w:sz w:val="21"/>
          <w:szCs w:val="21"/>
          <w:highlight w:val="none"/>
          <w:lang w:eastAsia="zh-CN"/>
        </w:rPr>
        <w:t>）</w:t>
      </w:r>
      <w:bookmarkEnd w:id="20"/>
      <w:bookmarkEnd w:id="21"/>
    </w:p>
    <w:p w14:paraId="285EC18C">
      <w:pPr>
        <w:keepNext w:val="0"/>
        <w:keepLines w:val="0"/>
        <w:pageBreakBefore w:val="0"/>
        <w:widowControl w:val="0"/>
        <w:kinsoku/>
        <w:wordWrap/>
        <w:overflowPunct/>
        <w:topLinePunct w:val="0"/>
        <w:autoSpaceDE/>
        <w:autoSpaceDN/>
        <w:bidi w:val="0"/>
        <w:adjustRightInd/>
        <w:spacing w:line="500" w:lineRule="exact"/>
        <w:ind w:firstLine="420" w:firstLineChars="200"/>
        <w:textAlignment w:val="auto"/>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1、采购项目概况：</w:t>
      </w:r>
      <w:r>
        <w:rPr>
          <w:rFonts w:hint="eastAsia" w:ascii="宋体" w:hAnsi="宋体" w:eastAsia="宋体" w:cs="宋体"/>
          <w:color w:val="auto"/>
          <w:sz w:val="21"/>
          <w:szCs w:val="21"/>
          <w:lang w:val="en-US" w:eastAsia="zh-CN" w:bidi="ar-SA"/>
        </w:rPr>
        <w:t>旬邑县养老中心服务设施提升改造项目基坑变形监测及主体沉降观测，</w:t>
      </w:r>
      <w:r>
        <w:rPr>
          <w:rFonts w:hint="eastAsia" w:ascii="宋体" w:hAnsi="宋体" w:eastAsia="宋体" w:cs="宋体"/>
          <w:color w:val="auto"/>
          <w:sz w:val="21"/>
          <w:szCs w:val="21"/>
          <w:highlight w:val="none"/>
          <w:shd w:val="clear" w:color="auto" w:fill="FFFFFF"/>
          <w:lang w:val="en-US" w:eastAsia="zh-CN"/>
        </w:rPr>
        <w:t>基坑变形监测:基坑开挖到回填期间，对其边坡进行水平、竖直方向变形的监测；主体沉降观测:主体结构施工过程中、后期运营过程中，对其竖向沉降进行观测。</w:t>
      </w:r>
    </w:p>
    <w:p w14:paraId="50ACB96D">
      <w:pPr>
        <w:keepNext w:val="0"/>
        <w:keepLines w:val="0"/>
        <w:pageBreakBefore w:val="0"/>
        <w:widowControl w:val="0"/>
        <w:kinsoku/>
        <w:wordWrap/>
        <w:overflowPunct/>
        <w:topLinePunct w:val="0"/>
        <w:autoSpaceDE/>
        <w:autoSpaceDN/>
        <w:bidi w:val="0"/>
        <w:adjustRightInd/>
        <w:spacing w:line="500" w:lineRule="exact"/>
        <w:ind w:firstLine="420" w:firstLineChars="200"/>
        <w:textAlignment w:val="auto"/>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2、需求清单：</w:t>
      </w:r>
    </w:p>
    <w:tbl>
      <w:tblPr>
        <w:tblStyle w:val="23"/>
        <w:tblW w:w="98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4"/>
        <w:gridCol w:w="3167"/>
        <w:gridCol w:w="1883"/>
        <w:gridCol w:w="2300"/>
        <w:gridCol w:w="1299"/>
        <w:gridCol w:w="722"/>
      </w:tblGrid>
      <w:tr w14:paraId="6A8B5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4" w:type="dxa"/>
            <w:noWrap w:val="0"/>
            <w:vAlign w:val="center"/>
          </w:tcPr>
          <w:p w14:paraId="40069527">
            <w:pPr>
              <w:keepNext w:val="0"/>
              <w:keepLines w:val="0"/>
              <w:pageBreakBefore w:val="0"/>
              <w:widowControl w:val="0"/>
              <w:kinsoku/>
              <w:wordWrap w:val="0"/>
              <w:overflowPunct/>
              <w:topLinePunct w:val="0"/>
              <w:autoSpaceDE/>
              <w:autoSpaceDN/>
              <w:bidi w:val="0"/>
              <w:adjustRightInd/>
              <w:snapToGrid/>
              <w:spacing w:line="360" w:lineRule="auto"/>
              <w:jc w:val="center"/>
              <w:textAlignment w:val="auto"/>
              <w:rPr>
                <w:rFonts w:hint="eastAsia" w:ascii="宋体" w:hAnsi="宋体" w:eastAsia="宋体" w:cs="宋体"/>
                <w:szCs w:val="21"/>
                <w:highlight w:val="none"/>
              </w:rPr>
            </w:pPr>
            <w:r>
              <w:rPr>
                <w:rFonts w:hint="eastAsia" w:ascii="宋体" w:hAnsi="宋体" w:eastAsia="宋体" w:cs="宋体"/>
                <w:szCs w:val="21"/>
                <w:highlight w:val="none"/>
              </w:rPr>
              <w:t>序号</w:t>
            </w:r>
          </w:p>
        </w:tc>
        <w:tc>
          <w:tcPr>
            <w:tcW w:w="3167" w:type="dxa"/>
            <w:noWrap w:val="0"/>
            <w:vAlign w:val="center"/>
          </w:tcPr>
          <w:p w14:paraId="6F9FCEE9">
            <w:pPr>
              <w:keepNext w:val="0"/>
              <w:keepLines w:val="0"/>
              <w:pageBreakBefore w:val="0"/>
              <w:widowControl w:val="0"/>
              <w:kinsoku/>
              <w:wordWrap w:val="0"/>
              <w:overflowPunct/>
              <w:topLinePunct w:val="0"/>
              <w:autoSpaceDE/>
              <w:autoSpaceDN/>
              <w:bidi w:val="0"/>
              <w:adjustRightInd/>
              <w:snapToGrid/>
              <w:spacing w:line="360" w:lineRule="auto"/>
              <w:jc w:val="center"/>
              <w:textAlignment w:val="auto"/>
              <w:rPr>
                <w:rFonts w:hint="eastAsia" w:ascii="宋体" w:hAnsi="宋体" w:eastAsia="宋体" w:cs="宋体"/>
                <w:szCs w:val="21"/>
                <w:highlight w:val="none"/>
                <w:lang w:val="en-US" w:eastAsia="zh-CN"/>
              </w:rPr>
            </w:pPr>
            <w:r>
              <w:rPr>
                <w:rFonts w:hint="eastAsia" w:ascii="宋体" w:hAnsi="宋体" w:eastAsia="宋体" w:cs="宋体"/>
                <w:szCs w:val="21"/>
                <w:highlight w:val="none"/>
              </w:rPr>
              <w:t>项目</w:t>
            </w:r>
          </w:p>
        </w:tc>
        <w:tc>
          <w:tcPr>
            <w:tcW w:w="1883" w:type="dxa"/>
            <w:noWrap w:val="0"/>
            <w:vAlign w:val="center"/>
          </w:tcPr>
          <w:p w14:paraId="5672C46D">
            <w:pPr>
              <w:keepNext w:val="0"/>
              <w:keepLines w:val="0"/>
              <w:pageBreakBefore w:val="0"/>
              <w:widowControl w:val="0"/>
              <w:kinsoku/>
              <w:wordWrap w:val="0"/>
              <w:overflowPunct/>
              <w:topLinePunct w:val="0"/>
              <w:autoSpaceDE/>
              <w:autoSpaceDN/>
              <w:bidi w:val="0"/>
              <w:adjustRightInd/>
              <w:snapToGrid/>
              <w:spacing w:line="360" w:lineRule="auto"/>
              <w:jc w:val="center"/>
              <w:textAlignment w:val="auto"/>
              <w:rPr>
                <w:rFonts w:hint="eastAsia" w:ascii="宋体" w:hAnsi="宋体" w:eastAsia="宋体" w:cs="宋体"/>
                <w:szCs w:val="21"/>
                <w:highlight w:val="none"/>
              </w:rPr>
            </w:pPr>
            <w:r>
              <w:rPr>
                <w:rFonts w:hint="eastAsia" w:ascii="宋体" w:hAnsi="宋体" w:eastAsia="宋体" w:cs="宋体"/>
                <w:szCs w:val="21"/>
                <w:highlight w:val="none"/>
              </w:rPr>
              <w:t>执行标准</w:t>
            </w:r>
          </w:p>
        </w:tc>
        <w:tc>
          <w:tcPr>
            <w:tcW w:w="2300" w:type="dxa"/>
            <w:noWrap w:val="0"/>
            <w:vAlign w:val="center"/>
          </w:tcPr>
          <w:p w14:paraId="2468649E">
            <w:pPr>
              <w:keepNext w:val="0"/>
              <w:keepLines w:val="0"/>
              <w:pageBreakBefore w:val="0"/>
              <w:widowControl w:val="0"/>
              <w:kinsoku/>
              <w:wordWrap w:val="0"/>
              <w:overflowPunct/>
              <w:topLinePunct w:val="0"/>
              <w:autoSpaceDE/>
              <w:autoSpaceDN/>
              <w:bidi w:val="0"/>
              <w:adjustRightInd/>
              <w:snapToGrid/>
              <w:spacing w:line="360" w:lineRule="auto"/>
              <w:jc w:val="center"/>
              <w:textAlignment w:val="auto"/>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功能描述</w:t>
            </w:r>
          </w:p>
        </w:tc>
        <w:tc>
          <w:tcPr>
            <w:tcW w:w="1299" w:type="dxa"/>
            <w:noWrap w:val="0"/>
            <w:vAlign w:val="center"/>
          </w:tcPr>
          <w:p w14:paraId="29DAB326">
            <w:pPr>
              <w:keepNext w:val="0"/>
              <w:keepLines w:val="0"/>
              <w:pageBreakBefore w:val="0"/>
              <w:widowControl w:val="0"/>
              <w:kinsoku/>
              <w:wordWrap w:val="0"/>
              <w:overflowPunct/>
              <w:topLinePunct w:val="0"/>
              <w:autoSpaceDE/>
              <w:autoSpaceDN/>
              <w:bidi w:val="0"/>
              <w:adjustRightInd/>
              <w:snapToGrid/>
              <w:spacing w:line="360" w:lineRule="auto"/>
              <w:jc w:val="center"/>
              <w:textAlignment w:val="auto"/>
              <w:rPr>
                <w:rFonts w:hint="eastAsia" w:ascii="宋体" w:hAnsi="宋体" w:eastAsia="宋体" w:cs="宋体"/>
                <w:szCs w:val="21"/>
                <w:highlight w:val="none"/>
              </w:rPr>
            </w:pPr>
            <w:r>
              <w:rPr>
                <w:rFonts w:hint="eastAsia" w:ascii="宋体" w:hAnsi="宋体" w:eastAsia="宋体" w:cs="宋体"/>
                <w:szCs w:val="21"/>
                <w:highlight w:val="none"/>
              </w:rPr>
              <w:t>数量</w:t>
            </w:r>
          </w:p>
        </w:tc>
        <w:tc>
          <w:tcPr>
            <w:tcW w:w="722" w:type="dxa"/>
            <w:noWrap w:val="0"/>
            <w:vAlign w:val="center"/>
          </w:tcPr>
          <w:p w14:paraId="386A728E">
            <w:pPr>
              <w:keepNext w:val="0"/>
              <w:keepLines w:val="0"/>
              <w:pageBreakBefore w:val="0"/>
              <w:widowControl w:val="0"/>
              <w:kinsoku/>
              <w:wordWrap w:val="0"/>
              <w:overflowPunct/>
              <w:topLinePunct w:val="0"/>
              <w:autoSpaceDE/>
              <w:autoSpaceDN/>
              <w:bidi w:val="0"/>
              <w:adjustRightInd/>
              <w:snapToGrid/>
              <w:spacing w:line="360" w:lineRule="auto"/>
              <w:jc w:val="center"/>
              <w:textAlignment w:val="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单位</w:t>
            </w:r>
          </w:p>
        </w:tc>
      </w:tr>
      <w:tr w14:paraId="7E607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4" w:type="dxa"/>
            <w:noWrap w:val="0"/>
            <w:vAlign w:val="center"/>
          </w:tcPr>
          <w:p w14:paraId="11C0D7E6">
            <w:pPr>
              <w:keepNext w:val="0"/>
              <w:keepLines w:val="0"/>
              <w:pageBreakBefore w:val="0"/>
              <w:widowControl w:val="0"/>
              <w:kinsoku/>
              <w:wordWrap w:val="0"/>
              <w:overflowPunct/>
              <w:topLinePunct w:val="0"/>
              <w:autoSpaceDE/>
              <w:autoSpaceDN/>
              <w:bidi w:val="0"/>
              <w:adjustRightInd/>
              <w:snapToGrid/>
              <w:spacing w:line="360" w:lineRule="auto"/>
              <w:jc w:val="center"/>
              <w:textAlignment w:val="auto"/>
              <w:rPr>
                <w:rFonts w:hint="default" w:ascii="宋体" w:hAnsi="宋体" w:eastAsia="宋体" w:cs="宋体"/>
                <w:szCs w:val="21"/>
                <w:lang w:val="en-US" w:eastAsia="zh-CN"/>
              </w:rPr>
            </w:pPr>
            <w:r>
              <w:rPr>
                <w:rFonts w:hint="eastAsia" w:ascii="宋体" w:hAnsi="宋体" w:eastAsia="宋体" w:cs="宋体"/>
                <w:szCs w:val="21"/>
                <w:lang w:val="en-US" w:eastAsia="zh-CN"/>
              </w:rPr>
              <w:t>1</w:t>
            </w:r>
          </w:p>
        </w:tc>
        <w:tc>
          <w:tcPr>
            <w:tcW w:w="3167" w:type="dxa"/>
            <w:noWrap w:val="0"/>
            <w:vAlign w:val="center"/>
          </w:tcPr>
          <w:p w14:paraId="5C0C3ECD">
            <w:pPr>
              <w:keepNext w:val="0"/>
              <w:keepLines w:val="0"/>
              <w:pageBreakBefore w:val="0"/>
              <w:widowControl w:val="0"/>
              <w:kinsoku/>
              <w:wordWrap w:val="0"/>
              <w:overflowPunct/>
              <w:topLinePunct w:val="0"/>
              <w:autoSpaceDE/>
              <w:autoSpaceDN/>
              <w:bidi w:val="0"/>
              <w:adjustRightInd/>
              <w:snapToGrid/>
              <w:spacing w:line="360" w:lineRule="auto"/>
              <w:jc w:val="center"/>
              <w:textAlignment w:val="auto"/>
              <w:rPr>
                <w:rFonts w:hint="default" w:ascii="宋体" w:hAnsi="宋体" w:eastAsia="宋体" w:cs="宋体"/>
                <w:szCs w:val="21"/>
                <w:lang w:val="en-US" w:eastAsia="zh-CN"/>
              </w:rPr>
            </w:pPr>
            <w:r>
              <w:rPr>
                <w:rFonts w:hint="eastAsia" w:ascii="宋体" w:hAnsi="宋体" w:eastAsia="宋体" w:cs="宋体"/>
                <w:szCs w:val="21"/>
                <w:lang w:val="en-US" w:eastAsia="zh-CN"/>
              </w:rPr>
              <w:t>基坑变形监测</w:t>
            </w:r>
          </w:p>
        </w:tc>
        <w:tc>
          <w:tcPr>
            <w:tcW w:w="1883" w:type="dxa"/>
            <w:noWrap w:val="0"/>
            <w:vAlign w:val="center"/>
          </w:tcPr>
          <w:p w14:paraId="32832A0F">
            <w:pPr>
              <w:keepNext w:val="0"/>
              <w:keepLines w:val="0"/>
              <w:pageBreakBefore w:val="0"/>
              <w:widowControl w:val="0"/>
              <w:kinsoku/>
              <w:wordWrap w:val="0"/>
              <w:overflowPunct/>
              <w:topLinePunct w:val="0"/>
              <w:autoSpaceDE/>
              <w:autoSpaceDN/>
              <w:bidi w:val="0"/>
              <w:adjustRightInd/>
              <w:snapToGrid/>
              <w:spacing w:line="360" w:lineRule="auto"/>
              <w:jc w:val="center"/>
              <w:textAlignment w:val="auto"/>
              <w:rPr>
                <w:rFonts w:hint="eastAsia" w:ascii="宋体" w:hAnsi="宋体" w:eastAsia="宋体" w:cs="宋体"/>
                <w:szCs w:val="21"/>
              </w:rPr>
            </w:pPr>
            <w:r>
              <w:rPr>
                <w:rFonts w:hint="eastAsia" w:ascii="宋体" w:hAnsi="宋体" w:eastAsia="宋体" w:cs="宋体"/>
                <w:szCs w:val="21"/>
              </w:rPr>
              <w:t>《湿陷性黄土地区变形监测规范》DBJ61_T132-2017</w:t>
            </w:r>
          </w:p>
        </w:tc>
        <w:tc>
          <w:tcPr>
            <w:tcW w:w="2300" w:type="dxa"/>
            <w:noWrap w:val="0"/>
            <w:vAlign w:val="center"/>
          </w:tcPr>
          <w:p w14:paraId="3CE0DA34">
            <w:pPr>
              <w:keepNext w:val="0"/>
              <w:keepLines w:val="0"/>
              <w:pageBreakBefore w:val="0"/>
              <w:widowControl w:val="0"/>
              <w:kinsoku/>
              <w:wordWrap w:val="0"/>
              <w:overflowPunct/>
              <w:topLinePunct w:val="0"/>
              <w:autoSpaceDE/>
              <w:autoSpaceDN/>
              <w:bidi w:val="0"/>
              <w:adjustRightInd/>
              <w:snapToGrid/>
              <w:spacing w:line="360" w:lineRule="auto"/>
              <w:jc w:val="center"/>
              <w:textAlignment w:val="auto"/>
              <w:rPr>
                <w:rFonts w:hint="eastAsia" w:ascii="宋体" w:hAnsi="宋体" w:eastAsia="宋体" w:cs="宋体"/>
                <w:szCs w:val="21"/>
              </w:rPr>
            </w:pPr>
            <w:r>
              <w:rPr>
                <w:rFonts w:hint="eastAsia" w:ascii="宋体" w:hAnsi="宋体" w:eastAsia="宋体" w:cs="宋体"/>
                <w:szCs w:val="21"/>
              </w:rPr>
              <w:t>双向水平方面监测、竖向沉降监测</w:t>
            </w:r>
          </w:p>
        </w:tc>
        <w:tc>
          <w:tcPr>
            <w:tcW w:w="1299" w:type="dxa"/>
            <w:noWrap w:val="0"/>
            <w:vAlign w:val="center"/>
          </w:tcPr>
          <w:p w14:paraId="2EEF9177">
            <w:pPr>
              <w:keepNext w:val="0"/>
              <w:keepLines w:val="0"/>
              <w:pageBreakBefore w:val="0"/>
              <w:widowControl w:val="0"/>
              <w:kinsoku/>
              <w:wordWrap w:val="0"/>
              <w:overflowPunct/>
              <w:topLinePunct w:val="0"/>
              <w:autoSpaceDE/>
              <w:autoSpaceDN/>
              <w:bidi w:val="0"/>
              <w:adjustRightInd/>
              <w:snapToGrid/>
              <w:spacing w:line="360" w:lineRule="auto"/>
              <w:jc w:val="center"/>
              <w:textAlignment w:val="auto"/>
              <w:rPr>
                <w:rFonts w:hint="default" w:ascii="宋体" w:hAnsi="宋体" w:eastAsia="宋体" w:cs="宋体"/>
                <w:szCs w:val="21"/>
                <w:lang w:val="en-US" w:eastAsia="zh-CN"/>
              </w:rPr>
            </w:pPr>
            <w:r>
              <w:rPr>
                <w:rFonts w:hint="eastAsia" w:ascii="宋体" w:hAnsi="宋体" w:eastAsia="宋体" w:cs="宋体"/>
                <w:szCs w:val="21"/>
                <w:lang w:val="en-US" w:eastAsia="zh-CN"/>
              </w:rPr>
              <w:t>1155</w:t>
            </w:r>
          </w:p>
        </w:tc>
        <w:tc>
          <w:tcPr>
            <w:tcW w:w="722" w:type="dxa"/>
            <w:noWrap w:val="0"/>
            <w:vAlign w:val="center"/>
          </w:tcPr>
          <w:p w14:paraId="5053D540">
            <w:pPr>
              <w:keepNext w:val="0"/>
              <w:keepLines w:val="0"/>
              <w:pageBreakBefore w:val="0"/>
              <w:widowControl w:val="0"/>
              <w:kinsoku/>
              <w:wordWrap w:val="0"/>
              <w:overflowPunct/>
              <w:topLinePunct w:val="0"/>
              <w:autoSpaceDE/>
              <w:autoSpaceDN/>
              <w:bidi w:val="0"/>
              <w:adjustRightInd/>
              <w:snapToGrid/>
              <w:spacing w:line="360" w:lineRule="auto"/>
              <w:jc w:val="center"/>
              <w:textAlignment w:val="auto"/>
              <w:rPr>
                <w:rFonts w:hint="eastAsia" w:ascii="宋体" w:hAnsi="宋体" w:eastAsia="宋体" w:cs="宋体"/>
                <w:szCs w:val="21"/>
              </w:rPr>
            </w:pPr>
            <w:r>
              <w:rPr>
                <w:rFonts w:hint="eastAsia" w:ascii="宋体" w:hAnsi="宋体" w:eastAsia="宋体" w:cs="宋体"/>
                <w:szCs w:val="21"/>
                <w:lang w:val="en-US" w:eastAsia="zh-CN"/>
              </w:rPr>
              <w:t>点次</w:t>
            </w:r>
          </w:p>
        </w:tc>
      </w:tr>
      <w:tr w14:paraId="192FF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4" w:type="dxa"/>
            <w:noWrap w:val="0"/>
            <w:vAlign w:val="center"/>
          </w:tcPr>
          <w:p w14:paraId="3D99E45B">
            <w:pPr>
              <w:keepNext w:val="0"/>
              <w:keepLines w:val="0"/>
              <w:pageBreakBefore w:val="0"/>
              <w:widowControl w:val="0"/>
              <w:kinsoku/>
              <w:wordWrap w:val="0"/>
              <w:overflowPunct/>
              <w:topLinePunct w:val="0"/>
              <w:autoSpaceDE/>
              <w:autoSpaceDN/>
              <w:bidi w:val="0"/>
              <w:adjustRightInd/>
              <w:snapToGrid/>
              <w:spacing w:line="360" w:lineRule="auto"/>
              <w:jc w:val="center"/>
              <w:textAlignment w:val="auto"/>
              <w:rPr>
                <w:rFonts w:hint="default" w:ascii="宋体" w:hAnsi="宋体" w:eastAsia="宋体" w:cs="宋体"/>
                <w:szCs w:val="21"/>
                <w:lang w:val="en-US" w:eastAsia="zh-CN"/>
              </w:rPr>
            </w:pPr>
            <w:r>
              <w:rPr>
                <w:rFonts w:hint="eastAsia" w:ascii="宋体" w:hAnsi="宋体" w:eastAsia="宋体" w:cs="宋体"/>
                <w:szCs w:val="21"/>
                <w:lang w:val="en-US" w:eastAsia="zh-CN"/>
              </w:rPr>
              <w:t>2</w:t>
            </w:r>
          </w:p>
        </w:tc>
        <w:tc>
          <w:tcPr>
            <w:tcW w:w="3167" w:type="dxa"/>
            <w:noWrap w:val="0"/>
            <w:vAlign w:val="center"/>
          </w:tcPr>
          <w:p w14:paraId="65B7265B">
            <w:pPr>
              <w:keepNext w:val="0"/>
              <w:keepLines w:val="0"/>
              <w:pageBreakBefore w:val="0"/>
              <w:widowControl w:val="0"/>
              <w:kinsoku/>
              <w:wordWrap w:val="0"/>
              <w:overflowPunct/>
              <w:topLinePunct w:val="0"/>
              <w:autoSpaceDE/>
              <w:autoSpaceDN/>
              <w:bidi w:val="0"/>
              <w:adjustRightInd/>
              <w:snapToGrid/>
              <w:spacing w:line="360" w:lineRule="auto"/>
              <w:jc w:val="center"/>
              <w:textAlignment w:val="auto"/>
              <w:rPr>
                <w:rFonts w:hint="default" w:ascii="宋体" w:hAnsi="宋体" w:eastAsia="宋体" w:cs="宋体"/>
                <w:szCs w:val="21"/>
                <w:lang w:val="en-US" w:eastAsia="zh-CN"/>
              </w:rPr>
            </w:pPr>
            <w:r>
              <w:rPr>
                <w:rFonts w:hint="eastAsia" w:ascii="宋体" w:hAnsi="宋体" w:eastAsia="宋体" w:cs="宋体"/>
                <w:szCs w:val="21"/>
                <w:lang w:val="en-US" w:eastAsia="zh-CN"/>
              </w:rPr>
              <w:t>主体沉降观测</w:t>
            </w:r>
          </w:p>
        </w:tc>
        <w:tc>
          <w:tcPr>
            <w:tcW w:w="1883" w:type="dxa"/>
            <w:noWrap w:val="0"/>
            <w:vAlign w:val="center"/>
          </w:tcPr>
          <w:p w14:paraId="19F188E1">
            <w:pPr>
              <w:keepNext w:val="0"/>
              <w:keepLines w:val="0"/>
              <w:pageBreakBefore w:val="0"/>
              <w:widowControl w:val="0"/>
              <w:kinsoku/>
              <w:wordWrap w:val="0"/>
              <w:overflowPunct/>
              <w:topLinePunct w:val="0"/>
              <w:autoSpaceDE/>
              <w:autoSpaceDN/>
              <w:bidi w:val="0"/>
              <w:adjustRightInd/>
              <w:snapToGrid/>
              <w:spacing w:line="360" w:lineRule="auto"/>
              <w:jc w:val="center"/>
              <w:textAlignment w:val="auto"/>
              <w:rPr>
                <w:rFonts w:hint="eastAsia" w:ascii="宋体" w:hAnsi="宋体" w:eastAsia="宋体" w:cs="宋体"/>
                <w:szCs w:val="21"/>
              </w:rPr>
            </w:pPr>
            <w:r>
              <w:rPr>
                <w:rFonts w:hint="eastAsia" w:ascii="宋体" w:hAnsi="宋体" w:eastAsia="宋体" w:cs="宋体"/>
                <w:szCs w:val="21"/>
              </w:rPr>
              <w:t>《湿陷性黄土地区变形监测规范》DBJ61_T132-2017</w:t>
            </w:r>
          </w:p>
        </w:tc>
        <w:tc>
          <w:tcPr>
            <w:tcW w:w="2300" w:type="dxa"/>
            <w:noWrap w:val="0"/>
            <w:vAlign w:val="center"/>
          </w:tcPr>
          <w:p w14:paraId="0E5D89ED">
            <w:pPr>
              <w:keepNext w:val="0"/>
              <w:keepLines w:val="0"/>
              <w:pageBreakBefore w:val="0"/>
              <w:widowControl w:val="0"/>
              <w:kinsoku/>
              <w:wordWrap w:val="0"/>
              <w:overflowPunct/>
              <w:topLinePunct w:val="0"/>
              <w:autoSpaceDE/>
              <w:autoSpaceDN/>
              <w:bidi w:val="0"/>
              <w:adjustRightInd/>
              <w:snapToGrid/>
              <w:spacing w:line="360" w:lineRule="auto"/>
              <w:jc w:val="center"/>
              <w:textAlignment w:val="auto"/>
              <w:rPr>
                <w:rFonts w:hint="eastAsia" w:ascii="宋体" w:hAnsi="宋体" w:eastAsia="宋体" w:cs="宋体"/>
                <w:szCs w:val="21"/>
              </w:rPr>
            </w:pPr>
            <w:r>
              <w:rPr>
                <w:rFonts w:hint="eastAsia" w:ascii="宋体" w:hAnsi="宋体" w:eastAsia="宋体" w:cs="宋体"/>
                <w:szCs w:val="21"/>
              </w:rPr>
              <w:t>竖向沉降观测</w:t>
            </w:r>
          </w:p>
        </w:tc>
        <w:tc>
          <w:tcPr>
            <w:tcW w:w="1299" w:type="dxa"/>
            <w:noWrap w:val="0"/>
            <w:vAlign w:val="center"/>
          </w:tcPr>
          <w:p w14:paraId="76B3B085">
            <w:pPr>
              <w:keepNext w:val="0"/>
              <w:keepLines w:val="0"/>
              <w:pageBreakBefore w:val="0"/>
              <w:widowControl w:val="0"/>
              <w:kinsoku/>
              <w:wordWrap w:val="0"/>
              <w:overflowPunct/>
              <w:topLinePunct w:val="0"/>
              <w:autoSpaceDE/>
              <w:autoSpaceDN/>
              <w:bidi w:val="0"/>
              <w:adjustRightInd/>
              <w:snapToGrid/>
              <w:spacing w:line="360" w:lineRule="auto"/>
              <w:jc w:val="center"/>
              <w:textAlignment w:val="auto"/>
              <w:rPr>
                <w:rFonts w:hint="default" w:ascii="宋体" w:hAnsi="宋体" w:eastAsia="宋体" w:cs="宋体"/>
                <w:szCs w:val="21"/>
                <w:lang w:val="en-US" w:eastAsia="zh-CN"/>
              </w:rPr>
            </w:pPr>
            <w:r>
              <w:rPr>
                <w:rFonts w:hint="eastAsia" w:ascii="宋体" w:hAnsi="宋体" w:eastAsia="宋体" w:cs="宋体"/>
                <w:szCs w:val="21"/>
                <w:lang w:val="en-US" w:eastAsia="zh-CN"/>
              </w:rPr>
              <w:t>410</w:t>
            </w:r>
          </w:p>
        </w:tc>
        <w:tc>
          <w:tcPr>
            <w:tcW w:w="722" w:type="dxa"/>
            <w:noWrap w:val="0"/>
            <w:vAlign w:val="center"/>
          </w:tcPr>
          <w:p w14:paraId="38CB67D1">
            <w:pPr>
              <w:keepNext w:val="0"/>
              <w:keepLines w:val="0"/>
              <w:pageBreakBefore w:val="0"/>
              <w:widowControl w:val="0"/>
              <w:kinsoku/>
              <w:wordWrap w:val="0"/>
              <w:overflowPunct/>
              <w:topLinePunct w:val="0"/>
              <w:autoSpaceDE/>
              <w:autoSpaceDN/>
              <w:bidi w:val="0"/>
              <w:adjustRightInd/>
              <w:snapToGrid/>
              <w:spacing w:line="360" w:lineRule="auto"/>
              <w:jc w:val="center"/>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点次</w:t>
            </w:r>
          </w:p>
        </w:tc>
      </w:tr>
    </w:tbl>
    <w:p w14:paraId="09BE0884">
      <w:pPr>
        <w:keepNext w:val="0"/>
        <w:keepLines w:val="0"/>
        <w:pageBreakBefore w:val="0"/>
        <w:widowControl w:val="0"/>
        <w:kinsoku/>
        <w:wordWrap/>
        <w:overflowPunct/>
        <w:topLinePunct w:val="0"/>
        <w:autoSpaceDE/>
        <w:autoSpaceDN/>
        <w:bidi w:val="0"/>
        <w:adjustRightInd/>
        <w:spacing w:line="500" w:lineRule="exact"/>
        <w:ind w:firstLine="420" w:firstLineChars="200"/>
        <w:textAlignment w:val="auto"/>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3、技术标准与质量要求：</w:t>
      </w:r>
    </w:p>
    <w:p w14:paraId="7C66ABB6">
      <w:pPr>
        <w:keepNext w:val="0"/>
        <w:keepLines w:val="0"/>
        <w:pageBreakBefore w:val="0"/>
        <w:widowControl w:val="0"/>
        <w:numPr>
          <w:ilvl w:val="0"/>
          <w:numId w:val="0"/>
        </w:numPr>
        <w:kinsoku/>
        <w:wordWrap/>
        <w:overflowPunct/>
        <w:topLinePunct w:val="0"/>
        <w:autoSpaceDE/>
        <w:autoSpaceDN/>
        <w:bidi w:val="0"/>
        <w:adjustRightInd/>
        <w:spacing w:line="500" w:lineRule="exact"/>
        <w:ind w:leftChars="0"/>
        <w:textAlignment w:val="auto"/>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 xml:space="preserve">   （1）严格依照《建筑地基基础检测技术标准》《土工试验方法标准》《建筑地基处理技术规范》《建筑变形测量规范》等现行国家、陕西省地方现行有效规范开展检测工作;监测流程、点位布设、观测频次、数据精度均符合国家、行业现行规范及项目施工安全要求。</w:t>
      </w:r>
    </w:p>
    <w:p w14:paraId="5DB86C9B">
      <w:pPr>
        <w:keepNext w:val="0"/>
        <w:keepLines w:val="0"/>
        <w:pageBreakBefore w:val="0"/>
        <w:widowControl w:val="0"/>
        <w:numPr>
          <w:ilvl w:val="0"/>
          <w:numId w:val="0"/>
        </w:numPr>
        <w:kinsoku/>
        <w:wordWrap/>
        <w:overflowPunct/>
        <w:topLinePunct w:val="0"/>
        <w:autoSpaceDE/>
        <w:autoSpaceDN/>
        <w:bidi w:val="0"/>
        <w:adjustRightInd/>
        <w:spacing w:line="500" w:lineRule="exact"/>
        <w:ind w:leftChars="0" w:firstLine="210" w:firstLineChars="100"/>
        <w:textAlignment w:val="auto"/>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2）变形监测的目标是实施信息化施工动态监测，实时掌握基坑支护、地下水位、周边构筑物及建筑基础沉降变形状态，对超标变形及时预警处置，防范基坑失稳、周边设施损坏及主体结构不均匀沉降开裂风险；全过程跟踪建筑物沉降发展规律，判定地基稳定状态，保障施工及运营阶段结构安全；监测成果作为工程验收归档、质量溯源的可靠技术依据。</w:t>
      </w:r>
    </w:p>
    <w:p w14:paraId="19452480">
      <w:pPr>
        <w:keepNext w:val="0"/>
        <w:keepLines w:val="0"/>
        <w:pageBreakBefore w:val="0"/>
        <w:widowControl w:val="0"/>
        <w:numPr>
          <w:ilvl w:val="0"/>
          <w:numId w:val="0"/>
        </w:numPr>
        <w:kinsoku/>
        <w:wordWrap/>
        <w:overflowPunct/>
        <w:topLinePunct w:val="0"/>
        <w:autoSpaceDE/>
        <w:autoSpaceDN/>
        <w:bidi w:val="0"/>
        <w:adjustRightInd/>
        <w:spacing w:line="500" w:lineRule="exact"/>
        <w:ind w:leftChars="0" w:firstLine="210" w:firstLineChars="100"/>
        <w:textAlignment w:val="auto"/>
        <w:rPr>
          <w:rFonts w:hint="eastAsia" w:ascii="宋体" w:hAnsi="宋体" w:eastAsia="宋体" w:cs="宋体"/>
          <w:b w:val="0"/>
          <w:bCs/>
          <w:color w:val="auto"/>
          <w:sz w:val="21"/>
          <w:szCs w:val="21"/>
          <w:lang w:val="en-US" w:eastAsia="zh-CN"/>
        </w:rPr>
      </w:pPr>
      <w:r>
        <w:rPr>
          <w:rFonts w:hint="eastAsia" w:ascii="宋体" w:hAnsi="宋体" w:eastAsia="宋体" w:cs="宋体"/>
          <w:color w:val="auto"/>
          <w:sz w:val="21"/>
          <w:szCs w:val="21"/>
          <w:highlight w:val="none"/>
          <w:shd w:val="clear" w:color="auto" w:fill="FFFFFF"/>
          <w:lang w:val="en-US" w:eastAsia="zh-CN"/>
        </w:rPr>
        <w:t>（3）质量要求：</w:t>
      </w:r>
      <w:r>
        <w:rPr>
          <w:rFonts w:hint="eastAsia" w:ascii="宋体" w:hAnsi="宋体" w:eastAsia="宋体" w:cs="宋体"/>
          <w:b w:val="0"/>
          <w:bCs/>
          <w:color w:val="auto"/>
          <w:sz w:val="21"/>
          <w:szCs w:val="21"/>
          <w:lang w:val="en-US" w:eastAsia="zh-CN"/>
        </w:rPr>
        <w:t>符合国家及行业相关标准，达到合格标准。</w:t>
      </w:r>
    </w:p>
    <w:p w14:paraId="08833B7B">
      <w:pPr>
        <w:keepNext w:val="0"/>
        <w:keepLines w:val="0"/>
        <w:pageBreakBefore w:val="0"/>
        <w:widowControl w:val="0"/>
        <w:kinsoku/>
        <w:wordWrap/>
        <w:overflowPunct/>
        <w:topLinePunct w:val="0"/>
        <w:autoSpaceDE/>
        <w:autoSpaceDN/>
        <w:bidi w:val="0"/>
        <w:adjustRightInd/>
        <w:spacing w:line="500" w:lineRule="exact"/>
        <w:ind w:firstLine="422" w:firstLineChars="200"/>
        <w:textAlignment w:val="auto"/>
        <w:outlineLvl w:val="0"/>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三、商务要求</w:t>
      </w:r>
    </w:p>
    <w:p w14:paraId="0631602F">
      <w:pPr>
        <w:pStyle w:val="73"/>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b w:val="0"/>
          <w:bCs/>
          <w:color w:val="auto"/>
          <w:kern w:val="2"/>
          <w:sz w:val="21"/>
          <w:szCs w:val="21"/>
          <w:lang w:val="en-US" w:eastAsia="zh-CN" w:bidi="ar-SA"/>
        </w:rPr>
      </w:pPr>
      <w:r>
        <w:rPr>
          <w:rFonts w:hint="eastAsia" w:ascii="宋体" w:hAnsi="宋体" w:cs="宋体"/>
          <w:b w:val="0"/>
          <w:bCs/>
          <w:color w:val="auto"/>
          <w:kern w:val="2"/>
          <w:sz w:val="21"/>
          <w:szCs w:val="21"/>
          <w:lang w:val="en-US" w:eastAsia="zh-CN" w:bidi="ar-SA"/>
        </w:rPr>
        <w:t>1、</w:t>
      </w:r>
      <w:r>
        <w:rPr>
          <w:rFonts w:hint="eastAsia" w:ascii="宋体" w:hAnsi="宋体" w:eastAsia="宋体" w:cs="宋体"/>
          <w:b w:val="0"/>
          <w:bCs/>
          <w:color w:val="auto"/>
          <w:kern w:val="2"/>
          <w:sz w:val="21"/>
          <w:szCs w:val="21"/>
          <w:lang w:val="en-US" w:eastAsia="zh-CN" w:bidi="ar-SA"/>
        </w:rPr>
        <w:t>服务期</w:t>
      </w:r>
    </w:p>
    <w:p w14:paraId="65F4E805">
      <w:pPr>
        <w:pStyle w:val="73"/>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b w:val="0"/>
          <w:bCs/>
          <w:color w:val="auto"/>
          <w:kern w:val="2"/>
          <w:sz w:val="21"/>
          <w:szCs w:val="21"/>
          <w:lang w:val="en-US" w:eastAsia="zh-CN" w:bidi="ar-SA"/>
        </w:rPr>
      </w:pPr>
      <w:r>
        <w:rPr>
          <w:rFonts w:hint="eastAsia" w:ascii="宋体" w:hAnsi="宋体" w:eastAsia="宋体" w:cs="宋体"/>
          <w:b w:val="0"/>
          <w:bCs/>
          <w:color w:val="auto"/>
          <w:kern w:val="2"/>
          <w:sz w:val="21"/>
          <w:szCs w:val="21"/>
          <w:lang w:val="en-US" w:eastAsia="zh-CN" w:bidi="ar-SA"/>
        </w:rPr>
        <w:t>开始工作至本项目工程结束（具体随工程项目进展调整）</w:t>
      </w:r>
    </w:p>
    <w:p w14:paraId="0F633938">
      <w:pPr>
        <w:pStyle w:val="73"/>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b w:val="0"/>
          <w:bCs/>
          <w:color w:val="auto"/>
          <w:kern w:val="2"/>
          <w:sz w:val="21"/>
          <w:szCs w:val="21"/>
          <w:lang w:val="en-US" w:eastAsia="zh-CN" w:bidi="ar-SA"/>
        </w:rPr>
      </w:pPr>
      <w:r>
        <w:rPr>
          <w:rFonts w:hint="eastAsia" w:ascii="宋体" w:hAnsi="宋体" w:cs="宋体"/>
          <w:b w:val="0"/>
          <w:bCs/>
          <w:color w:val="auto"/>
          <w:kern w:val="2"/>
          <w:sz w:val="21"/>
          <w:szCs w:val="21"/>
          <w:lang w:val="en-US" w:eastAsia="zh-CN" w:bidi="ar-SA"/>
        </w:rPr>
        <w:t>2、</w:t>
      </w:r>
      <w:r>
        <w:rPr>
          <w:rFonts w:hint="eastAsia" w:ascii="宋体" w:hAnsi="宋体" w:eastAsia="宋体" w:cs="宋体"/>
          <w:b w:val="0"/>
          <w:bCs/>
          <w:color w:val="auto"/>
          <w:kern w:val="2"/>
          <w:sz w:val="21"/>
          <w:szCs w:val="21"/>
          <w:lang w:val="en-US" w:eastAsia="zh-CN" w:bidi="ar-SA"/>
        </w:rPr>
        <w:t>交货地点</w:t>
      </w:r>
    </w:p>
    <w:p w14:paraId="30811D2F">
      <w:pPr>
        <w:pStyle w:val="73"/>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b w:val="0"/>
          <w:bCs/>
          <w:color w:val="auto"/>
          <w:kern w:val="2"/>
          <w:sz w:val="21"/>
          <w:szCs w:val="21"/>
          <w:lang w:val="en-US" w:eastAsia="zh-CN" w:bidi="ar-SA"/>
        </w:rPr>
      </w:pPr>
      <w:r>
        <w:rPr>
          <w:rFonts w:hint="eastAsia" w:ascii="宋体" w:hAnsi="宋体" w:eastAsia="宋体" w:cs="宋体"/>
          <w:b w:val="0"/>
          <w:bCs/>
          <w:color w:val="auto"/>
          <w:kern w:val="2"/>
          <w:sz w:val="21"/>
          <w:szCs w:val="21"/>
          <w:lang w:val="en-US" w:eastAsia="zh-CN" w:bidi="ar-SA"/>
        </w:rPr>
        <w:t>采购人指定地点。</w:t>
      </w:r>
    </w:p>
    <w:p w14:paraId="22ECCD36">
      <w:pPr>
        <w:pStyle w:val="73"/>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b w:val="0"/>
          <w:bCs/>
          <w:color w:val="auto"/>
          <w:kern w:val="2"/>
          <w:sz w:val="21"/>
          <w:szCs w:val="21"/>
          <w:lang w:val="en-US" w:eastAsia="zh-CN" w:bidi="ar-SA"/>
        </w:rPr>
      </w:pPr>
      <w:r>
        <w:rPr>
          <w:rFonts w:hint="eastAsia" w:ascii="宋体" w:hAnsi="宋体" w:cs="宋体"/>
          <w:b w:val="0"/>
          <w:bCs/>
          <w:color w:val="auto"/>
          <w:kern w:val="2"/>
          <w:sz w:val="21"/>
          <w:szCs w:val="21"/>
          <w:lang w:val="en-US" w:eastAsia="zh-CN" w:bidi="ar-SA"/>
        </w:rPr>
        <w:t>3、服务</w:t>
      </w:r>
      <w:r>
        <w:rPr>
          <w:rFonts w:hint="eastAsia" w:ascii="宋体" w:hAnsi="宋体" w:eastAsia="宋体" w:cs="宋体"/>
          <w:b w:val="0"/>
          <w:bCs/>
          <w:color w:val="auto"/>
          <w:kern w:val="2"/>
          <w:sz w:val="21"/>
          <w:szCs w:val="21"/>
          <w:lang w:val="en-US" w:eastAsia="zh-CN" w:bidi="ar-SA"/>
        </w:rPr>
        <w:t>标准</w:t>
      </w:r>
    </w:p>
    <w:p w14:paraId="1489CDA3">
      <w:pPr>
        <w:pStyle w:val="73"/>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符合国家及行业相关标准，达到合格标准。</w:t>
      </w:r>
    </w:p>
    <w:p w14:paraId="574DA6C9">
      <w:pPr>
        <w:pStyle w:val="73"/>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b w:val="0"/>
          <w:bCs/>
          <w:color w:val="auto"/>
          <w:kern w:val="2"/>
          <w:sz w:val="21"/>
          <w:szCs w:val="21"/>
          <w:lang w:val="en-US" w:eastAsia="zh-CN" w:bidi="ar-SA"/>
        </w:rPr>
      </w:pPr>
      <w:r>
        <w:rPr>
          <w:rFonts w:hint="eastAsia" w:ascii="宋体" w:hAnsi="宋体" w:cs="宋体"/>
          <w:b w:val="0"/>
          <w:bCs/>
          <w:color w:val="auto"/>
          <w:kern w:val="2"/>
          <w:sz w:val="21"/>
          <w:szCs w:val="21"/>
          <w:lang w:val="en-US" w:eastAsia="zh-CN" w:bidi="ar-SA"/>
        </w:rPr>
        <w:t>4、</w:t>
      </w:r>
      <w:r>
        <w:rPr>
          <w:rFonts w:hint="eastAsia" w:ascii="宋体" w:hAnsi="宋体" w:eastAsia="宋体" w:cs="宋体"/>
          <w:b w:val="0"/>
          <w:bCs/>
          <w:color w:val="auto"/>
          <w:kern w:val="2"/>
          <w:sz w:val="21"/>
          <w:szCs w:val="21"/>
          <w:lang w:val="en-US" w:eastAsia="zh-CN" w:bidi="ar-SA"/>
        </w:rPr>
        <w:t>服务费用结算方式</w:t>
      </w:r>
    </w:p>
    <w:p w14:paraId="118F3FDB">
      <w:pPr>
        <w:pStyle w:val="73"/>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b w:val="0"/>
          <w:bCs/>
          <w:color w:val="auto"/>
          <w:kern w:val="2"/>
          <w:sz w:val="21"/>
          <w:szCs w:val="21"/>
          <w:lang w:val="en-US" w:eastAsia="zh-CN" w:bidi="ar-SA"/>
        </w:rPr>
      </w:pPr>
      <w:r>
        <w:rPr>
          <w:rFonts w:hint="eastAsia" w:ascii="宋体" w:hAnsi="宋体" w:eastAsia="宋体" w:cs="宋体"/>
          <w:b w:val="0"/>
          <w:bCs/>
          <w:color w:val="auto"/>
          <w:kern w:val="2"/>
          <w:sz w:val="21"/>
          <w:szCs w:val="21"/>
          <w:lang w:val="en-US" w:eastAsia="zh-CN" w:bidi="ar-SA"/>
        </w:rPr>
        <w:t>甲、乙双方签订合同后，乙方提交中期资料</w:t>
      </w:r>
      <w:r>
        <w:rPr>
          <w:rFonts w:hint="eastAsia" w:ascii="宋体" w:hAnsi="宋体" w:cs="宋体"/>
          <w:b w:val="0"/>
          <w:bCs/>
          <w:color w:val="auto"/>
          <w:kern w:val="2"/>
          <w:sz w:val="21"/>
          <w:szCs w:val="21"/>
          <w:lang w:val="en-US" w:eastAsia="zh-CN" w:bidi="ar-SA"/>
        </w:rPr>
        <w:t>后</w:t>
      </w:r>
      <w:r>
        <w:rPr>
          <w:rFonts w:hint="eastAsia" w:ascii="宋体" w:hAnsi="宋体" w:eastAsia="宋体" w:cs="宋体"/>
          <w:b w:val="0"/>
          <w:bCs/>
          <w:color w:val="auto"/>
          <w:kern w:val="2"/>
          <w:sz w:val="21"/>
          <w:szCs w:val="21"/>
          <w:lang w:val="en-US" w:eastAsia="zh-CN" w:bidi="ar-SA"/>
        </w:rPr>
        <w:t>支付合同额</w:t>
      </w:r>
      <w:r>
        <w:rPr>
          <w:rFonts w:hint="eastAsia" w:ascii="宋体" w:hAnsi="宋体" w:cs="宋体"/>
          <w:b w:val="0"/>
          <w:bCs/>
          <w:color w:val="auto"/>
          <w:kern w:val="2"/>
          <w:sz w:val="21"/>
          <w:szCs w:val="21"/>
          <w:lang w:val="en-US" w:eastAsia="zh-CN" w:bidi="ar-SA"/>
        </w:rPr>
        <w:t>3</w:t>
      </w:r>
      <w:r>
        <w:rPr>
          <w:rFonts w:hint="eastAsia" w:ascii="宋体" w:hAnsi="宋体" w:eastAsia="宋体" w:cs="宋体"/>
          <w:b w:val="0"/>
          <w:bCs/>
          <w:color w:val="auto"/>
          <w:kern w:val="2"/>
          <w:sz w:val="21"/>
          <w:szCs w:val="21"/>
          <w:lang w:val="en-US" w:eastAsia="zh-CN" w:bidi="ar-SA"/>
        </w:rPr>
        <w:t>0%，提交最终报告后支付剩余尾款，付款前乙方须向甲方提供付款金额的等额发票</w:t>
      </w:r>
      <w:r>
        <w:rPr>
          <w:rFonts w:hint="eastAsia" w:ascii="宋体" w:hAnsi="宋体" w:cs="宋体"/>
          <w:b w:val="0"/>
          <w:bCs/>
          <w:color w:val="auto"/>
          <w:kern w:val="2"/>
          <w:sz w:val="21"/>
          <w:szCs w:val="21"/>
          <w:lang w:val="en-US" w:eastAsia="zh-CN" w:bidi="ar-SA"/>
        </w:rPr>
        <w:t>，基坑变形监测工期预计为8个月，监测工期超过1个月以内，按照合同中基坑变形监测报价结算，超过预计监测工期1个月以上，由甲乙双方协商</w:t>
      </w:r>
      <w:r>
        <w:rPr>
          <w:rFonts w:hint="eastAsia" w:ascii="宋体" w:hAnsi="宋体" w:eastAsia="宋体" w:cs="宋体"/>
          <w:b w:val="0"/>
          <w:bCs/>
          <w:color w:val="auto"/>
          <w:kern w:val="2"/>
          <w:sz w:val="21"/>
          <w:szCs w:val="21"/>
          <w:lang w:val="en-US" w:eastAsia="zh-CN" w:bidi="ar-SA"/>
        </w:rPr>
        <w:t>。</w:t>
      </w:r>
    </w:p>
    <w:p w14:paraId="450E2B4E">
      <w:pPr>
        <w:pStyle w:val="73"/>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宋体" w:hAnsi="宋体" w:cs="宋体"/>
          <w:b w:val="0"/>
          <w:bCs/>
          <w:color w:val="auto"/>
          <w:kern w:val="2"/>
          <w:sz w:val="21"/>
          <w:szCs w:val="21"/>
          <w:lang w:val="en-US" w:eastAsia="zh-CN" w:bidi="ar-SA"/>
        </w:rPr>
      </w:pPr>
      <w:r>
        <w:rPr>
          <w:rFonts w:hint="eastAsia" w:ascii="宋体" w:hAnsi="宋体" w:cs="宋体"/>
          <w:b w:val="0"/>
          <w:bCs/>
          <w:color w:val="auto"/>
          <w:kern w:val="2"/>
          <w:sz w:val="21"/>
          <w:szCs w:val="21"/>
          <w:lang w:val="en-US" w:eastAsia="zh-CN" w:bidi="ar-SA"/>
        </w:rPr>
        <w:t>5、履约验收标准</w:t>
      </w:r>
    </w:p>
    <w:p w14:paraId="0BDF4854">
      <w:pPr>
        <w:pStyle w:val="73"/>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default" w:ascii="宋体" w:hAnsi="宋体" w:cs="宋体"/>
          <w:b w:val="0"/>
          <w:bCs/>
          <w:color w:val="auto"/>
          <w:kern w:val="2"/>
          <w:sz w:val="21"/>
          <w:szCs w:val="21"/>
          <w:lang w:val="en-US" w:eastAsia="zh-CN" w:bidi="ar-SA"/>
        </w:rPr>
      </w:pPr>
      <w:r>
        <w:rPr>
          <w:rFonts w:hint="default" w:ascii="宋体" w:hAnsi="宋体" w:cs="宋体"/>
          <w:b w:val="0"/>
          <w:bCs/>
          <w:color w:val="auto"/>
          <w:kern w:val="2"/>
          <w:sz w:val="21"/>
          <w:szCs w:val="21"/>
          <w:lang w:val="en-US" w:eastAsia="zh-CN" w:bidi="ar-SA"/>
        </w:rPr>
        <w:t>(1)检测及监测流程、点位布设、观测频次、数据精度全部符合现行规范及项目施工管理要求。(2)全过程检测及监测数据完整真实、记录规范，异常情况及时预警处置，全程配合建设、监理单位核查工作。(3)按时提交全套检测及监测台账、阶段性资料及最终监测报告，签章齐全、结论准确、资料规范。(4)检测及监测成果须顺利通过项目竣工验收、城建档案归档及财政审计，存在质量问题须无偿整改复测至合格。</w:t>
      </w:r>
    </w:p>
    <w:p w14:paraId="19A7A12B">
      <w:pPr>
        <w:pStyle w:val="73"/>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default" w:ascii="宋体" w:hAnsi="宋体" w:cs="宋体"/>
          <w:b w:val="0"/>
          <w:bCs/>
          <w:color w:val="auto"/>
          <w:kern w:val="2"/>
          <w:sz w:val="21"/>
          <w:szCs w:val="21"/>
          <w:lang w:val="en-US" w:eastAsia="zh-CN" w:bidi="ar-SA"/>
        </w:rPr>
      </w:pPr>
    </w:p>
    <w:p w14:paraId="25D1771A">
      <w:pPr>
        <w:keepNext w:val="0"/>
        <w:keepLines w:val="0"/>
        <w:pageBreakBefore w:val="0"/>
        <w:widowControl w:val="0"/>
        <w:kinsoku/>
        <w:wordWrap/>
        <w:overflowPunct/>
        <w:topLinePunct w:val="0"/>
        <w:autoSpaceDE/>
        <w:autoSpaceDN/>
        <w:bidi w:val="0"/>
        <w:adjustRightInd/>
        <w:spacing w:line="500" w:lineRule="exact"/>
        <w:ind w:firstLine="422" w:firstLineChars="200"/>
        <w:textAlignment w:val="auto"/>
        <w:outlineLvl w:val="0"/>
        <w:rPr>
          <w:rFonts w:hint="eastAsia" w:ascii="宋体" w:hAnsi="宋体" w:eastAsia="宋体" w:cs="宋体"/>
          <w:b/>
          <w:bCs/>
          <w:color w:val="auto"/>
          <w:sz w:val="21"/>
          <w:szCs w:val="21"/>
          <w:highlight w:val="none"/>
          <w:lang w:eastAsia="zh-CN"/>
        </w:rPr>
        <w:sectPr>
          <w:headerReference r:id="rId3" w:type="default"/>
          <w:footerReference r:id="rId4" w:type="default"/>
          <w:pgSz w:w="11906" w:h="16838"/>
          <w:pgMar w:top="1440" w:right="1440" w:bottom="1440" w:left="1440" w:header="850" w:footer="992" w:gutter="0"/>
          <w:pgNumType w:fmt="decimal"/>
          <w:cols w:space="425" w:num="1"/>
          <w:docGrid w:type="lines" w:linePitch="381" w:charSpace="704"/>
        </w:sectPr>
      </w:pPr>
    </w:p>
    <w:p w14:paraId="18913D1E">
      <w:pPr>
        <w:pStyle w:val="31"/>
        <w:spacing w:before="381" w:after="381" w:line="460" w:lineRule="atLeast"/>
        <w:outlineLvl w:val="0"/>
        <w:rPr>
          <w:rFonts w:hint="eastAsia" w:ascii="宋体" w:hAnsi="宋体" w:eastAsia="宋体" w:cs="宋体"/>
          <w:color w:val="auto"/>
          <w:highlight w:val="none"/>
        </w:rPr>
      </w:pPr>
      <w:bookmarkStart w:id="22" w:name="_Toc162282442"/>
      <w:bookmarkStart w:id="23" w:name="_Toc4776"/>
      <w:r>
        <w:rPr>
          <w:rFonts w:hint="eastAsia" w:ascii="宋体" w:hAnsi="宋体" w:eastAsia="宋体" w:cs="宋体"/>
          <w:color w:val="auto"/>
          <w:highlight w:val="none"/>
        </w:rPr>
        <w:t>第六章  合同草案条款</w:t>
      </w:r>
      <w:bookmarkEnd w:id="22"/>
      <w:bookmarkEnd w:id="23"/>
    </w:p>
    <w:p w14:paraId="54762F1E">
      <w:pPr>
        <w:spacing w:line="360" w:lineRule="auto"/>
        <w:ind w:firstLine="481"/>
        <w:jc w:val="left"/>
        <w:outlineLvl w:val="9"/>
        <w:rPr>
          <w:rFonts w:ascii="黑体" w:hAnsi="??" w:eastAsia="黑体" w:cs="??"/>
          <w:b/>
          <w:color w:val="auto"/>
          <w:sz w:val="22"/>
          <w:szCs w:val="20"/>
          <w:highlight w:val="none"/>
          <w:u w:val="single"/>
        </w:rPr>
      </w:pPr>
      <w:bookmarkStart w:id="24" w:name="_Toc162282443"/>
      <w:r>
        <w:rPr>
          <w:rFonts w:hint="eastAsia" w:ascii="黑体" w:hAnsi="??" w:eastAsia="黑体" w:cs="??"/>
          <w:b/>
          <w:color w:val="auto"/>
          <w:sz w:val="22"/>
          <w:szCs w:val="20"/>
          <w:highlight w:val="none"/>
          <w:u w:val="single"/>
        </w:rPr>
        <w:t>注：本合同仅为合同的参考文本，合同签订双方可根据项目的具体要求进行修订。</w:t>
      </w:r>
    </w:p>
    <w:p w14:paraId="349BEC2F">
      <w:pPr>
        <w:pStyle w:val="74"/>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合同编号： </w:t>
      </w:r>
    </w:p>
    <w:p w14:paraId="71647394">
      <w:pPr>
        <w:pStyle w:val="74"/>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签订地点： </w:t>
      </w:r>
    </w:p>
    <w:p w14:paraId="7B36779F">
      <w:pPr>
        <w:pStyle w:val="74"/>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签订时间: </w:t>
      </w:r>
    </w:p>
    <w:p w14:paraId="21B45E3D">
      <w:pPr>
        <w:pStyle w:val="74"/>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采购人（甲方）：</w:t>
      </w:r>
    </w:p>
    <w:p w14:paraId="233583F7">
      <w:pPr>
        <w:pStyle w:val="74"/>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供应商（乙方）：</w:t>
      </w:r>
    </w:p>
    <w:p w14:paraId="53FED2F0">
      <w:pPr>
        <w:pStyle w:val="3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根据《中华人民共和国政府采购法》及实施条例、《中华人民共和国民法典》和</w:t>
      </w:r>
      <w:r>
        <w:rPr>
          <w:rFonts w:hint="eastAsia" w:ascii="宋体" w:hAnsi="宋体" w:eastAsia="宋体" w:cs="宋体"/>
          <w:color w:val="auto"/>
          <w:sz w:val="24"/>
          <w:szCs w:val="24"/>
          <w:highlight w:val="none"/>
          <w:u w:val="single"/>
        </w:rPr>
        <w:t>旬邑县养老中心服务设施提升改造项目基坑变形监测及主体沉降观测</w:t>
      </w:r>
      <w:r>
        <w:rPr>
          <w:rFonts w:hint="eastAsia" w:ascii="宋体" w:hAnsi="宋体" w:eastAsia="宋体" w:cs="宋体"/>
          <w:color w:val="auto"/>
          <w:sz w:val="24"/>
          <w:szCs w:val="24"/>
          <w:highlight w:val="none"/>
        </w:rPr>
        <w:t>（采购项目编号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）的竞争性磋商文件、竞争性磋商响应文件等有关规定，为确保采购项目的顺利实施，甲、乙双方在平等自愿原则下签订本合同，并共同遵守如下条款：</w:t>
      </w:r>
    </w:p>
    <w:p w14:paraId="7FCA7434">
      <w:pPr>
        <w:numPr>
          <w:ilvl w:val="0"/>
          <w:numId w:val="2"/>
        </w:num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合同期限</w:t>
      </w:r>
    </w:p>
    <w:p w14:paraId="4D5C1B5E">
      <w:pPr>
        <w:pStyle w:val="30"/>
        <w:spacing w:line="360" w:lineRule="auto"/>
        <w:ind w:firstLine="480" w:firstLineChars="200"/>
        <w:rPr>
          <w:rFonts w:hint="eastAsia" w:ascii="宋体" w:hAnsi="宋体" w:eastAsia="宋体" w:cs="宋体"/>
          <w:color w:val="auto"/>
          <w:sz w:val="24"/>
          <w:szCs w:val="24"/>
          <w:highlight w:val="none"/>
          <w:lang w:val="zh-CN"/>
        </w:rPr>
      </w:pPr>
      <w:bookmarkStart w:id="25" w:name="_Toc225670751"/>
      <w:bookmarkStart w:id="26" w:name="_Toc211911348"/>
      <w:bookmarkStart w:id="27" w:name="_Toc282696226"/>
      <w:bookmarkStart w:id="28" w:name="_Toc212019594"/>
      <w:bookmarkStart w:id="29" w:name="_Toc241833903"/>
      <w:bookmarkStart w:id="30" w:name="_Toc238984975"/>
      <w:bookmarkStart w:id="31" w:name="_Toc211854449"/>
      <w:bookmarkStart w:id="32" w:name="_Toc225244852"/>
      <w:bookmarkStart w:id="33" w:name="_Toc239233914"/>
      <w:bookmarkStart w:id="34" w:name="_Toc251768862"/>
      <w:bookmarkStart w:id="35" w:name="_Toc232492928"/>
      <w:bookmarkStart w:id="36" w:name="_Toc239568418"/>
      <w:bookmarkStart w:id="37" w:name="_Toc185395249"/>
      <w:bookmarkStart w:id="38" w:name="_Toc225654644"/>
      <w:bookmarkStart w:id="39" w:name="_Toc247334841"/>
      <w:bookmarkStart w:id="40" w:name="_Toc283019214"/>
      <w:bookmarkStart w:id="41" w:name="_Toc237145406"/>
      <w:bookmarkStart w:id="42" w:name="_Toc286993786"/>
      <w:r>
        <w:rPr>
          <w:rFonts w:hint="eastAsia" w:ascii="宋体" w:hAnsi="宋体" w:eastAsia="宋体" w:cs="宋体"/>
          <w:color w:val="auto"/>
          <w:sz w:val="24"/>
          <w:szCs w:val="24"/>
          <w:highlight w:val="none"/>
          <w:lang w:val="zh-CN"/>
        </w:rPr>
        <w:t>本项目</w:t>
      </w:r>
      <w:r>
        <w:rPr>
          <w:rFonts w:hint="eastAsia" w:ascii="宋体" w:hAnsi="宋体" w:eastAsia="宋体" w:cs="宋体"/>
          <w:color w:val="auto"/>
          <w:sz w:val="24"/>
          <w:szCs w:val="24"/>
          <w:highlight w:val="none"/>
          <w:lang w:val="en-US" w:eastAsia="zh-CN"/>
        </w:rPr>
        <w:t>服务</w:t>
      </w:r>
      <w:r>
        <w:rPr>
          <w:rFonts w:hint="eastAsia" w:ascii="宋体" w:hAnsi="宋体" w:eastAsia="宋体" w:cs="宋体"/>
          <w:color w:val="auto"/>
          <w:sz w:val="24"/>
          <w:szCs w:val="24"/>
          <w:highlight w:val="none"/>
          <w:lang w:val="zh-CN"/>
        </w:rPr>
        <w:t>期为</w:t>
      </w:r>
      <w:r>
        <w:rPr>
          <w:rFonts w:hint="eastAsia" w:ascii="宋体" w:hAnsi="宋体" w:eastAsia="宋体" w:cs="宋体"/>
          <w:color w:val="auto"/>
          <w:sz w:val="24"/>
          <w:szCs w:val="24"/>
          <w:highlight w:val="none"/>
          <w:u w:val="single"/>
          <w:lang w:val="zh-CN"/>
        </w:rPr>
        <w:t>开始工作至本项目工程结束（具体随工程项目进展调整）</w:t>
      </w:r>
      <w:r>
        <w:rPr>
          <w:rFonts w:hint="eastAsia" w:ascii="宋体" w:hAnsi="宋体" w:eastAsia="宋体" w:cs="宋体"/>
          <w:color w:val="auto"/>
          <w:sz w:val="24"/>
          <w:szCs w:val="24"/>
          <w:highlight w:val="none"/>
          <w:lang w:val="zh-CN"/>
        </w:rPr>
        <w:t>。</w:t>
      </w:r>
    </w:p>
    <w:p w14:paraId="44575D9E">
      <w:pPr>
        <w:numPr>
          <w:ilvl w:val="0"/>
          <w:numId w:val="2"/>
        </w:num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服务内容与质量标准</w:t>
      </w:r>
    </w:p>
    <w:tbl>
      <w:tblPr>
        <w:tblStyle w:val="23"/>
        <w:tblW w:w="8589" w:type="dxa"/>
        <w:jc w:val="center"/>
        <w:tblLayout w:type="fixed"/>
        <w:tblCellMar>
          <w:top w:w="0" w:type="dxa"/>
          <w:left w:w="0" w:type="dxa"/>
          <w:bottom w:w="0" w:type="dxa"/>
          <w:right w:w="0" w:type="dxa"/>
        </w:tblCellMar>
      </w:tblPr>
      <w:tblGrid>
        <w:gridCol w:w="756"/>
        <w:gridCol w:w="1558"/>
        <w:gridCol w:w="2075"/>
        <w:gridCol w:w="1317"/>
        <w:gridCol w:w="1266"/>
        <w:gridCol w:w="1617"/>
      </w:tblGrid>
      <w:tr w14:paraId="3A27ED43">
        <w:tblPrEx>
          <w:tblCellMar>
            <w:top w:w="0" w:type="dxa"/>
            <w:left w:w="0" w:type="dxa"/>
            <w:bottom w:w="0" w:type="dxa"/>
            <w:right w:w="0" w:type="dxa"/>
          </w:tblCellMar>
        </w:tblPrEx>
        <w:trPr>
          <w:trHeight w:val="850" w:hRule="exact"/>
          <w:jc w:val="center"/>
        </w:trPr>
        <w:tc>
          <w:tcPr>
            <w:tcW w:w="756" w:type="dxa"/>
            <w:tcBorders>
              <w:top w:val="single" w:color="000000" w:sz="4" w:space="0"/>
              <w:left w:val="single" w:color="000000" w:sz="4" w:space="0"/>
              <w:bottom w:val="single" w:color="000000" w:sz="4" w:space="0"/>
              <w:right w:val="single" w:color="000000" w:sz="4" w:space="0"/>
            </w:tcBorders>
            <w:noWrap w:val="0"/>
            <w:vAlign w:val="center"/>
          </w:tcPr>
          <w:p w14:paraId="3077B266">
            <w:pPr>
              <w:pStyle w:val="7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558" w:type="dxa"/>
            <w:tcBorders>
              <w:top w:val="single" w:color="000000" w:sz="4" w:space="0"/>
              <w:left w:val="single" w:color="000000" w:sz="4" w:space="0"/>
              <w:bottom w:val="single" w:color="000000" w:sz="4" w:space="0"/>
              <w:right w:val="single" w:color="000000" w:sz="4" w:space="0"/>
            </w:tcBorders>
            <w:noWrap w:val="0"/>
            <w:vAlign w:val="center"/>
          </w:tcPr>
          <w:p w14:paraId="36EAD9B2">
            <w:pPr>
              <w:pStyle w:val="7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采购项目</w:t>
            </w:r>
          </w:p>
        </w:tc>
        <w:tc>
          <w:tcPr>
            <w:tcW w:w="2075" w:type="dxa"/>
            <w:tcBorders>
              <w:top w:val="single" w:color="000000" w:sz="4" w:space="0"/>
              <w:left w:val="single" w:color="000000" w:sz="4" w:space="0"/>
              <w:bottom w:val="single" w:color="000000" w:sz="4" w:space="0"/>
              <w:right w:val="single" w:color="000000" w:sz="4" w:space="0"/>
            </w:tcBorders>
            <w:noWrap w:val="0"/>
            <w:vAlign w:val="center"/>
          </w:tcPr>
          <w:p w14:paraId="4B8B72D3">
            <w:pPr>
              <w:pStyle w:val="75"/>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服务内容</w:t>
            </w:r>
          </w:p>
        </w:tc>
        <w:tc>
          <w:tcPr>
            <w:tcW w:w="1317" w:type="dxa"/>
            <w:tcBorders>
              <w:top w:val="single" w:color="000000" w:sz="4" w:space="0"/>
              <w:left w:val="single" w:color="000000" w:sz="4" w:space="0"/>
              <w:bottom w:val="single" w:color="000000" w:sz="4" w:space="0"/>
              <w:right w:val="single" w:color="000000" w:sz="4" w:space="0"/>
            </w:tcBorders>
            <w:noWrap w:val="0"/>
            <w:vAlign w:val="center"/>
          </w:tcPr>
          <w:p w14:paraId="065C9ECE">
            <w:pPr>
              <w:pStyle w:val="7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4EB9F2EA">
            <w:pPr>
              <w:pStyle w:val="7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c>
          <w:tcPr>
            <w:tcW w:w="1617" w:type="dxa"/>
            <w:tcBorders>
              <w:top w:val="single" w:color="000000" w:sz="4" w:space="0"/>
              <w:left w:val="single" w:color="000000" w:sz="4" w:space="0"/>
              <w:bottom w:val="single" w:color="000000" w:sz="4" w:space="0"/>
              <w:right w:val="single" w:color="000000" w:sz="4" w:space="0"/>
            </w:tcBorders>
            <w:noWrap w:val="0"/>
            <w:vAlign w:val="center"/>
          </w:tcPr>
          <w:p w14:paraId="62B93C36">
            <w:pPr>
              <w:pStyle w:val="75"/>
              <w:spacing w:before="90"/>
              <w:ind w:left="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合价（元）</w:t>
            </w:r>
          </w:p>
        </w:tc>
      </w:tr>
      <w:tr w14:paraId="62149AA6">
        <w:tblPrEx>
          <w:tblCellMar>
            <w:top w:w="0" w:type="dxa"/>
            <w:left w:w="0" w:type="dxa"/>
            <w:bottom w:w="0" w:type="dxa"/>
            <w:right w:w="0" w:type="dxa"/>
          </w:tblCellMar>
        </w:tblPrEx>
        <w:trPr>
          <w:trHeight w:val="919" w:hRule="exact"/>
          <w:jc w:val="center"/>
        </w:trPr>
        <w:tc>
          <w:tcPr>
            <w:tcW w:w="756" w:type="dxa"/>
            <w:tcBorders>
              <w:top w:val="single" w:color="000000" w:sz="4" w:space="0"/>
              <w:left w:val="single" w:color="000000" w:sz="4" w:space="0"/>
              <w:bottom w:val="single" w:color="000000" w:sz="4" w:space="0"/>
              <w:right w:val="single" w:color="000000" w:sz="4" w:space="0"/>
            </w:tcBorders>
            <w:noWrap w:val="0"/>
            <w:vAlign w:val="center"/>
          </w:tcPr>
          <w:p w14:paraId="53A91E9C">
            <w:pPr>
              <w:pStyle w:val="75"/>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1558" w:type="dxa"/>
            <w:vMerge w:val="restart"/>
            <w:tcBorders>
              <w:top w:val="single" w:color="000000" w:sz="4" w:space="0"/>
              <w:left w:val="single" w:color="000000" w:sz="4" w:space="0"/>
              <w:right w:val="single" w:color="000000" w:sz="4" w:space="0"/>
            </w:tcBorders>
            <w:noWrap w:val="0"/>
            <w:vAlign w:val="center"/>
          </w:tcPr>
          <w:p w14:paraId="38E9C567">
            <w:pPr>
              <w:pStyle w:val="7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none"/>
              </w:rPr>
              <w:t>旬邑县养老中心服务设施提升改造项目基坑变形监测及主体沉降观测</w:t>
            </w:r>
          </w:p>
        </w:tc>
        <w:tc>
          <w:tcPr>
            <w:tcW w:w="2075" w:type="dxa"/>
            <w:tcBorders>
              <w:top w:val="single" w:color="000000" w:sz="4" w:space="0"/>
              <w:left w:val="single" w:color="000000" w:sz="4" w:space="0"/>
              <w:bottom w:val="single" w:color="000000" w:sz="4" w:space="0"/>
              <w:right w:val="single" w:color="000000" w:sz="4" w:space="0"/>
            </w:tcBorders>
            <w:noWrap w:val="0"/>
            <w:vAlign w:val="center"/>
          </w:tcPr>
          <w:p w14:paraId="4BB73104">
            <w:pPr>
              <w:pStyle w:val="75"/>
              <w:spacing w:line="367" w:lineRule="auto"/>
              <w:ind w:left="103" w:right="-5"/>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基坑变形监测</w:t>
            </w:r>
          </w:p>
        </w:tc>
        <w:tc>
          <w:tcPr>
            <w:tcW w:w="1317" w:type="dxa"/>
            <w:tcBorders>
              <w:top w:val="single" w:color="000000" w:sz="4" w:space="0"/>
              <w:left w:val="single" w:color="000000" w:sz="4" w:space="0"/>
              <w:bottom w:val="single" w:color="000000" w:sz="4" w:space="0"/>
              <w:right w:val="single" w:color="000000" w:sz="4" w:space="0"/>
            </w:tcBorders>
            <w:noWrap w:val="0"/>
            <w:vAlign w:val="center"/>
          </w:tcPr>
          <w:p w14:paraId="3054A207">
            <w:pPr>
              <w:pStyle w:val="75"/>
              <w:jc w:val="center"/>
              <w:rPr>
                <w:rFonts w:hint="eastAsia" w:ascii="宋体" w:hAnsi="宋体" w:eastAsia="宋体" w:cs="宋体"/>
                <w:color w:val="auto"/>
                <w:sz w:val="24"/>
                <w:szCs w:val="24"/>
                <w:highlight w:val="none"/>
              </w:rPr>
            </w:pP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078C9AC1">
            <w:pPr>
              <w:jc w:val="center"/>
              <w:rPr>
                <w:rFonts w:hint="eastAsia" w:ascii="宋体" w:hAnsi="宋体" w:eastAsia="宋体" w:cs="宋体"/>
                <w:color w:val="auto"/>
                <w:sz w:val="24"/>
                <w:szCs w:val="24"/>
                <w:highlight w:val="none"/>
              </w:rPr>
            </w:pPr>
          </w:p>
        </w:tc>
        <w:tc>
          <w:tcPr>
            <w:tcW w:w="1617" w:type="dxa"/>
            <w:tcBorders>
              <w:top w:val="single" w:color="000000" w:sz="4" w:space="0"/>
              <w:left w:val="single" w:color="000000" w:sz="4" w:space="0"/>
              <w:bottom w:val="single" w:color="000000" w:sz="4" w:space="0"/>
              <w:right w:val="single" w:color="000000" w:sz="4" w:space="0"/>
            </w:tcBorders>
            <w:noWrap w:val="0"/>
            <w:vAlign w:val="center"/>
          </w:tcPr>
          <w:p w14:paraId="46565BB1">
            <w:pPr>
              <w:jc w:val="center"/>
              <w:rPr>
                <w:rFonts w:hint="eastAsia" w:ascii="宋体" w:hAnsi="宋体" w:eastAsia="宋体" w:cs="宋体"/>
                <w:color w:val="auto"/>
                <w:sz w:val="24"/>
                <w:szCs w:val="24"/>
                <w:highlight w:val="none"/>
              </w:rPr>
            </w:pPr>
          </w:p>
        </w:tc>
      </w:tr>
      <w:tr w14:paraId="27640C77">
        <w:tblPrEx>
          <w:tblCellMar>
            <w:top w:w="0" w:type="dxa"/>
            <w:left w:w="0" w:type="dxa"/>
            <w:bottom w:w="0" w:type="dxa"/>
            <w:right w:w="0" w:type="dxa"/>
          </w:tblCellMar>
        </w:tblPrEx>
        <w:trPr>
          <w:trHeight w:val="1084" w:hRule="exact"/>
          <w:jc w:val="center"/>
        </w:trPr>
        <w:tc>
          <w:tcPr>
            <w:tcW w:w="756" w:type="dxa"/>
            <w:tcBorders>
              <w:top w:val="single" w:color="000000" w:sz="4" w:space="0"/>
              <w:left w:val="single" w:color="000000" w:sz="4" w:space="0"/>
              <w:bottom w:val="single" w:color="000000" w:sz="4" w:space="0"/>
              <w:right w:val="single" w:color="000000" w:sz="4" w:space="0"/>
            </w:tcBorders>
            <w:noWrap w:val="0"/>
            <w:vAlign w:val="center"/>
          </w:tcPr>
          <w:p w14:paraId="24590455">
            <w:pPr>
              <w:pStyle w:val="75"/>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1558" w:type="dxa"/>
            <w:vMerge w:val="continue"/>
            <w:tcBorders>
              <w:left w:val="single" w:color="000000" w:sz="4" w:space="0"/>
              <w:bottom w:val="single" w:color="000000" w:sz="4" w:space="0"/>
              <w:right w:val="single" w:color="000000" w:sz="4" w:space="0"/>
            </w:tcBorders>
            <w:noWrap w:val="0"/>
            <w:vAlign w:val="center"/>
          </w:tcPr>
          <w:p w14:paraId="2E9FFC85">
            <w:pPr>
              <w:pStyle w:val="75"/>
              <w:jc w:val="center"/>
              <w:rPr>
                <w:rFonts w:hint="eastAsia" w:ascii="宋体" w:hAnsi="宋体" w:eastAsia="宋体" w:cs="宋体"/>
                <w:color w:val="auto"/>
                <w:sz w:val="24"/>
                <w:szCs w:val="24"/>
                <w:highlight w:val="none"/>
              </w:rPr>
            </w:pPr>
          </w:p>
        </w:tc>
        <w:tc>
          <w:tcPr>
            <w:tcW w:w="2075" w:type="dxa"/>
            <w:tcBorders>
              <w:top w:val="single" w:color="000000" w:sz="4" w:space="0"/>
              <w:left w:val="single" w:color="000000" w:sz="4" w:space="0"/>
              <w:bottom w:val="single" w:color="000000" w:sz="4" w:space="0"/>
              <w:right w:val="single" w:color="000000" w:sz="4" w:space="0"/>
            </w:tcBorders>
            <w:noWrap w:val="0"/>
            <w:vAlign w:val="center"/>
          </w:tcPr>
          <w:p w14:paraId="208CBAC0">
            <w:pPr>
              <w:pStyle w:val="75"/>
              <w:spacing w:line="367" w:lineRule="auto"/>
              <w:ind w:left="103" w:right="-5"/>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主体沉降观测</w:t>
            </w:r>
          </w:p>
        </w:tc>
        <w:tc>
          <w:tcPr>
            <w:tcW w:w="1317" w:type="dxa"/>
            <w:tcBorders>
              <w:top w:val="single" w:color="000000" w:sz="4" w:space="0"/>
              <w:left w:val="single" w:color="000000" w:sz="4" w:space="0"/>
              <w:bottom w:val="single" w:color="000000" w:sz="4" w:space="0"/>
              <w:right w:val="single" w:color="000000" w:sz="4" w:space="0"/>
            </w:tcBorders>
            <w:noWrap w:val="0"/>
            <w:vAlign w:val="center"/>
          </w:tcPr>
          <w:p w14:paraId="53D81156">
            <w:pPr>
              <w:pStyle w:val="75"/>
              <w:jc w:val="center"/>
              <w:rPr>
                <w:rFonts w:hint="eastAsia" w:ascii="宋体" w:hAnsi="宋体" w:eastAsia="宋体" w:cs="宋体"/>
                <w:color w:val="auto"/>
                <w:sz w:val="24"/>
                <w:szCs w:val="24"/>
                <w:highlight w:val="none"/>
              </w:rPr>
            </w:pP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3AC9F1B4">
            <w:pPr>
              <w:jc w:val="center"/>
              <w:rPr>
                <w:rFonts w:hint="eastAsia" w:ascii="宋体" w:hAnsi="宋体" w:eastAsia="宋体" w:cs="宋体"/>
                <w:color w:val="auto"/>
                <w:sz w:val="24"/>
                <w:szCs w:val="24"/>
                <w:highlight w:val="none"/>
              </w:rPr>
            </w:pPr>
          </w:p>
        </w:tc>
        <w:tc>
          <w:tcPr>
            <w:tcW w:w="1617" w:type="dxa"/>
            <w:tcBorders>
              <w:top w:val="single" w:color="000000" w:sz="4" w:space="0"/>
              <w:left w:val="single" w:color="000000" w:sz="4" w:space="0"/>
              <w:bottom w:val="single" w:color="000000" w:sz="4" w:space="0"/>
              <w:right w:val="single" w:color="000000" w:sz="4" w:space="0"/>
            </w:tcBorders>
            <w:noWrap w:val="0"/>
            <w:vAlign w:val="center"/>
          </w:tcPr>
          <w:p w14:paraId="3ADF5A95">
            <w:pPr>
              <w:jc w:val="center"/>
              <w:rPr>
                <w:rFonts w:hint="eastAsia" w:ascii="宋体" w:hAnsi="宋体" w:eastAsia="宋体" w:cs="宋体"/>
                <w:color w:val="auto"/>
                <w:sz w:val="24"/>
                <w:szCs w:val="24"/>
                <w:highlight w:val="none"/>
              </w:rPr>
            </w:pPr>
          </w:p>
        </w:tc>
      </w:tr>
      <w:tr w14:paraId="78EA83EF">
        <w:tblPrEx>
          <w:tblCellMar>
            <w:top w:w="0" w:type="dxa"/>
            <w:left w:w="0" w:type="dxa"/>
            <w:bottom w:w="0" w:type="dxa"/>
            <w:right w:w="0" w:type="dxa"/>
          </w:tblCellMar>
        </w:tblPrEx>
        <w:trPr>
          <w:trHeight w:val="439" w:hRule="exact"/>
          <w:jc w:val="center"/>
        </w:trPr>
        <w:tc>
          <w:tcPr>
            <w:tcW w:w="8589" w:type="dxa"/>
            <w:gridSpan w:val="6"/>
            <w:tcBorders>
              <w:top w:val="single" w:color="000000" w:sz="4" w:space="0"/>
              <w:left w:val="single" w:color="000000" w:sz="4" w:space="0"/>
              <w:bottom w:val="single" w:color="000000" w:sz="4" w:space="0"/>
              <w:right w:val="single" w:color="000000" w:sz="4" w:space="0"/>
            </w:tcBorders>
            <w:noWrap w:val="0"/>
            <w:vAlign w:val="top"/>
          </w:tcPr>
          <w:p w14:paraId="1D257F11">
            <w:pPr>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合计：</w:t>
            </w:r>
          </w:p>
        </w:tc>
      </w:tr>
    </w:tbl>
    <w:p w14:paraId="5D63AA3F">
      <w:pPr>
        <w:numPr>
          <w:ilvl w:val="0"/>
          <w:numId w:val="0"/>
        </w:numPr>
        <w:spacing w:line="360" w:lineRule="auto"/>
        <w:ind w:left="426" w:leftChars="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质量标准：</w:t>
      </w:r>
    </w:p>
    <w:p w14:paraId="13A18168">
      <w:pPr>
        <w:numPr>
          <w:ilvl w:val="0"/>
          <w:numId w:val="2"/>
        </w:num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服务费用</w:t>
      </w:r>
    </w:p>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p w14:paraId="0A131E2F">
      <w:pPr>
        <w:pStyle w:val="74"/>
        <w:numPr>
          <w:ilvl w:val="0"/>
          <w:numId w:val="3"/>
        </w:numPr>
        <w:spacing w:line="360" w:lineRule="auto"/>
        <w:ind w:firstLine="439" w:firstLineChars="18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总</w:t>
      </w:r>
      <w:r>
        <w:rPr>
          <w:rFonts w:hint="eastAsia" w:ascii="宋体" w:hAnsi="宋体" w:eastAsia="宋体" w:cs="宋体"/>
          <w:color w:val="auto"/>
          <w:sz w:val="24"/>
          <w:szCs w:val="24"/>
          <w:highlight w:val="none"/>
        </w:rPr>
        <w:t>报价：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w:t>
      </w:r>
    </w:p>
    <w:p w14:paraId="74BE2E07">
      <w:pPr>
        <w:pStyle w:val="74"/>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Cs w:val="21"/>
          <w:lang w:val="en-US" w:eastAsia="zh-CN"/>
        </w:rPr>
        <w:t>基坑变形监测报价：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w:t>
      </w:r>
    </w:p>
    <w:p w14:paraId="7AD1518F">
      <w:pPr>
        <w:pStyle w:val="74"/>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Cs w:val="21"/>
          <w:lang w:val="en-US" w:eastAsia="zh-CN"/>
        </w:rPr>
        <w:t>主体沉降观测报价：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w:t>
      </w:r>
    </w:p>
    <w:p w14:paraId="4933110C">
      <w:pPr>
        <w:pStyle w:val="74"/>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注：总</w:t>
      </w:r>
      <w:r>
        <w:rPr>
          <w:rFonts w:hint="eastAsia" w:ascii="宋体" w:hAnsi="宋体" w:eastAsia="宋体" w:cs="宋体"/>
          <w:color w:val="auto"/>
          <w:sz w:val="24"/>
          <w:szCs w:val="24"/>
          <w:highlight w:val="none"/>
        </w:rPr>
        <w:t>报价</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Cs w:val="21"/>
          <w:lang w:val="en-US" w:eastAsia="zh-CN"/>
        </w:rPr>
        <w:t>基坑变形监测报价+主体沉降观测报价</w:t>
      </w:r>
    </w:p>
    <w:p w14:paraId="154B5238">
      <w:pPr>
        <w:pStyle w:val="74"/>
        <w:spacing w:line="360" w:lineRule="auto"/>
        <w:ind w:firstLine="439" w:firstLineChars="183"/>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2、本合同执行期间主体沉降观测报价费用不变，甲方无须另向乙方支付本合同规定之外的其他任何费用。</w:t>
      </w:r>
      <w:r>
        <w:rPr>
          <w:rFonts w:hint="eastAsia" w:ascii="宋体" w:hAnsi="宋体" w:eastAsia="宋体" w:cs="宋体"/>
          <w:color w:val="auto"/>
          <w:szCs w:val="21"/>
          <w:lang w:val="en-US" w:eastAsia="zh-CN"/>
        </w:rPr>
        <w:t>基坑变形监测费用按照合同约定执行。</w:t>
      </w:r>
    </w:p>
    <w:p w14:paraId="105D50F4">
      <w:pPr>
        <w:spacing w:line="360" w:lineRule="auto"/>
        <w:ind w:firstLine="472" w:firstLineChars="196"/>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第四条  支付方式 </w:t>
      </w:r>
    </w:p>
    <w:p w14:paraId="6ABFF593">
      <w:pPr>
        <w:tabs>
          <w:tab w:val="left" w:pos="1440"/>
        </w:tabs>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甲、乙双方签订合同后，乙方提交中期资料后支付合同额30%，提交最终报告后支付剩余尾款，付款前乙方须向甲方提供付款金额的等额发票，基坑变形监测工期预计为8个月，监测工期超过1个月以内，按照合同中基坑变形监测报价结算，超过预计监测工期1个月以上，由甲乙双方协商。</w:t>
      </w:r>
    </w:p>
    <w:p w14:paraId="56522A88">
      <w:pPr>
        <w:spacing w:line="360" w:lineRule="auto"/>
        <w:ind w:left="426"/>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第五条   知识产权 </w:t>
      </w:r>
    </w:p>
    <w:p w14:paraId="2D401C4F">
      <w:pPr>
        <w:tabs>
          <w:tab w:val="left" w:pos="1440"/>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乙方应保证所提供的服务或其任何一部分均不会侵犯任何第三方的专利权、商标权等知识产权。</w:t>
      </w:r>
    </w:p>
    <w:p w14:paraId="3270AF64">
      <w:pPr>
        <w:spacing w:line="360" w:lineRule="auto"/>
        <w:ind w:left="426"/>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第六条  无产权瑕疵条款 </w:t>
      </w:r>
    </w:p>
    <w:p w14:paraId="553C237D">
      <w:pPr>
        <w:tabs>
          <w:tab w:val="left" w:pos="1440"/>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乙方保证所提供的软件及服务的所有权完全属于乙方且无任何抵押、查封等产权瑕疵。如有产权瑕疵的，视为乙方违约。乙方应负担由此而产生的一切损失。</w:t>
      </w:r>
    </w:p>
    <w:p w14:paraId="2201876D">
      <w:pPr>
        <w:widowControl/>
        <w:spacing w:line="360" w:lineRule="auto"/>
        <w:ind w:firstLine="482" w:firstLineChars="200"/>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第七条   履约保证金</w:t>
      </w:r>
    </w:p>
    <w:p w14:paraId="02B54951">
      <w:pPr>
        <w:widowControl/>
        <w:spacing w:line="360" w:lineRule="auto"/>
        <w:ind w:firstLine="480" w:firstLineChars="200"/>
        <w:jc w:val="left"/>
        <w:rPr>
          <w:rFonts w:hint="eastAsia" w:ascii="宋体" w:hAnsi="宋体" w:eastAsia="宋体" w:cs="宋体"/>
          <w:b/>
          <w:color w:val="auto"/>
          <w:sz w:val="24"/>
          <w:szCs w:val="24"/>
          <w:highlight w:val="none"/>
        </w:rPr>
      </w:pPr>
      <w:r>
        <w:rPr>
          <w:rFonts w:hint="eastAsia" w:ascii="宋体" w:hAnsi="宋体" w:eastAsia="宋体" w:cs="宋体"/>
          <w:color w:val="auto"/>
          <w:kern w:val="0"/>
          <w:sz w:val="24"/>
          <w:szCs w:val="24"/>
          <w:highlight w:val="none"/>
        </w:rPr>
        <w:t>1、乙方在签订本合同之前，向甲方提交履约保证金人民币</w:t>
      </w:r>
      <w:r>
        <w:rPr>
          <w:rFonts w:hint="eastAsia" w:ascii="宋体" w:hAnsi="宋体" w:eastAsia="宋体" w:cs="宋体"/>
          <w:color w:val="auto"/>
          <w:kern w:val="0"/>
          <w:sz w:val="24"/>
          <w:szCs w:val="24"/>
          <w:highlight w:val="none"/>
          <w:u w:val="single"/>
        </w:rPr>
        <w:t>/</w:t>
      </w:r>
      <w:r>
        <w:rPr>
          <w:rFonts w:hint="eastAsia" w:ascii="宋体" w:hAnsi="宋体" w:eastAsia="宋体" w:cs="宋体"/>
          <w:color w:val="auto"/>
          <w:kern w:val="0"/>
          <w:sz w:val="24"/>
          <w:szCs w:val="24"/>
          <w:highlight w:val="none"/>
        </w:rPr>
        <w:t>元，￥</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 xml:space="preserve"> 元。</w:t>
      </w:r>
    </w:p>
    <w:p w14:paraId="69101337">
      <w:pPr>
        <w:widowControl/>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color w:val="auto"/>
          <w:kern w:val="0"/>
          <w:sz w:val="24"/>
          <w:szCs w:val="24"/>
          <w:highlight w:val="none"/>
        </w:rPr>
        <w:t>履约保证金的有效期为乙方承诺的服务期限。</w:t>
      </w:r>
    </w:p>
    <w:p w14:paraId="3DB92300">
      <w:pPr>
        <w:adjustRightInd w:val="0"/>
        <w:spacing w:line="360" w:lineRule="auto"/>
        <w:ind w:firstLine="480" w:firstLineChars="200"/>
        <w:jc w:val="left"/>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3、履约保证金作为违约金的一部分及用于补偿甲方因乙方不能履行合同义务而蒙受的损失。</w:t>
      </w:r>
    </w:p>
    <w:p w14:paraId="7BE770BE">
      <w:pPr>
        <w:widowControl/>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4、</w:t>
      </w:r>
      <w:r>
        <w:rPr>
          <w:rFonts w:hint="eastAsia" w:ascii="宋体" w:hAnsi="宋体" w:eastAsia="宋体" w:cs="宋体"/>
          <w:color w:val="auto"/>
          <w:sz w:val="24"/>
          <w:szCs w:val="24"/>
          <w:highlight w:val="none"/>
        </w:rPr>
        <w:t>服务期限结束后，甲方财务部门接到甲方确认本合同服务等约定事项已经履行完毕的正式书面文件后的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日内，向乙方退还履约保证金。</w:t>
      </w:r>
    </w:p>
    <w:p w14:paraId="50114899">
      <w:pPr>
        <w:widowControl/>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5、乙方可以履约担保函的形式交纳履约保证金。</w:t>
      </w:r>
    </w:p>
    <w:p w14:paraId="5F4BC43A">
      <w:pPr>
        <w:spacing w:line="360" w:lineRule="auto"/>
        <w:ind w:left="426"/>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第八条  甲方的权利和义务</w:t>
      </w:r>
    </w:p>
    <w:p w14:paraId="1EBA772D">
      <w:pPr>
        <w:adjustRightInd w:val="0"/>
        <w:spacing w:line="360" w:lineRule="auto"/>
        <w:ind w:firstLine="480" w:firstLineChars="200"/>
        <w:jc w:val="left"/>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1、甲方有权对合同规定范围内乙方的服务行为进行监督和检查，拥有监管权。有权定期核对乙方提供服务所配备的人员数量。对甲方认为不合理的部分有权下达整改通知书，并要求乙方限期整改。</w:t>
      </w:r>
    </w:p>
    <w:p w14:paraId="1F8B715F">
      <w:pPr>
        <w:adjustRightInd w:val="0"/>
        <w:spacing w:line="360" w:lineRule="auto"/>
        <w:ind w:firstLine="480" w:firstLineChars="200"/>
        <w:jc w:val="left"/>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2、甲方有权依据双方签订的考评办法对乙方提供的服务进行定期考评。</w:t>
      </w:r>
    </w:p>
    <w:p w14:paraId="3796320E">
      <w:pPr>
        <w:adjustRightInd w:val="0"/>
        <w:spacing w:line="360" w:lineRule="auto"/>
        <w:ind w:firstLine="480" w:firstLineChars="200"/>
        <w:jc w:val="left"/>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3、负责检查监督乙方管理工作的实施及制度的执行情况。</w:t>
      </w:r>
    </w:p>
    <w:p w14:paraId="68BF8A4E">
      <w:pPr>
        <w:adjustRightInd w:val="0"/>
        <w:spacing w:line="360" w:lineRule="auto"/>
        <w:ind w:firstLine="480" w:firstLineChars="200"/>
        <w:jc w:val="left"/>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4、根据本合同规定，按时向乙方支付应付服务费用。</w:t>
      </w:r>
    </w:p>
    <w:p w14:paraId="5B74B212">
      <w:pPr>
        <w:adjustRightInd w:val="0"/>
        <w:spacing w:line="360" w:lineRule="auto"/>
        <w:ind w:firstLine="480" w:firstLineChars="200"/>
        <w:jc w:val="left"/>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5、国家法律、法规所规定由甲方承担的其它责任。</w:t>
      </w:r>
    </w:p>
    <w:p w14:paraId="7CE44CA3">
      <w:pPr>
        <w:spacing w:line="360" w:lineRule="auto"/>
        <w:ind w:left="426"/>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第九条  乙方的权利和义务 </w:t>
      </w:r>
    </w:p>
    <w:p w14:paraId="3344467D">
      <w:pPr>
        <w:adjustRightInd w:val="0"/>
        <w:spacing w:line="360" w:lineRule="auto"/>
        <w:ind w:firstLine="480" w:firstLineChars="200"/>
        <w:jc w:val="left"/>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1、对本合同规定的委托服务范围内的项目享有管理权及服务义务。</w:t>
      </w:r>
    </w:p>
    <w:p w14:paraId="2AC48465">
      <w:pPr>
        <w:adjustRightInd w:val="0"/>
        <w:spacing w:line="360" w:lineRule="auto"/>
        <w:ind w:firstLine="480" w:firstLineChars="200"/>
        <w:jc w:val="left"/>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2、根据本合同的规定向甲方收取相关服务费用，并有权在本项目管理范围内管理及合理使用。</w:t>
      </w:r>
    </w:p>
    <w:p w14:paraId="0FB77EB4">
      <w:pPr>
        <w:adjustRightInd w:val="0"/>
        <w:spacing w:line="360" w:lineRule="auto"/>
        <w:ind w:firstLine="480" w:firstLineChars="20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3、及时向甲方通告本项目服务范围内有关服务的重大事项，及时配合处理投诉。</w:t>
      </w:r>
    </w:p>
    <w:p w14:paraId="42CB8790">
      <w:pPr>
        <w:adjustRightInd w:val="0"/>
        <w:spacing w:line="360" w:lineRule="auto"/>
        <w:ind w:firstLine="480" w:firstLineChars="200"/>
        <w:jc w:val="left"/>
        <w:textAlignment w:val="baseline"/>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bCs/>
          <w:color w:val="auto"/>
          <w:sz w:val="24"/>
          <w:szCs w:val="24"/>
          <w:highlight w:val="none"/>
        </w:rPr>
        <w:t>接受项目行业管理部门及政府有关部门的指导，接受甲方的监督。</w:t>
      </w:r>
    </w:p>
    <w:p w14:paraId="4785EA7A">
      <w:pPr>
        <w:adjustRightInd w:val="0"/>
        <w:spacing w:line="360" w:lineRule="auto"/>
        <w:ind w:firstLine="480" w:firstLineChars="200"/>
        <w:jc w:val="left"/>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5、国家法律、法规所规定由乙方承担的其它责任。</w:t>
      </w:r>
    </w:p>
    <w:p w14:paraId="4A477BEC">
      <w:pPr>
        <w:spacing w:line="360" w:lineRule="auto"/>
        <w:ind w:left="426"/>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第十条  违约责任 </w:t>
      </w:r>
    </w:p>
    <w:p w14:paraId="5F0EBC9E">
      <w:pPr>
        <w:adjustRightInd w:val="0"/>
        <w:spacing w:line="360" w:lineRule="auto"/>
        <w:ind w:firstLine="480" w:firstLineChars="200"/>
        <w:jc w:val="left"/>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1、甲乙双方必须遵守本合同并执行合同中的各项规定，保证本合同的正常履行。</w:t>
      </w:r>
    </w:p>
    <w:p w14:paraId="00ED1402">
      <w:pPr>
        <w:adjustRightInd w:val="0"/>
        <w:spacing w:line="360" w:lineRule="auto"/>
        <w:ind w:firstLine="480" w:firstLineChars="200"/>
        <w:jc w:val="left"/>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2、乙方履约延误</w:t>
      </w:r>
    </w:p>
    <w:p w14:paraId="00F275CA">
      <w:pPr>
        <w:adjustRightInd w:val="0"/>
        <w:spacing w:line="360" w:lineRule="auto"/>
        <w:ind w:firstLine="480" w:firstLineChars="200"/>
        <w:jc w:val="left"/>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2-1、如乙方事先未征得甲方同意并得到甲方的谅解而单方面延迟服务，将按违约终止合同。</w:t>
      </w:r>
    </w:p>
    <w:p w14:paraId="72F943F9">
      <w:pPr>
        <w:adjustRightInd w:val="0"/>
        <w:spacing w:line="360" w:lineRule="auto"/>
        <w:ind w:firstLine="480" w:firstLineChars="200"/>
        <w:jc w:val="left"/>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-2、在履行合同过程中，如果乙方遇到可能妨碍按时提供服务的情况，应及时以书面形式将拖延的事实，可能拖延的期限和理由通知甲方。甲方在收到乙方通知后，应尽快对情况进行评价，并确定是否通过修改合同，酌情延长交付服务时间或对乙方加收误期赔偿金。每延误一周的赔偿费按未提供服务的服务费用的百分之零点五（0.5%）计收，直至提供服务为止。误期赔偿费的最高限额为合同价格的百分之五（5%）。一旦达到误期赔偿费的最高限额，甲方可终止合同。</w:t>
      </w:r>
    </w:p>
    <w:p w14:paraId="585BB2A1">
      <w:pPr>
        <w:adjustRightInd w:val="0"/>
        <w:spacing w:line="360" w:lineRule="auto"/>
        <w:ind w:firstLine="480" w:firstLineChars="200"/>
        <w:jc w:val="left"/>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3、违约终止合同：未按合同要求提供服务或质量不能满足技术要求，甲方会同监督机构有权终止合同，对乙方违约行为进行追究，同时按政府采购法的有关规定进行相应的处罚。</w:t>
      </w:r>
    </w:p>
    <w:p w14:paraId="041209B3">
      <w:pPr>
        <w:adjustRightInd w:val="0"/>
        <w:spacing w:line="360" w:lineRule="auto"/>
        <w:ind w:firstLine="480" w:firstLineChars="200"/>
        <w:jc w:val="left"/>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如因乙方工作人员在履行职务过程中的的疏忽、失职、过错等故意或者过失原因给甲方造成损失或侵害，包括但不限于甲方本身的财产损失、由此而导致的甲方对任何第三方的法律责任等，乙方对此均应承担全部的赔偿责任。</w:t>
      </w:r>
    </w:p>
    <w:p w14:paraId="2131F070">
      <w:pPr>
        <w:spacing w:line="360" w:lineRule="auto"/>
        <w:ind w:left="426"/>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第十一条  不可抗力事件处理 </w:t>
      </w:r>
    </w:p>
    <w:p w14:paraId="10F6AF27">
      <w:pPr>
        <w:tabs>
          <w:tab w:val="left" w:pos="0"/>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1、在合同有效期内，任何一方因不可抗力事件导致不能履行合同，则合同履行期可延长，其延长期与不可抗力影响期相同。</w:t>
      </w:r>
    </w:p>
    <w:p w14:paraId="60E576D5">
      <w:pPr>
        <w:tabs>
          <w:tab w:val="left" w:pos="0"/>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2、不可抗力事件发生后，应立即通知对方，并寄送有关权威机构出具的证明。</w:t>
      </w:r>
    </w:p>
    <w:p w14:paraId="23A97ACB">
      <w:pPr>
        <w:tabs>
          <w:tab w:val="left" w:pos="0"/>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3、不可抗力事件延续</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天以上，双方应通过友好协商，确定是否继续履行合同。</w:t>
      </w:r>
    </w:p>
    <w:p w14:paraId="6FDE5F09">
      <w:pPr>
        <w:widowControl/>
        <w:spacing w:before="162" w:beforeLines="50" w:after="162" w:afterLines="50" w:line="360" w:lineRule="auto"/>
        <w:ind w:firstLine="482" w:firstLineChars="200"/>
        <w:jc w:val="left"/>
        <w:rPr>
          <w:rFonts w:hint="eastAsia" w:ascii="宋体" w:hAnsi="宋体" w:eastAsia="宋体" w:cs="宋体"/>
          <w:color w:val="auto"/>
          <w:kern w:val="0"/>
          <w:sz w:val="24"/>
          <w:szCs w:val="24"/>
          <w:highlight w:val="none"/>
        </w:rPr>
      </w:pPr>
      <w:bookmarkStart w:id="43" w:name="_Toc237145411"/>
      <w:bookmarkStart w:id="44" w:name="_Toc232492933"/>
      <w:bookmarkStart w:id="45" w:name="_Toc239568423"/>
      <w:bookmarkStart w:id="46" w:name="_Toc211854454"/>
      <w:bookmarkStart w:id="47" w:name="_Toc251768867"/>
      <w:bookmarkStart w:id="48" w:name="_Toc247334846"/>
      <w:bookmarkStart w:id="49" w:name="_Toc212019599"/>
      <w:bookmarkStart w:id="50" w:name="_Toc225670756"/>
      <w:bookmarkStart w:id="51" w:name="_Toc238984980"/>
      <w:bookmarkStart w:id="52" w:name="_Toc225654649"/>
      <w:bookmarkStart w:id="53" w:name="_Toc239233919"/>
      <w:bookmarkStart w:id="54" w:name="_Toc225244857"/>
      <w:bookmarkStart w:id="55" w:name="_Toc241833908"/>
      <w:bookmarkStart w:id="56" w:name="_Toc286993792"/>
      <w:bookmarkStart w:id="57" w:name="_Toc185395254"/>
      <w:bookmarkStart w:id="58" w:name="_Toc211911353"/>
      <w:r>
        <w:rPr>
          <w:rFonts w:hint="eastAsia" w:ascii="宋体" w:hAnsi="宋体" w:eastAsia="宋体" w:cs="宋体"/>
          <w:b/>
          <w:color w:val="auto"/>
          <w:sz w:val="24"/>
          <w:szCs w:val="24"/>
          <w:highlight w:val="none"/>
        </w:rPr>
        <w:t xml:space="preserve">第十二条  </w:t>
      </w:r>
      <w:r>
        <w:rPr>
          <w:rFonts w:hint="eastAsia" w:ascii="宋体" w:hAnsi="宋体" w:eastAsia="宋体" w:cs="宋体"/>
          <w:b/>
          <w:color w:val="auto"/>
          <w:kern w:val="0"/>
          <w:sz w:val="24"/>
          <w:szCs w:val="24"/>
          <w:highlight w:val="none"/>
        </w:rPr>
        <w:t>合同的变更和终止</w:t>
      </w:r>
    </w:p>
    <w:p w14:paraId="40CADFBB">
      <w:pPr>
        <w:widowControl/>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除《中华人民共和国政府采购法》第49条、第50条第二款规定的情形外，本合同一经签订，甲乙双方不得擅自变更、中止或终止合同。</w:t>
      </w:r>
    </w:p>
    <w:p w14:paraId="63C139AA">
      <w:pPr>
        <w:spacing w:line="360" w:lineRule="auto"/>
        <w:ind w:left="426"/>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第十三条  解决合同纠纷的方式</w:t>
      </w:r>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p>
    <w:p w14:paraId="25D6735C">
      <w:pPr>
        <w:pStyle w:val="74"/>
        <w:spacing w:line="360" w:lineRule="auto"/>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1、在执行本合同中发生的或与本合同有关的争端，双方应通过友好协商解决，经协商在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25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天内不能达成协议时，</w:t>
      </w:r>
      <w:r>
        <w:rPr>
          <w:rFonts w:hint="eastAsia" w:ascii="宋体" w:hAnsi="宋体" w:eastAsia="宋体" w:cs="宋体"/>
          <w:color w:val="auto"/>
          <w:kern w:val="0"/>
          <w:sz w:val="24"/>
          <w:szCs w:val="24"/>
          <w:highlight w:val="none"/>
        </w:rPr>
        <w:t>则采取以下第_1_种方式解决争议：</w:t>
      </w:r>
    </w:p>
    <w:p w14:paraId="216DB485">
      <w:pPr>
        <w:pStyle w:val="74"/>
        <w:spacing w:line="360" w:lineRule="auto"/>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（1）向甲方所在地有管辖权的人民法院提起诉讼；</w:t>
      </w:r>
    </w:p>
    <w:p w14:paraId="6EA1D816">
      <w:pPr>
        <w:pStyle w:val="74"/>
        <w:spacing w:line="360" w:lineRule="auto"/>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（2）向</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仲裁委员会按其仲裁规则申请仲裁。</w:t>
      </w:r>
    </w:p>
    <w:p w14:paraId="3C1E1C57">
      <w:pPr>
        <w:tabs>
          <w:tab w:val="left" w:pos="0"/>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2、在仲裁期间，本合同应继续履行。</w:t>
      </w:r>
    </w:p>
    <w:p w14:paraId="24D0E7ED">
      <w:pPr>
        <w:spacing w:line="360" w:lineRule="auto"/>
        <w:ind w:left="426"/>
        <w:rPr>
          <w:rFonts w:hint="eastAsia" w:ascii="宋体" w:hAnsi="宋体" w:eastAsia="宋体" w:cs="宋体"/>
          <w:b/>
          <w:color w:val="auto"/>
          <w:sz w:val="24"/>
          <w:szCs w:val="24"/>
          <w:highlight w:val="none"/>
        </w:rPr>
      </w:pPr>
      <w:bookmarkStart w:id="59" w:name="_Toc241833909"/>
      <w:bookmarkStart w:id="60" w:name="_Toc211854455"/>
      <w:bookmarkStart w:id="61" w:name="_Toc286993793"/>
      <w:bookmarkStart w:id="62" w:name="_Toc238984981"/>
      <w:bookmarkStart w:id="63" w:name="_Toc247334847"/>
      <w:bookmarkStart w:id="64" w:name="_Toc212019600"/>
      <w:bookmarkStart w:id="65" w:name="_Toc225244858"/>
      <w:bookmarkStart w:id="66" w:name="_Toc232492934"/>
      <w:bookmarkStart w:id="67" w:name="_Toc185395255"/>
      <w:bookmarkStart w:id="68" w:name="_Toc225670757"/>
      <w:bookmarkStart w:id="69" w:name="_Toc239233920"/>
      <w:bookmarkStart w:id="70" w:name="_Toc225654650"/>
      <w:bookmarkStart w:id="71" w:name="_Toc251768868"/>
      <w:bookmarkStart w:id="72" w:name="_Toc211911354"/>
      <w:bookmarkStart w:id="73" w:name="_Toc239568424"/>
      <w:bookmarkStart w:id="74" w:name="_Toc282696231"/>
      <w:bookmarkStart w:id="75" w:name="_Toc283019219"/>
      <w:bookmarkStart w:id="76" w:name="_Toc237145412"/>
      <w:r>
        <w:rPr>
          <w:rFonts w:hint="eastAsia" w:ascii="宋体" w:hAnsi="宋体" w:eastAsia="宋体" w:cs="宋体"/>
          <w:b/>
          <w:color w:val="auto"/>
          <w:sz w:val="24"/>
          <w:szCs w:val="24"/>
          <w:highlight w:val="none"/>
        </w:rPr>
        <w:t>第十四条  合同</w:t>
      </w:r>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r>
        <w:rPr>
          <w:rFonts w:hint="eastAsia" w:ascii="宋体" w:hAnsi="宋体" w:eastAsia="宋体" w:cs="宋体"/>
          <w:b/>
          <w:color w:val="auto"/>
          <w:sz w:val="24"/>
          <w:szCs w:val="24"/>
          <w:highlight w:val="none"/>
        </w:rPr>
        <w:t xml:space="preserve">生效及其他 </w:t>
      </w:r>
    </w:p>
    <w:p w14:paraId="59203152">
      <w:pPr>
        <w:pStyle w:val="66"/>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1、合同经双方法定代表人或授权委托代理人签字并加盖单位公章后生效。</w:t>
      </w:r>
    </w:p>
    <w:p w14:paraId="35AD6B82">
      <w:pPr>
        <w:pStyle w:val="66"/>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2、合同执行中涉及采购资金和采购内容修改或补充的，须经政府采购监管部门审批，并签书面补充协议报政府采购监督管理部门备案，方可作为主合同不可分割的一部分。</w:t>
      </w:r>
    </w:p>
    <w:p w14:paraId="1C893D94">
      <w:pPr>
        <w:pStyle w:val="66"/>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3、本合同一式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份，自双方签章之日起起效。甲方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份，乙方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份，具有同等法律效力。</w:t>
      </w:r>
    </w:p>
    <w:p w14:paraId="71479609">
      <w:pPr>
        <w:pStyle w:val="66"/>
        <w:spacing w:line="360" w:lineRule="auto"/>
        <w:ind w:firstLine="480"/>
        <w:rPr>
          <w:rFonts w:hint="eastAsia" w:ascii="宋体" w:hAnsi="宋体" w:eastAsia="宋体" w:cs="宋体"/>
          <w:color w:val="auto"/>
          <w:sz w:val="24"/>
          <w:szCs w:val="24"/>
          <w:highlight w:val="none"/>
        </w:rPr>
      </w:pPr>
    </w:p>
    <w:p w14:paraId="61F78597">
      <w:pPr>
        <w:spacing w:line="360" w:lineRule="auto"/>
        <w:ind w:left="426"/>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第十五条  附件</w:t>
      </w:r>
    </w:p>
    <w:p w14:paraId="4A8E9BFA">
      <w:pPr>
        <w:pStyle w:val="66"/>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1、项目磋商文件</w:t>
      </w:r>
    </w:p>
    <w:p w14:paraId="5125B452">
      <w:pPr>
        <w:pStyle w:val="66"/>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2、项目修改澄清文件</w:t>
      </w:r>
    </w:p>
    <w:p w14:paraId="2569BF59">
      <w:pPr>
        <w:pStyle w:val="66"/>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3、项目磋商响应文件</w:t>
      </w:r>
    </w:p>
    <w:p w14:paraId="45E20BB2">
      <w:pPr>
        <w:pStyle w:val="66"/>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4、成交通知书</w:t>
      </w:r>
    </w:p>
    <w:p w14:paraId="3CD5E0BF">
      <w:pPr>
        <w:pStyle w:val="66"/>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5、其他</w:t>
      </w:r>
    </w:p>
    <w:p w14:paraId="24C00079">
      <w:pPr>
        <w:pStyle w:val="31"/>
        <w:spacing w:before="381" w:after="381" w:line="460" w:lineRule="atLeast"/>
        <w:outlineLvl w:val="0"/>
        <w:rPr>
          <w:rFonts w:hint="eastAsia" w:ascii="宋体" w:hAnsi="宋体" w:eastAsia="宋体" w:cs="宋体"/>
          <w:color w:val="auto"/>
          <w:highlight w:val="none"/>
        </w:rPr>
      </w:pPr>
    </w:p>
    <w:p w14:paraId="7D12838B">
      <w:pPr>
        <w:pStyle w:val="31"/>
        <w:spacing w:before="381" w:after="381" w:line="460" w:lineRule="atLeast"/>
        <w:outlineLvl w:val="0"/>
        <w:rPr>
          <w:rFonts w:hint="eastAsia" w:ascii="宋体" w:hAnsi="宋体" w:eastAsia="宋体" w:cs="宋体"/>
          <w:color w:val="auto"/>
          <w:highlight w:val="none"/>
        </w:rPr>
      </w:pPr>
    </w:p>
    <w:p w14:paraId="3E1176B9">
      <w:pPr>
        <w:pStyle w:val="31"/>
        <w:spacing w:before="381" w:after="381" w:line="460" w:lineRule="atLeast"/>
        <w:outlineLvl w:val="0"/>
        <w:rPr>
          <w:rFonts w:hint="eastAsia" w:ascii="宋体" w:hAnsi="宋体" w:eastAsia="宋体" w:cs="宋体"/>
          <w:color w:val="auto"/>
          <w:highlight w:val="none"/>
        </w:rPr>
      </w:pPr>
    </w:p>
    <w:p w14:paraId="2C054835">
      <w:pPr>
        <w:pStyle w:val="31"/>
        <w:spacing w:before="381" w:after="381" w:line="460" w:lineRule="atLeast"/>
        <w:outlineLvl w:val="0"/>
        <w:rPr>
          <w:rFonts w:hint="eastAsia" w:ascii="宋体" w:hAnsi="宋体" w:eastAsia="宋体" w:cs="宋体"/>
          <w:color w:val="auto"/>
          <w:highlight w:val="none"/>
        </w:rPr>
      </w:pPr>
    </w:p>
    <w:p w14:paraId="0E5508DB">
      <w:pPr>
        <w:pStyle w:val="31"/>
        <w:spacing w:before="381" w:after="381" w:line="460" w:lineRule="atLeast"/>
        <w:outlineLvl w:val="0"/>
        <w:rPr>
          <w:rFonts w:hint="eastAsia" w:ascii="宋体" w:hAnsi="宋体" w:eastAsia="宋体" w:cs="宋体"/>
          <w:color w:val="auto"/>
          <w:highlight w:val="none"/>
        </w:rPr>
      </w:pPr>
    </w:p>
    <w:p w14:paraId="00FC6386">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w:t>
      </w:r>
      <w:r>
        <w:rPr>
          <w:rFonts w:hint="eastAsia" w:ascii="宋体" w:hAnsi="宋体" w:eastAsia="宋体" w:cs="宋体"/>
          <w:b/>
          <w:color w:val="auto"/>
          <w:sz w:val="21"/>
          <w:szCs w:val="21"/>
          <w:highlight w:val="none"/>
          <w:lang w:val="en-US" w:eastAsia="zh-CN"/>
        </w:rPr>
        <w:t>合同签署页，无正文内容</w:t>
      </w:r>
      <w:r>
        <w:rPr>
          <w:rFonts w:hint="eastAsia" w:ascii="宋体" w:hAnsi="宋体" w:eastAsia="宋体" w:cs="宋体"/>
          <w:b/>
          <w:color w:val="auto"/>
          <w:sz w:val="21"/>
          <w:szCs w:val="21"/>
          <w:highlight w:val="none"/>
          <w:lang w:eastAsia="zh-CN"/>
        </w:rPr>
        <w:t>）</w:t>
      </w:r>
    </w:p>
    <w:p w14:paraId="2E4B8323">
      <w:pPr>
        <w:keepNext w:val="0"/>
        <w:keepLines w:val="0"/>
        <w:pageBreakBefore w:val="0"/>
        <w:widowControl w:val="0"/>
        <w:tabs>
          <w:tab w:val="left" w:pos="480"/>
        </w:tabs>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甲  方（公章）</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b/>
          <w:color w:val="auto"/>
          <w:sz w:val="21"/>
          <w:szCs w:val="21"/>
          <w:highlight w:val="none"/>
        </w:rPr>
        <w:t xml:space="preserve">乙  方（公章）         </w:t>
      </w:r>
    </w:p>
    <w:p w14:paraId="3F91677F">
      <w:pPr>
        <w:keepNext w:val="0"/>
        <w:keepLines w:val="0"/>
        <w:pageBreakBefore w:val="0"/>
        <w:widowControl w:val="0"/>
        <w:tabs>
          <w:tab w:val="left" w:pos="480"/>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单位名称：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单位名称：                </w:t>
      </w:r>
    </w:p>
    <w:p w14:paraId="7D9D4E96">
      <w:pPr>
        <w:keepNext w:val="0"/>
        <w:keepLines w:val="0"/>
        <w:pageBreakBefore w:val="0"/>
        <w:widowControl w:val="0"/>
        <w:tabs>
          <w:tab w:val="left" w:pos="480"/>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地    址：               </w:t>
      </w:r>
    </w:p>
    <w:p w14:paraId="3E95BED9">
      <w:pPr>
        <w:keepNext w:val="0"/>
        <w:keepLines w:val="0"/>
        <w:pageBreakBefore w:val="0"/>
        <w:widowControl w:val="0"/>
        <w:tabs>
          <w:tab w:val="left" w:pos="480"/>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 理 人：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代 理 人：              </w:t>
      </w:r>
    </w:p>
    <w:p w14:paraId="2B2F3E81">
      <w:pPr>
        <w:keepNext w:val="0"/>
        <w:keepLines w:val="0"/>
        <w:pageBreakBefore w:val="0"/>
        <w:widowControl w:val="0"/>
        <w:tabs>
          <w:tab w:val="left" w:pos="480"/>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联系电话：               </w:t>
      </w:r>
    </w:p>
    <w:p w14:paraId="198B1536">
      <w:pPr>
        <w:keepNext w:val="0"/>
        <w:keepLines w:val="0"/>
        <w:pageBreakBefore w:val="0"/>
        <w:widowControl w:val="0"/>
        <w:tabs>
          <w:tab w:val="left" w:pos="480"/>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帐    号：</w:t>
      </w:r>
    </w:p>
    <w:p w14:paraId="6B47E35F">
      <w:pPr>
        <w:keepNext w:val="0"/>
        <w:keepLines w:val="0"/>
        <w:pageBreakBefore w:val="0"/>
        <w:widowControl w:val="0"/>
        <w:tabs>
          <w:tab w:val="left" w:pos="480"/>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开户银行： </w:t>
      </w:r>
    </w:p>
    <w:p w14:paraId="7772FD44">
      <w:pPr>
        <w:pStyle w:val="31"/>
        <w:keepNext w:val="0"/>
        <w:keepLines w:val="0"/>
        <w:pageBreakBefore w:val="0"/>
        <w:widowControl w:val="0"/>
        <w:kinsoku/>
        <w:wordWrap/>
        <w:overflowPunct/>
        <w:topLinePunct w:val="0"/>
        <w:autoSpaceDE/>
        <w:autoSpaceDN/>
        <w:bidi w:val="0"/>
        <w:adjustRightInd/>
        <w:snapToGrid/>
        <w:spacing w:before="381" w:after="381" w:line="360" w:lineRule="auto"/>
        <w:textAlignment w:val="auto"/>
        <w:outlineLvl w:val="0"/>
        <w:rPr>
          <w:rFonts w:hint="eastAsia" w:ascii="宋体" w:hAnsi="宋体" w:eastAsia="宋体" w:cs="宋体"/>
          <w:color w:val="auto"/>
          <w:highlight w:val="none"/>
        </w:rPr>
      </w:pPr>
      <w:bookmarkStart w:id="77" w:name="_Toc4549"/>
      <w:bookmarkStart w:id="78" w:name="_Toc18262"/>
      <w:r>
        <w:rPr>
          <w:rFonts w:hint="eastAsia" w:ascii="宋体" w:hAnsi="宋体" w:eastAsia="宋体" w:cs="宋体"/>
          <w:color w:val="auto"/>
          <w:sz w:val="21"/>
          <w:szCs w:val="21"/>
          <w:highlight w:val="none"/>
        </w:rPr>
        <w:t xml:space="preserve">签订日期：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签订日期：</w:t>
      </w:r>
      <w:bookmarkEnd w:id="77"/>
      <w:bookmarkEnd w:id="78"/>
    </w:p>
    <w:p w14:paraId="341F6EB9">
      <w:pPr>
        <w:pStyle w:val="31"/>
        <w:spacing w:before="381" w:after="381" w:line="460" w:lineRule="atLeast"/>
        <w:outlineLvl w:val="0"/>
        <w:rPr>
          <w:rFonts w:hint="eastAsia" w:ascii="宋体" w:hAnsi="宋体" w:eastAsia="宋体" w:cs="宋体"/>
          <w:color w:val="auto"/>
          <w:highlight w:val="none"/>
        </w:rPr>
      </w:pPr>
    </w:p>
    <w:p w14:paraId="173897D1">
      <w:pPr>
        <w:pStyle w:val="31"/>
        <w:spacing w:before="381" w:after="381" w:line="460" w:lineRule="atLeast"/>
        <w:outlineLvl w:val="0"/>
        <w:rPr>
          <w:rFonts w:hint="eastAsia" w:ascii="宋体" w:hAnsi="宋体" w:eastAsia="宋体" w:cs="宋体"/>
          <w:color w:val="auto"/>
          <w:highlight w:val="none"/>
        </w:rPr>
      </w:pPr>
    </w:p>
    <w:p w14:paraId="4E8FF379">
      <w:pPr>
        <w:pStyle w:val="31"/>
        <w:spacing w:before="381" w:after="381" w:line="460" w:lineRule="atLeast"/>
        <w:outlineLvl w:val="0"/>
        <w:rPr>
          <w:rFonts w:hint="eastAsia" w:ascii="宋体" w:hAnsi="宋体" w:eastAsia="宋体" w:cs="宋体"/>
          <w:color w:val="auto"/>
          <w:highlight w:val="none"/>
        </w:rPr>
      </w:pPr>
    </w:p>
    <w:p w14:paraId="29D0F1C9">
      <w:pPr>
        <w:pStyle w:val="31"/>
        <w:spacing w:before="381" w:after="381" w:line="460" w:lineRule="atLeast"/>
        <w:outlineLvl w:val="0"/>
        <w:rPr>
          <w:rFonts w:hint="eastAsia" w:ascii="宋体" w:hAnsi="宋体" w:eastAsia="宋体" w:cs="宋体"/>
          <w:color w:val="auto"/>
          <w:highlight w:val="none"/>
        </w:rPr>
      </w:pPr>
    </w:p>
    <w:p w14:paraId="504237B7">
      <w:pPr>
        <w:pStyle w:val="31"/>
        <w:spacing w:before="381" w:after="381" w:line="460" w:lineRule="atLeast"/>
        <w:outlineLvl w:val="0"/>
        <w:rPr>
          <w:rFonts w:hint="eastAsia" w:ascii="宋体" w:hAnsi="宋体" w:eastAsia="宋体" w:cs="宋体"/>
          <w:color w:val="auto"/>
          <w:highlight w:val="none"/>
        </w:rPr>
      </w:pPr>
    </w:p>
    <w:p w14:paraId="72544CFD">
      <w:pPr>
        <w:pStyle w:val="31"/>
        <w:spacing w:before="381" w:after="381" w:line="460" w:lineRule="atLeast"/>
        <w:outlineLvl w:val="0"/>
        <w:rPr>
          <w:rFonts w:hint="eastAsia" w:ascii="宋体" w:hAnsi="宋体" w:eastAsia="宋体" w:cs="宋体"/>
          <w:color w:val="auto"/>
          <w:highlight w:val="none"/>
        </w:rPr>
      </w:pPr>
    </w:p>
    <w:p w14:paraId="6E1407EB">
      <w:pPr>
        <w:pStyle w:val="31"/>
        <w:spacing w:before="381" w:after="381" w:line="460" w:lineRule="atLeast"/>
        <w:outlineLvl w:val="0"/>
        <w:rPr>
          <w:rFonts w:hint="eastAsia" w:ascii="宋体" w:hAnsi="宋体" w:eastAsia="宋体" w:cs="宋体"/>
          <w:color w:val="auto"/>
          <w:highlight w:val="none"/>
        </w:rPr>
      </w:pPr>
    </w:p>
    <w:p w14:paraId="0D16C896">
      <w:pPr>
        <w:pStyle w:val="31"/>
        <w:spacing w:before="381" w:after="381" w:line="460" w:lineRule="atLeast"/>
        <w:outlineLvl w:val="0"/>
        <w:rPr>
          <w:rFonts w:hint="eastAsia" w:ascii="宋体" w:hAnsi="宋体" w:eastAsia="宋体" w:cs="宋体"/>
          <w:color w:val="auto"/>
          <w:highlight w:val="none"/>
        </w:rPr>
      </w:pPr>
      <w:bookmarkStart w:id="79" w:name="_Toc11388"/>
      <w:r>
        <w:rPr>
          <w:rFonts w:hint="eastAsia" w:ascii="宋体" w:hAnsi="宋体" w:eastAsia="宋体" w:cs="宋体"/>
          <w:color w:val="auto"/>
          <w:highlight w:val="none"/>
        </w:rPr>
        <w:t>第七章  响应文件构成及格式</w:t>
      </w:r>
      <w:bookmarkEnd w:id="24"/>
      <w:bookmarkEnd w:id="79"/>
    </w:p>
    <w:p w14:paraId="263302BA">
      <w:pPr>
        <w:spacing w:line="460" w:lineRule="exact"/>
        <w:ind w:right="1444"/>
        <w:rPr>
          <w:rFonts w:eastAsia="宋体" w:cs="Times New Roman"/>
          <w:b/>
          <w:color w:val="auto"/>
          <w:sz w:val="32"/>
          <w:szCs w:val="32"/>
          <w:bdr w:val="single" w:color="auto" w:sz="4" w:space="0"/>
          <w:shd w:val="pct10" w:color="auto" w:fill="FFFFFF"/>
        </w:rPr>
      </w:pPr>
      <w:r>
        <w:rPr>
          <w:rFonts w:eastAsia="宋体" w:cs="Times New Roman"/>
          <w:b/>
          <w:color w:val="auto"/>
          <w:sz w:val="32"/>
          <w:szCs w:val="32"/>
          <w:bdr w:val="single" w:color="auto" w:sz="4" w:space="0"/>
          <w:shd w:val="pct10" w:color="auto" w:fill="FFFFFF"/>
        </w:rPr>
        <w:t>政府采购项目</w:t>
      </w:r>
    </w:p>
    <w:p w14:paraId="7E55323B">
      <w:pPr>
        <w:widowControl/>
        <w:spacing w:line="460" w:lineRule="atLeast"/>
        <w:jc w:val="right"/>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正本/副本</w:t>
      </w:r>
    </w:p>
    <w:p w14:paraId="2574FABF">
      <w:pPr>
        <w:pStyle w:val="22"/>
        <w:spacing w:line="460" w:lineRule="atLeast"/>
        <w:ind w:firstLine="0" w:firstLineChars="0"/>
        <w:jc w:val="left"/>
        <w:rPr>
          <w:rFonts w:hint="eastAsia" w:ascii="宋体" w:hAnsi="宋体" w:cs="宋体"/>
          <w:color w:val="auto"/>
          <w:sz w:val="24"/>
          <w:szCs w:val="24"/>
          <w:highlight w:val="none"/>
        </w:rPr>
      </w:pPr>
    </w:p>
    <w:p w14:paraId="13C427DD">
      <w:pPr>
        <w:pStyle w:val="22"/>
        <w:spacing w:line="460" w:lineRule="atLeast"/>
        <w:ind w:firstLine="0" w:firstLineChars="0"/>
        <w:jc w:val="left"/>
        <w:rPr>
          <w:rFonts w:hint="eastAsia" w:ascii="宋体" w:hAnsi="宋体" w:cs="宋体"/>
          <w:color w:val="auto"/>
          <w:sz w:val="24"/>
          <w:szCs w:val="24"/>
          <w:highlight w:val="none"/>
        </w:rPr>
      </w:pPr>
    </w:p>
    <w:p w14:paraId="625B228A">
      <w:pPr>
        <w:spacing w:line="460" w:lineRule="atLeast"/>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t>旬邑县养老中心服务设施提升改造项目检测及监测服务</w:t>
      </w:r>
    </w:p>
    <w:p w14:paraId="37E22407">
      <w:pPr>
        <w:spacing w:line="460" w:lineRule="atLeast"/>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t>磋商响应文件</w:t>
      </w:r>
    </w:p>
    <w:p w14:paraId="798CF8E1">
      <w:pPr>
        <w:spacing w:line="460" w:lineRule="atLeast"/>
        <w:rPr>
          <w:rFonts w:hint="eastAsia" w:ascii="宋体" w:hAnsi="宋体" w:eastAsia="宋体" w:cs="宋体"/>
          <w:color w:val="auto"/>
          <w:szCs w:val="21"/>
          <w:highlight w:val="none"/>
        </w:rPr>
      </w:pPr>
    </w:p>
    <w:p w14:paraId="3034D5DC">
      <w:pPr>
        <w:spacing w:line="460" w:lineRule="atLeast"/>
        <w:rPr>
          <w:rFonts w:hint="eastAsia" w:ascii="宋体" w:hAnsi="宋体" w:eastAsia="宋体" w:cs="宋体"/>
          <w:color w:val="auto"/>
          <w:szCs w:val="21"/>
          <w:highlight w:val="none"/>
        </w:rPr>
      </w:pPr>
    </w:p>
    <w:p w14:paraId="75FD3827">
      <w:pPr>
        <w:spacing w:line="460" w:lineRule="atLeast"/>
        <w:rPr>
          <w:rFonts w:hint="eastAsia" w:ascii="宋体" w:hAnsi="宋体" w:eastAsia="宋体" w:cs="宋体"/>
          <w:color w:val="auto"/>
          <w:szCs w:val="21"/>
          <w:highlight w:val="none"/>
        </w:rPr>
      </w:pPr>
    </w:p>
    <w:p w14:paraId="0E602B34">
      <w:pPr>
        <w:spacing w:line="460" w:lineRule="atLeast"/>
        <w:rPr>
          <w:rFonts w:hint="eastAsia" w:ascii="宋体" w:hAnsi="宋体" w:eastAsia="宋体" w:cs="宋体"/>
          <w:color w:val="auto"/>
          <w:szCs w:val="21"/>
          <w:highlight w:val="none"/>
        </w:rPr>
      </w:pPr>
    </w:p>
    <w:p w14:paraId="1A662742">
      <w:pPr>
        <w:spacing w:line="460" w:lineRule="atLeast"/>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t>（项目编号：YSCG-2026-001F）</w:t>
      </w:r>
    </w:p>
    <w:p w14:paraId="5BFCDFBF">
      <w:pPr>
        <w:spacing w:line="460" w:lineRule="atLeast"/>
        <w:ind w:firstLine="480" w:firstLineChars="200"/>
        <w:rPr>
          <w:rFonts w:hint="eastAsia" w:ascii="宋体" w:hAnsi="宋体" w:eastAsia="宋体" w:cs="宋体"/>
          <w:color w:val="auto"/>
          <w:sz w:val="24"/>
          <w:highlight w:val="none"/>
        </w:rPr>
      </w:pPr>
    </w:p>
    <w:p w14:paraId="25841F94">
      <w:pPr>
        <w:pStyle w:val="11"/>
        <w:rPr>
          <w:rFonts w:hint="eastAsia" w:ascii="宋体" w:hAnsi="宋体" w:eastAsia="宋体" w:cs="宋体"/>
          <w:color w:val="auto"/>
          <w:sz w:val="24"/>
          <w:highlight w:val="none"/>
        </w:rPr>
      </w:pPr>
    </w:p>
    <w:p w14:paraId="1B74644E">
      <w:pPr>
        <w:rPr>
          <w:rFonts w:hint="eastAsia"/>
        </w:rPr>
      </w:pPr>
    </w:p>
    <w:p w14:paraId="0F209B40">
      <w:pPr>
        <w:spacing w:line="460" w:lineRule="atLeast"/>
        <w:ind w:firstLine="480" w:firstLineChars="200"/>
        <w:rPr>
          <w:rFonts w:hint="eastAsia" w:ascii="宋体" w:hAnsi="宋体" w:eastAsia="宋体" w:cs="宋体"/>
          <w:color w:val="auto"/>
          <w:sz w:val="24"/>
          <w:highlight w:val="none"/>
        </w:rPr>
      </w:pPr>
    </w:p>
    <w:p w14:paraId="3D787A1A">
      <w:pPr>
        <w:keepNext w:val="0"/>
        <w:keepLines w:val="0"/>
        <w:pageBreakBefore w:val="0"/>
        <w:widowControl w:val="0"/>
        <w:kinsoku/>
        <w:wordWrap/>
        <w:overflowPunct/>
        <w:topLinePunct w:val="0"/>
        <w:autoSpaceDE/>
        <w:autoSpaceDN/>
        <w:bidi w:val="0"/>
        <w:adjustRightInd/>
        <w:snapToGrid/>
        <w:spacing w:line="360" w:lineRule="auto"/>
        <w:ind w:firstLine="1687" w:firstLineChars="600"/>
        <w:jc w:val="both"/>
        <w:textAlignment w:val="auto"/>
        <w:rPr>
          <w:rFonts w:hint="eastAsia" w:ascii="宋体" w:hAnsi="宋体" w:eastAsia="宋体" w:cs="Times New Roman"/>
          <w:b/>
          <w:color w:val="auto"/>
          <w:sz w:val="28"/>
          <w:szCs w:val="28"/>
          <w:u w:val="single"/>
          <w:lang w:val="en-US" w:eastAsia="zh-CN"/>
        </w:rPr>
      </w:pPr>
      <w:r>
        <w:rPr>
          <w:rFonts w:hint="eastAsia" w:ascii="宋体" w:hAnsi="宋体" w:eastAsia="宋体" w:cs="Times New Roman"/>
          <w:b/>
          <w:color w:val="auto"/>
          <w:sz w:val="28"/>
          <w:szCs w:val="28"/>
          <w:u w:val="none"/>
          <w:lang w:val="en-US" w:eastAsia="zh-CN"/>
        </w:rPr>
        <w:t>包号：</w:t>
      </w:r>
      <w:r>
        <w:rPr>
          <w:rFonts w:hint="eastAsia" w:ascii="宋体" w:hAnsi="宋体" w:eastAsia="宋体" w:cs="Times New Roman"/>
          <w:b/>
          <w:color w:val="auto"/>
          <w:sz w:val="28"/>
          <w:szCs w:val="28"/>
          <w:u w:val="single"/>
          <w:lang w:val="en-US" w:eastAsia="zh-CN"/>
        </w:rPr>
        <w:t>包2</w:t>
      </w:r>
    </w:p>
    <w:p w14:paraId="563F229C">
      <w:pPr>
        <w:keepNext w:val="0"/>
        <w:keepLines w:val="0"/>
        <w:pageBreakBefore w:val="0"/>
        <w:widowControl w:val="0"/>
        <w:kinsoku/>
        <w:wordWrap/>
        <w:overflowPunct/>
        <w:topLinePunct w:val="0"/>
        <w:autoSpaceDE/>
        <w:autoSpaceDN/>
        <w:bidi w:val="0"/>
        <w:adjustRightInd/>
        <w:snapToGrid/>
        <w:spacing w:line="360" w:lineRule="auto"/>
        <w:ind w:firstLine="1687" w:firstLineChars="600"/>
        <w:textAlignment w:val="auto"/>
        <w:rPr>
          <w:rFonts w:hint="eastAsia" w:ascii="宋体" w:hAnsi="宋体" w:eastAsia="宋体" w:cs="Times New Roman"/>
          <w:b/>
          <w:color w:val="auto"/>
          <w:sz w:val="28"/>
          <w:szCs w:val="28"/>
          <w:u w:val="single"/>
          <w:lang w:val="en-US" w:eastAsia="zh-CN"/>
        </w:rPr>
      </w:pPr>
      <w:r>
        <w:rPr>
          <w:rFonts w:hint="eastAsia" w:ascii="宋体" w:hAnsi="宋体" w:eastAsia="宋体" w:cs="Times New Roman"/>
          <w:b/>
          <w:color w:val="auto"/>
          <w:sz w:val="28"/>
          <w:szCs w:val="28"/>
          <w:u w:val="none"/>
          <w:lang w:val="en-US" w:eastAsia="zh-CN"/>
        </w:rPr>
        <w:t>包号名称：</w:t>
      </w:r>
      <w:r>
        <w:rPr>
          <w:rFonts w:hint="eastAsia" w:ascii="宋体" w:hAnsi="宋体" w:eastAsia="宋体" w:cs="Times New Roman"/>
          <w:b/>
          <w:color w:val="auto"/>
          <w:sz w:val="28"/>
          <w:szCs w:val="28"/>
          <w:u w:val="single"/>
          <w:lang w:val="en-US" w:eastAsia="zh-CN"/>
        </w:rPr>
        <w:t>旬邑县养老中心服务设施提升改造项目基坑变形监测及主体沉降观测</w:t>
      </w:r>
    </w:p>
    <w:p w14:paraId="5BF119CC">
      <w:pPr>
        <w:keepNext w:val="0"/>
        <w:keepLines w:val="0"/>
        <w:pageBreakBefore w:val="0"/>
        <w:widowControl w:val="0"/>
        <w:kinsoku/>
        <w:wordWrap/>
        <w:overflowPunct/>
        <w:topLinePunct w:val="0"/>
        <w:autoSpaceDE/>
        <w:autoSpaceDN/>
        <w:bidi w:val="0"/>
        <w:adjustRightInd/>
        <w:snapToGrid/>
        <w:spacing w:line="360" w:lineRule="auto"/>
        <w:ind w:firstLine="1687" w:firstLineChars="600"/>
        <w:textAlignment w:val="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供应商名称：</w:t>
      </w:r>
      <w:r>
        <w:rPr>
          <w:rFonts w:hint="eastAsia" w:ascii="宋体" w:hAnsi="宋体" w:eastAsia="宋体" w:cs="宋体"/>
          <w:b/>
          <w:color w:val="auto"/>
          <w:sz w:val="28"/>
          <w:szCs w:val="28"/>
          <w:highlight w:val="none"/>
          <w:u w:val="single"/>
        </w:rPr>
        <w:t xml:space="preserve">                  （盖章）</w:t>
      </w:r>
    </w:p>
    <w:p w14:paraId="4B77957A">
      <w:pPr>
        <w:keepNext w:val="0"/>
        <w:keepLines w:val="0"/>
        <w:pageBreakBefore w:val="0"/>
        <w:widowControl w:val="0"/>
        <w:kinsoku/>
        <w:wordWrap/>
        <w:overflowPunct/>
        <w:topLinePunct w:val="0"/>
        <w:autoSpaceDE/>
        <w:autoSpaceDN/>
        <w:bidi w:val="0"/>
        <w:adjustRightInd/>
        <w:snapToGrid/>
        <w:spacing w:line="360" w:lineRule="auto"/>
        <w:ind w:firstLine="1687" w:firstLineChars="600"/>
        <w:textAlignment w:val="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法定代表人或</w:t>
      </w:r>
    </w:p>
    <w:p w14:paraId="45AE5884">
      <w:pPr>
        <w:keepNext w:val="0"/>
        <w:keepLines w:val="0"/>
        <w:pageBreakBefore w:val="0"/>
        <w:widowControl w:val="0"/>
        <w:kinsoku/>
        <w:wordWrap/>
        <w:overflowPunct/>
        <w:topLinePunct w:val="0"/>
        <w:autoSpaceDE/>
        <w:autoSpaceDN/>
        <w:bidi w:val="0"/>
        <w:adjustRightInd/>
        <w:snapToGrid/>
        <w:spacing w:line="360" w:lineRule="auto"/>
        <w:ind w:firstLine="1687" w:firstLineChars="600"/>
        <w:textAlignment w:val="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其委托代理人：</w:t>
      </w:r>
      <w:r>
        <w:rPr>
          <w:rFonts w:hint="eastAsia" w:ascii="宋体" w:hAnsi="宋体" w:eastAsia="宋体" w:cs="宋体"/>
          <w:b/>
          <w:color w:val="auto"/>
          <w:sz w:val="28"/>
          <w:szCs w:val="28"/>
          <w:highlight w:val="none"/>
          <w:u w:val="single"/>
        </w:rPr>
        <w:t xml:space="preserve">            （签字或盖章）</w:t>
      </w:r>
    </w:p>
    <w:p w14:paraId="4C8688B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Cs w:val="21"/>
          <w:highlight w:val="none"/>
        </w:rPr>
      </w:pPr>
    </w:p>
    <w:p w14:paraId="60376FE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28"/>
          <w:highlight w:val="none"/>
        </w:rPr>
      </w:pPr>
      <w:r>
        <w:rPr>
          <w:rFonts w:hint="eastAsia" w:ascii="宋体" w:hAnsi="宋体" w:eastAsia="宋体" w:cs="宋体"/>
          <w:b/>
          <w:color w:val="auto"/>
          <w:sz w:val="28"/>
          <w:szCs w:val="28"/>
          <w:highlight w:val="none"/>
        </w:rPr>
        <w:t>日期：    年    月    日</w:t>
      </w:r>
    </w:p>
    <w:p w14:paraId="49CCDD30">
      <w:pPr>
        <w:pStyle w:val="22"/>
        <w:spacing w:line="460" w:lineRule="atLeast"/>
        <w:ind w:firstLine="0" w:firstLineChars="0"/>
        <w:jc w:val="left"/>
        <w:rPr>
          <w:rFonts w:hint="eastAsia" w:ascii="宋体" w:hAnsi="宋体" w:cs="宋体"/>
          <w:color w:val="auto"/>
          <w:sz w:val="24"/>
          <w:szCs w:val="24"/>
          <w:highlight w:val="none"/>
        </w:rPr>
      </w:pPr>
    </w:p>
    <w:p w14:paraId="534E6655">
      <w:pPr>
        <w:pStyle w:val="31"/>
        <w:spacing w:before="381" w:after="381" w:line="460" w:lineRule="atLeast"/>
        <w:rPr>
          <w:rFonts w:hint="eastAsia" w:ascii="宋体" w:hAnsi="宋体" w:eastAsia="宋体" w:cs="宋体"/>
          <w:color w:val="auto"/>
          <w:highlight w:val="none"/>
        </w:rPr>
      </w:pPr>
      <w:r>
        <w:rPr>
          <w:rFonts w:hint="eastAsia" w:ascii="宋体" w:hAnsi="宋体" w:eastAsia="宋体" w:cs="宋体"/>
          <w:color w:val="auto"/>
          <w:highlight w:val="none"/>
        </w:rPr>
        <w:t>目    录</w:t>
      </w:r>
    </w:p>
    <w:p w14:paraId="01B8BA4D">
      <w:pPr>
        <w:spacing w:line="460" w:lineRule="atLeast"/>
        <w:rPr>
          <w:rFonts w:hint="eastAsia" w:ascii="宋体" w:hAnsi="宋体" w:eastAsia="宋体" w:cs="宋体"/>
          <w:color w:val="auto"/>
          <w:highlight w:val="none"/>
        </w:rPr>
      </w:pPr>
    </w:p>
    <w:p w14:paraId="31722895">
      <w:pPr>
        <w:pStyle w:val="34"/>
        <w:spacing w:line="460" w:lineRule="atLeast"/>
        <w:ind w:left="0" w:leftChars="0" w:firstLine="0" w:firstLineChars="0"/>
        <w:jc w:val="center"/>
        <w:rPr>
          <w:rFonts w:hint="eastAsia" w:ascii="宋体" w:hAnsi="宋体" w:eastAsia="宋体" w:cs="宋体"/>
          <w:b/>
          <w:color w:val="auto"/>
          <w:highlight w:val="none"/>
          <w:lang w:eastAsia="zh-CN"/>
        </w:rPr>
      </w:pPr>
      <w:r>
        <w:rPr>
          <w:rFonts w:hint="eastAsia" w:ascii="宋体" w:hAnsi="宋体" w:cs="宋体"/>
          <w:b/>
          <w:color w:val="auto"/>
          <w:highlight w:val="none"/>
          <w:lang w:eastAsia="zh-CN"/>
        </w:rPr>
        <w:t>（</w:t>
      </w:r>
      <w:r>
        <w:rPr>
          <w:rFonts w:hint="eastAsia" w:ascii="宋体" w:hAnsi="宋体" w:cs="宋体"/>
          <w:b/>
          <w:color w:val="auto"/>
          <w:highlight w:val="none"/>
          <w:lang w:val="en-US" w:eastAsia="zh-CN"/>
        </w:rPr>
        <w:t>格式自拟</w:t>
      </w:r>
      <w:r>
        <w:rPr>
          <w:rFonts w:hint="eastAsia" w:ascii="宋体" w:hAnsi="宋体" w:cs="宋体"/>
          <w:b/>
          <w:color w:val="auto"/>
          <w:highlight w:val="none"/>
          <w:lang w:eastAsia="zh-CN"/>
        </w:rPr>
        <w:t>）</w:t>
      </w:r>
    </w:p>
    <w:p w14:paraId="038BA809">
      <w:pPr>
        <w:widowControl/>
        <w:spacing w:line="460" w:lineRule="atLeast"/>
        <w:jc w:val="left"/>
        <w:rPr>
          <w:rFonts w:hint="eastAsia" w:ascii="宋体" w:hAnsi="宋体" w:eastAsia="宋体" w:cs="宋体"/>
          <w:b/>
          <w:bCs/>
          <w:color w:val="auto"/>
          <w:sz w:val="32"/>
          <w:szCs w:val="36"/>
          <w:highlight w:val="none"/>
        </w:rPr>
      </w:pPr>
      <w:r>
        <w:rPr>
          <w:rFonts w:hint="eastAsia" w:ascii="宋体" w:hAnsi="宋体" w:eastAsia="宋体" w:cs="宋体"/>
          <w:b/>
          <w:bCs/>
          <w:color w:val="auto"/>
          <w:sz w:val="32"/>
          <w:szCs w:val="36"/>
          <w:highlight w:val="none"/>
        </w:rPr>
        <w:br w:type="page"/>
      </w:r>
    </w:p>
    <w:p w14:paraId="1FBA14D3">
      <w:pPr>
        <w:pStyle w:val="31"/>
        <w:spacing w:before="381" w:after="381" w:line="460" w:lineRule="atLeast"/>
        <w:rPr>
          <w:rFonts w:hint="eastAsia" w:ascii="宋体" w:hAnsi="宋体" w:eastAsia="宋体" w:cs="宋体"/>
          <w:color w:val="auto"/>
          <w:highlight w:val="none"/>
        </w:rPr>
      </w:pPr>
      <w:r>
        <w:rPr>
          <w:rFonts w:hint="eastAsia" w:ascii="宋体" w:hAnsi="宋体" w:eastAsia="宋体" w:cs="宋体"/>
          <w:color w:val="auto"/>
          <w:highlight w:val="none"/>
        </w:rPr>
        <w:t>第一部分  响应函</w:t>
      </w:r>
    </w:p>
    <w:p w14:paraId="40BD94EE">
      <w:pPr>
        <w:pStyle w:val="32"/>
        <w:spacing w:before="190" w:after="190" w:line="460" w:lineRule="atLeast"/>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陕西益森工程咨询有限公司</w:t>
      </w:r>
      <w:r>
        <w:rPr>
          <w:rFonts w:hint="eastAsia" w:ascii="宋体" w:hAnsi="宋体" w:cs="宋体"/>
          <w:color w:val="auto"/>
          <w:sz w:val="21"/>
          <w:szCs w:val="21"/>
          <w:highlight w:val="none"/>
        </w:rPr>
        <w:t>：</w:t>
      </w:r>
    </w:p>
    <w:p w14:paraId="440743BB">
      <w:pPr>
        <w:pStyle w:val="59"/>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我方收到贵公司发布的《</w:t>
      </w:r>
      <w:r>
        <w:rPr>
          <w:rFonts w:hint="eastAsia" w:ascii="宋体" w:hAnsi="宋体" w:cs="宋体"/>
          <w:color w:val="auto"/>
          <w:sz w:val="21"/>
          <w:szCs w:val="21"/>
          <w:highlight w:val="none"/>
          <w:u w:val="single"/>
        </w:rPr>
        <w:t>项目名称</w:t>
      </w:r>
      <w:r>
        <w:rPr>
          <w:rFonts w:hint="eastAsia" w:ascii="宋体" w:hAnsi="宋体" w:cs="宋体"/>
          <w:color w:val="auto"/>
          <w:sz w:val="21"/>
          <w:szCs w:val="21"/>
          <w:highlight w:val="none"/>
          <w:u w:val="single"/>
          <w:lang w:eastAsia="zh-CN"/>
        </w:rPr>
        <w:t>、</w:t>
      </w:r>
      <w:r>
        <w:rPr>
          <w:rFonts w:hint="eastAsia" w:ascii="宋体" w:hAnsi="宋体" w:cs="宋体"/>
          <w:color w:val="auto"/>
          <w:sz w:val="21"/>
          <w:szCs w:val="21"/>
          <w:highlight w:val="none"/>
          <w:u w:val="single"/>
          <w:lang w:val="en-US" w:eastAsia="zh-CN"/>
        </w:rPr>
        <w:t>包号名称</w:t>
      </w:r>
      <w:r>
        <w:rPr>
          <w:rFonts w:hint="eastAsia" w:ascii="宋体" w:hAnsi="宋体" w:cs="宋体"/>
          <w:color w:val="auto"/>
          <w:sz w:val="21"/>
          <w:szCs w:val="21"/>
          <w:highlight w:val="none"/>
        </w:rPr>
        <w:t>》(项目编号：</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 的磋商文件，经详细研究，我方决定参加该项目的磋商活动。为此，我方郑重声明以下诸点，并负法律责任。</w:t>
      </w:r>
    </w:p>
    <w:p w14:paraId="65BE2B88">
      <w:pPr>
        <w:pStyle w:val="59"/>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一、我方已详细阅读了磋商文件，完全理解并同意磋商文件的所有事项及内容。</w:t>
      </w:r>
    </w:p>
    <w:p w14:paraId="4B98EF00">
      <w:pPr>
        <w:pStyle w:val="59"/>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二、我方已悉知并关注了贵公司在政府采购信息发布媒体上发布的关于本项目的有关变更公告（包括但不限于对磋商文件做出的修改或澄清、答疑纪要，以及项目暂停、重启、延期、终止等）。</w:t>
      </w:r>
    </w:p>
    <w:p w14:paraId="4515B0BC">
      <w:pPr>
        <w:pStyle w:val="59"/>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三、我方同意向贵公司提供与本次磋商有关的任何证明材料，并保证所提交的证明材料真实、合法、有效。我方理解最低价不是成交的唯一条件，并尊重磋商小组的评审结果。</w:t>
      </w:r>
    </w:p>
    <w:p w14:paraId="6C29FF0D">
      <w:pPr>
        <w:pStyle w:val="59"/>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四、我方愿意按照磋商文件中的一切要求，完成本项目的合同责任和义务。</w:t>
      </w:r>
    </w:p>
    <w:p w14:paraId="222A7F00">
      <w:pPr>
        <w:pStyle w:val="59"/>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五、我方提交的响应文件正本</w:t>
      </w:r>
      <w:bookmarkStart w:id="80" w:name="OLE_LINK52"/>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份</w:t>
      </w:r>
      <w:bookmarkEnd w:id="80"/>
      <w:r>
        <w:rPr>
          <w:rFonts w:hint="eastAsia" w:ascii="宋体" w:hAnsi="宋体" w:cs="宋体"/>
          <w:color w:val="auto"/>
          <w:sz w:val="21"/>
          <w:szCs w:val="21"/>
          <w:highlight w:val="none"/>
        </w:rPr>
        <w:t>、副本</w:t>
      </w:r>
      <w:bookmarkStart w:id="81" w:name="OLE_LINK53"/>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份</w:t>
      </w:r>
      <w:bookmarkEnd w:id="81"/>
      <w:r>
        <w:rPr>
          <w:rFonts w:hint="eastAsia" w:ascii="宋体" w:hAnsi="宋体" w:cs="宋体"/>
          <w:color w:val="auto"/>
          <w:sz w:val="21"/>
          <w:szCs w:val="21"/>
          <w:highlight w:val="none"/>
        </w:rPr>
        <w:t>、电子U盘</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份。</w:t>
      </w:r>
    </w:p>
    <w:p w14:paraId="5356DE6B">
      <w:pPr>
        <w:pStyle w:val="59"/>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六、我方的响应文件在磋商之日起</w:t>
      </w:r>
      <w:r>
        <w:rPr>
          <w:rFonts w:hint="eastAsia" w:ascii="宋体" w:hAnsi="宋体" w:cs="宋体"/>
          <w:color w:val="auto"/>
          <w:sz w:val="21"/>
          <w:szCs w:val="21"/>
          <w:highlight w:val="none"/>
          <w:u w:val="single"/>
          <w:lang w:val="en-US" w:eastAsia="zh-CN"/>
        </w:rPr>
        <w:t>90</w:t>
      </w:r>
      <w:r>
        <w:rPr>
          <w:rFonts w:hint="eastAsia" w:ascii="宋体" w:hAnsi="宋体" w:cs="宋体"/>
          <w:color w:val="auto"/>
          <w:sz w:val="21"/>
          <w:szCs w:val="21"/>
          <w:highlight w:val="none"/>
        </w:rPr>
        <w:t>个日历日（应不少于90个日历日）内有效，如成交，延长至合同执行完毕时止。</w:t>
      </w:r>
    </w:p>
    <w:p w14:paraId="469F8A49">
      <w:pPr>
        <w:pStyle w:val="59"/>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七、所有关于此次磋商活动的函电，请按下列地址联系：</w:t>
      </w:r>
    </w:p>
    <w:p w14:paraId="7188DD12">
      <w:pPr>
        <w:pStyle w:val="59"/>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供应商：（供应商全称并加盖公章）</w:t>
      </w:r>
    </w:p>
    <w:p w14:paraId="2A95F17A">
      <w:pPr>
        <w:pStyle w:val="59"/>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联系地址：</w:t>
      </w:r>
    </w:p>
    <w:p w14:paraId="555DAB90">
      <w:pPr>
        <w:pStyle w:val="59"/>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联系电话：</w:t>
      </w:r>
    </w:p>
    <w:p w14:paraId="058B8FC7">
      <w:pPr>
        <w:pStyle w:val="59"/>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传真：</w:t>
      </w:r>
    </w:p>
    <w:p w14:paraId="56177E50">
      <w:pPr>
        <w:pStyle w:val="59"/>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邮编：</w:t>
      </w:r>
    </w:p>
    <w:p w14:paraId="5E55A5AB">
      <w:pPr>
        <w:pStyle w:val="59"/>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电子邮箱：</w:t>
      </w:r>
    </w:p>
    <w:p w14:paraId="16C16C76">
      <w:pPr>
        <w:pStyle w:val="59"/>
        <w:spacing w:line="460" w:lineRule="atLeast"/>
        <w:ind w:firstLine="420"/>
        <w:rPr>
          <w:rFonts w:hint="eastAsia" w:ascii="宋体" w:hAnsi="宋体" w:cs="宋体"/>
          <w:color w:val="auto"/>
          <w:highlight w:val="none"/>
        </w:rPr>
      </w:pPr>
      <w:r>
        <w:rPr>
          <w:rFonts w:hint="eastAsia" w:ascii="宋体" w:hAnsi="宋体" w:cs="宋体"/>
          <w:color w:val="auto"/>
          <w:sz w:val="21"/>
          <w:szCs w:val="21"/>
          <w:highlight w:val="none"/>
        </w:rPr>
        <w:t>日期：年　月　日</w:t>
      </w:r>
    </w:p>
    <w:p w14:paraId="5D2FB4B5">
      <w:pPr>
        <w:widowControl/>
        <w:spacing w:line="460" w:lineRule="atLeast"/>
        <w:rPr>
          <w:rFonts w:hint="eastAsia" w:ascii="宋体" w:hAnsi="宋体" w:eastAsia="宋体" w:cs="宋体"/>
          <w:color w:val="auto"/>
          <w:sz w:val="36"/>
          <w:szCs w:val="28"/>
          <w:highlight w:val="none"/>
        </w:rPr>
        <w:sectPr>
          <w:pgSz w:w="11906" w:h="16838"/>
          <w:pgMar w:top="1440" w:right="1440" w:bottom="1440" w:left="1440" w:header="850" w:footer="992" w:gutter="0"/>
          <w:pgNumType w:fmt="decimal"/>
          <w:cols w:space="425" w:num="1"/>
          <w:docGrid w:type="lines" w:linePitch="381" w:charSpace="704"/>
        </w:sectPr>
      </w:pPr>
    </w:p>
    <w:p w14:paraId="38B36BD6">
      <w:pPr>
        <w:pStyle w:val="31"/>
        <w:spacing w:before="312" w:after="312" w:line="460" w:lineRule="atLeast"/>
        <w:rPr>
          <w:rFonts w:hint="eastAsia" w:ascii="宋体" w:hAnsi="宋体" w:eastAsia="宋体" w:cs="宋体"/>
          <w:color w:val="auto"/>
          <w:szCs w:val="32"/>
          <w:highlight w:val="none"/>
        </w:rPr>
      </w:pPr>
      <w:r>
        <w:rPr>
          <w:rFonts w:hint="eastAsia" w:ascii="宋体" w:hAnsi="宋体" w:eastAsia="宋体" w:cs="宋体"/>
          <w:color w:val="auto"/>
          <w:highlight w:val="none"/>
        </w:rPr>
        <w:t>第二部分  首次磋商报价表</w:t>
      </w:r>
    </w:p>
    <w:tbl>
      <w:tblPr>
        <w:tblStyle w:val="23"/>
        <w:tblW w:w="91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0"/>
        <w:gridCol w:w="7199"/>
      </w:tblGrid>
      <w:tr w14:paraId="4A29D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8" w:hRule="atLeast"/>
          <w:jc w:val="center"/>
        </w:trPr>
        <w:tc>
          <w:tcPr>
            <w:tcW w:w="1980" w:type="dxa"/>
            <w:vAlign w:val="center"/>
          </w:tcPr>
          <w:p w14:paraId="563CC676">
            <w:pPr>
              <w:spacing w:line="460" w:lineRule="atLeas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项目名称</w:t>
            </w:r>
          </w:p>
        </w:tc>
        <w:tc>
          <w:tcPr>
            <w:tcW w:w="7199" w:type="dxa"/>
            <w:vAlign w:val="center"/>
          </w:tcPr>
          <w:p w14:paraId="74966EE9">
            <w:pPr>
              <w:spacing w:line="460" w:lineRule="atLeast"/>
              <w:jc w:val="center"/>
              <w:rPr>
                <w:rFonts w:hint="eastAsia" w:ascii="宋体" w:hAnsi="宋体" w:eastAsia="宋体" w:cs="宋体"/>
                <w:color w:val="auto"/>
                <w:szCs w:val="21"/>
                <w:highlight w:val="none"/>
              </w:rPr>
            </w:pPr>
          </w:p>
        </w:tc>
      </w:tr>
      <w:tr w14:paraId="0F702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8" w:hRule="atLeast"/>
          <w:jc w:val="center"/>
        </w:trPr>
        <w:tc>
          <w:tcPr>
            <w:tcW w:w="1980" w:type="dxa"/>
            <w:vAlign w:val="center"/>
          </w:tcPr>
          <w:p w14:paraId="32B8E544">
            <w:pPr>
              <w:spacing w:line="460" w:lineRule="atLeast"/>
              <w:jc w:val="center"/>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包号名称</w:t>
            </w:r>
          </w:p>
        </w:tc>
        <w:tc>
          <w:tcPr>
            <w:tcW w:w="7199" w:type="dxa"/>
            <w:vAlign w:val="center"/>
          </w:tcPr>
          <w:p w14:paraId="249A4D57">
            <w:pPr>
              <w:spacing w:line="460" w:lineRule="atLeast"/>
              <w:jc w:val="center"/>
              <w:rPr>
                <w:rFonts w:hint="eastAsia" w:ascii="宋体" w:hAnsi="宋体" w:eastAsia="宋体" w:cs="宋体"/>
                <w:color w:val="auto"/>
                <w:szCs w:val="21"/>
                <w:highlight w:val="none"/>
              </w:rPr>
            </w:pPr>
          </w:p>
        </w:tc>
      </w:tr>
      <w:tr w14:paraId="2D436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atLeast"/>
          <w:jc w:val="center"/>
        </w:trPr>
        <w:tc>
          <w:tcPr>
            <w:tcW w:w="1980" w:type="dxa"/>
            <w:vAlign w:val="center"/>
          </w:tcPr>
          <w:p w14:paraId="430B5D82">
            <w:pPr>
              <w:spacing w:line="460" w:lineRule="atLeas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磋商总报价（元）</w:t>
            </w:r>
          </w:p>
        </w:tc>
        <w:tc>
          <w:tcPr>
            <w:tcW w:w="7199" w:type="dxa"/>
            <w:vAlign w:val="center"/>
          </w:tcPr>
          <w:p w14:paraId="260F1FCA">
            <w:pPr>
              <w:spacing w:line="460" w:lineRule="atLeast"/>
              <w:jc w:val="left"/>
              <w:rPr>
                <w:rFonts w:hint="eastAsia" w:ascii="宋体" w:hAnsi="宋体" w:eastAsia="宋体" w:cs="宋体"/>
                <w:color w:val="auto"/>
                <w:szCs w:val="21"/>
                <w:highlight w:val="none"/>
              </w:rPr>
            </w:pPr>
          </w:p>
        </w:tc>
      </w:tr>
      <w:tr w14:paraId="2616F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atLeast"/>
          <w:jc w:val="center"/>
        </w:trPr>
        <w:tc>
          <w:tcPr>
            <w:tcW w:w="1980" w:type="dxa"/>
            <w:vAlign w:val="center"/>
          </w:tcPr>
          <w:p w14:paraId="41A6A4FB">
            <w:pPr>
              <w:spacing w:line="460" w:lineRule="atLeast"/>
              <w:jc w:val="center"/>
              <w:rPr>
                <w:rFonts w:hint="default" w:ascii="宋体" w:hAnsi="宋体" w:eastAsia="宋体" w:cs="宋体"/>
                <w:color w:val="auto"/>
                <w:szCs w:val="21"/>
                <w:highlight w:val="none"/>
                <w:lang w:val="en-US"/>
              </w:rPr>
            </w:pPr>
            <w:r>
              <w:rPr>
                <w:rFonts w:hint="eastAsia" w:ascii="宋体" w:hAnsi="宋体" w:eastAsia="宋体" w:cs="宋体"/>
                <w:szCs w:val="21"/>
                <w:lang w:val="en-US" w:eastAsia="zh-CN"/>
              </w:rPr>
              <w:t>基坑变形监测报价</w:t>
            </w:r>
            <w:r>
              <w:rPr>
                <w:rFonts w:hint="eastAsia" w:ascii="宋体" w:hAnsi="宋体" w:eastAsia="宋体" w:cs="宋体"/>
                <w:color w:val="auto"/>
                <w:szCs w:val="21"/>
                <w:highlight w:val="none"/>
              </w:rPr>
              <w:t>（元）</w:t>
            </w:r>
          </w:p>
        </w:tc>
        <w:tc>
          <w:tcPr>
            <w:tcW w:w="7199" w:type="dxa"/>
            <w:vAlign w:val="center"/>
          </w:tcPr>
          <w:p w14:paraId="1EACAA2C">
            <w:pPr>
              <w:spacing w:line="460" w:lineRule="atLeast"/>
              <w:jc w:val="left"/>
              <w:rPr>
                <w:rFonts w:hint="eastAsia" w:ascii="宋体" w:hAnsi="宋体" w:eastAsia="宋体" w:cs="宋体"/>
                <w:color w:val="auto"/>
                <w:szCs w:val="21"/>
                <w:highlight w:val="none"/>
              </w:rPr>
            </w:pPr>
          </w:p>
        </w:tc>
      </w:tr>
      <w:tr w14:paraId="23DF1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atLeast"/>
          <w:jc w:val="center"/>
        </w:trPr>
        <w:tc>
          <w:tcPr>
            <w:tcW w:w="1980" w:type="dxa"/>
            <w:vAlign w:val="center"/>
          </w:tcPr>
          <w:p w14:paraId="248DE292">
            <w:pPr>
              <w:spacing w:line="460" w:lineRule="atLeast"/>
              <w:jc w:val="center"/>
              <w:rPr>
                <w:rFonts w:hint="eastAsia" w:ascii="宋体" w:hAnsi="宋体" w:eastAsia="宋体" w:cs="宋体"/>
                <w:szCs w:val="21"/>
                <w:lang w:val="en-US" w:eastAsia="zh-CN"/>
              </w:rPr>
            </w:pPr>
            <w:r>
              <w:rPr>
                <w:rFonts w:hint="eastAsia" w:ascii="宋体" w:hAnsi="宋体" w:eastAsia="宋体" w:cs="宋体"/>
                <w:szCs w:val="21"/>
                <w:lang w:val="en-US" w:eastAsia="zh-CN"/>
              </w:rPr>
              <w:t>主体沉降观测报价</w:t>
            </w:r>
            <w:r>
              <w:rPr>
                <w:rFonts w:hint="eastAsia" w:ascii="宋体" w:hAnsi="宋体" w:eastAsia="宋体" w:cs="宋体"/>
                <w:color w:val="auto"/>
                <w:szCs w:val="21"/>
                <w:highlight w:val="none"/>
              </w:rPr>
              <w:t>（元）</w:t>
            </w:r>
          </w:p>
        </w:tc>
        <w:tc>
          <w:tcPr>
            <w:tcW w:w="7199" w:type="dxa"/>
            <w:vAlign w:val="center"/>
          </w:tcPr>
          <w:p w14:paraId="6E5F0453">
            <w:pPr>
              <w:spacing w:line="460" w:lineRule="atLeast"/>
              <w:jc w:val="left"/>
              <w:rPr>
                <w:rFonts w:hint="eastAsia" w:ascii="宋体" w:hAnsi="宋体" w:eastAsia="宋体" w:cs="宋体"/>
                <w:color w:val="auto"/>
                <w:szCs w:val="21"/>
                <w:highlight w:val="none"/>
              </w:rPr>
            </w:pPr>
          </w:p>
        </w:tc>
      </w:tr>
      <w:tr w14:paraId="30C02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6" w:hRule="atLeast"/>
          <w:jc w:val="center"/>
        </w:trPr>
        <w:tc>
          <w:tcPr>
            <w:tcW w:w="1980" w:type="dxa"/>
            <w:vAlign w:val="center"/>
          </w:tcPr>
          <w:p w14:paraId="450E275F">
            <w:pPr>
              <w:spacing w:line="460" w:lineRule="atLeast"/>
              <w:jc w:val="center"/>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服务期</w:t>
            </w:r>
          </w:p>
        </w:tc>
        <w:tc>
          <w:tcPr>
            <w:tcW w:w="7199" w:type="dxa"/>
            <w:vAlign w:val="center"/>
          </w:tcPr>
          <w:p w14:paraId="3E2C1668">
            <w:pPr>
              <w:spacing w:line="460" w:lineRule="atLeast"/>
              <w:jc w:val="center"/>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rPr>
              <w:t>开始工作至本项目工程结束（具体随工程项目进展调整）</w:t>
            </w:r>
          </w:p>
        </w:tc>
      </w:tr>
      <w:tr w14:paraId="235D6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6" w:hRule="atLeast"/>
          <w:jc w:val="center"/>
        </w:trPr>
        <w:tc>
          <w:tcPr>
            <w:tcW w:w="1980" w:type="dxa"/>
            <w:vAlign w:val="center"/>
          </w:tcPr>
          <w:p w14:paraId="752D4997">
            <w:pPr>
              <w:spacing w:line="460" w:lineRule="atLeast"/>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服务标准</w:t>
            </w:r>
          </w:p>
        </w:tc>
        <w:tc>
          <w:tcPr>
            <w:tcW w:w="7199" w:type="dxa"/>
            <w:vAlign w:val="center"/>
          </w:tcPr>
          <w:p w14:paraId="656D0B75">
            <w:pPr>
              <w:spacing w:line="460" w:lineRule="atLeast"/>
              <w:jc w:val="center"/>
              <w:rPr>
                <w:rFonts w:hint="eastAsia" w:ascii="宋体" w:hAnsi="宋体" w:eastAsia="宋体" w:cs="宋体"/>
                <w:color w:val="auto"/>
                <w:szCs w:val="21"/>
                <w:highlight w:val="none"/>
              </w:rPr>
            </w:pPr>
            <w:r>
              <w:rPr>
                <w:rFonts w:hint="eastAsia" w:ascii="宋体" w:hAnsi="宋体" w:eastAsia="宋体" w:cs="宋体"/>
                <w:b w:val="0"/>
                <w:bCs/>
                <w:color w:val="auto"/>
                <w:sz w:val="21"/>
                <w:szCs w:val="21"/>
                <w:lang w:val="en-US" w:eastAsia="zh-CN"/>
              </w:rPr>
              <w:t>符合国家及行业相关标准，达到合格标准</w:t>
            </w:r>
          </w:p>
        </w:tc>
      </w:tr>
      <w:tr w14:paraId="5915C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6" w:hRule="atLeast"/>
          <w:jc w:val="center"/>
        </w:trPr>
        <w:tc>
          <w:tcPr>
            <w:tcW w:w="1980" w:type="dxa"/>
            <w:vAlign w:val="center"/>
          </w:tcPr>
          <w:p w14:paraId="522CAA77">
            <w:pPr>
              <w:spacing w:line="460" w:lineRule="atLeas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备注</w:t>
            </w:r>
          </w:p>
        </w:tc>
        <w:tc>
          <w:tcPr>
            <w:tcW w:w="7199" w:type="dxa"/>
            <w:vAlign w:val="center"/>
          </w:tcPr>
          <w:p w14:paraId="169479EA">
            <w:pPr>
              <w:spacing w:line="460" w:lineRule="atLeast"/>
              <w:rPr>
                <w:rFonts w:hint="eastAsia" w:ascii="宋体" w:hAnsi="宋体" w:eastAsia="宋体" w:cs="宋体"/>
                <w:color w:val="auto"/>
                <w:szCs w:val="21"/>
                <w:highlight w:val="none"/>
              </w:rPr>
            </w:pPr>
          </w:p>
        </w:tc>
      </w:tr>
    </w:tbl>
    <w:p w14:paraId="1BC7FD77">
      <w:pPr>
        <w:spacing w:line="480" w:lineRule="exact"/>
        <w:ind w:left="630" w:hanging="630" w:hangingChars="300"/>
        <w:rPr>
          <w:rFonts w:hint="eastAsia" w:eastAsia="宋体" w:cs="Times New Roman"/>
          <w:iCs/>
          <w:color w:val="auto"/>
          <w:sz w:val="21"/>
          <w:szCs w:val="21"/>
          <w:lang w:eastAsia="zh-CN"/>
        </w:rPr>
      </w:pPr>
      <w:r>
        <w:rPr>
          <w:rFonts w:eastAsia="宋体" w:cs="Times New Roman"/>
          <w:iCs/>
          <w:color w:val="auto"/>
          <w:sz w:val="21"/>
          <w:szCs w:val="21"/>
        </w:rPr>
        <w:t>注：1、本表</w:t>
      </w:r>
      <w:r>
        <w:rPr>
          <w:rFonts w:hint="eastAsia" w:eastAsia="宋体" w:cs="Times New Roman"/>
          <w:iCs/>
          <w:color w:val="auto"/>
          <w:sz w:val="21"/>
          <w:szCs w:val="21"/>
        </w:rPr>
        <w:t>中</w:t>
      </w:r>
      <w:r>
        <w:rPr>
          <w:rFonts w:eastAsia="宋体" w:cs="Times New Roman"/>
          <w:iCs/>
          <w:color w:val="auto"/>
          <w:sz w:val="21"/>
          <w:szCs w:val="21"/>
        </w:rPr>
        <w:t>磋商</w:t>
      </w:r>
      <w:r>
        <w:rPr>
          <w:rFonts w:hint="eastAsia" w:eastAsia="宋体" w:cs="Times New Roman"/>
          <w:iCs/>
          <w:color w:val="auto"/>
          <w:sz w:val="21"/>
          <w:szCs w:val="21"/>
        </w:rPr>
        <w:t>总报价应和磋商函中磋商总报价</w:t>
      </w:r>
      <w:r>
        <w:rPr>
          <w:rFonts w:hint="eastAsia" w:eastAsia="宋体" w:cs="Times New Roman"/>
          <w:iCs/>
          <w:color w:val="auto"/>
          <w:sz w:val="21"/>
          <w:szCs w:val="21"/>
          <w:lang w:eastAsia="zh-CN"/>
        </w:rPr>
        <w:t>、</w:t>
      </w:r>
      <w:r>
        <w:rPr>
          <w:rFonts w:hint="eastAsia" w:eastAsia="宋体" w:cs="Times New Roman"/>
          <w:iCs/>
          <w:color w:val="auto"/>
          <w:sz w:val="21"/>
          <w:szCs w:val="21"/>
          <w:lang w:val="en-US" w:eastAsia="zh-CN"/>
        </w:rPr>
        <w:t>分项报价表中合计总报价</w:t>
      </w:r>
      <w:r>
        <w:rPr>
          <w:rFonts w:hint="eastAsia" w:eastAsia="宋体" w:cs="Times New Roman"/>
          <w:iCs/>
          <w:color w:val="auto"/>
          <w:sz w:val="21"/>
          <w:szCs w:val="21"/>
        </w:rPr>
        <w:t>保持一致</w:t>
      </w:r>
      <w:r>
        <w:rPr>
          <w:rFonts w:hint="eastAsia" w:eastAsia="宋体" w:cs="Times New Roman"/>
          <w:iCs/>
          <w:color w:val="auto"/>
          <w:sz w:val="21"/>
          <w:szCs w:val="21"/>
          <w:lang w:eastAsia="zh-CN"/>
        </w:rPr>
        <w:t>。</w:t>
      </w:r>
    </w:p>
    <w:p w14:paraId="5DB393C6">
      <w:pPr>
        <w:numPr>
          <w:ilvl w:val="0"/>
          <w:numId w:val="4"/>
        </w:numPr>
        <w:spacing w:line="480" w:lineRule="exact"/>
        <w:ind w:firstLine="420" w:firstLineChars="200"/>
        <w:rPr>
          <w:rFonts w:hint="eastAsia" w:eastAsia="宋体" w:cs="Times New Roman"/>
          <w:iCs/>
          <w:color w:val="auto"/>
          <w:sz w:val="21"/>
          <w:szCs w:val="21"/>
          <w:lang w:eastAsia="zh-CN"/>
        </w:rPr>
      </w:pPr>
      <w:r>
        <w:rPr>
          <w:rFonts w:eastAsia="宋体" w:cs="Times New Roman"/>
          <w:iCs/>
          <w:color w:val="auto"/>
          <w:sz w:val="21"/>
          <w:szCs w:val="21"/>
        </w:rPr>
        <w:t>本表</w:t>
      </w:r>
      <w:r>
        <w:rPr>
          <w:rFonts w:hint="eastAsia" w:eastAsia="宋体" w:cs="Times New Roman"/>
          <w:iCs/>
          <w:color w:val="auto"/>
          <w:sz w:val="21"/>
          <w:szCs w:val="21"/>
        </w:rPr>
        <w:t>中磋商总报价=完成本项目要求的所有费用（含税）</w:t>
      </w:r>
      <w:r>
        <w:rPr>
          <w:rFonts w:hint="eastAsia" w:eastAsia="宋体" w:cs="Times New Roman"/>
          <w:iCs/>
          <w:color w:val="auto"/>
          <w:sz w:val="21"/>
          <w:szCs w:val="21"/>
          <w:lang w:eastAsia="zh-CN"/>
        </w:rPr>
        <w:t>。</w:t>
      </w:r>
    </w:p>
    <w:p w14:paraId="3DE806D1">
      <w:pPr>
        <w:numPr>
          <w:ilvl w:val="0"/>
          <w:numId w:val="4"/>
        </w:numPr>
        <w:spacing w:line="480" w:lineRule="exact"/>
        <w:ind w:left="0" w:leftChars="0" w:firstLine="420" w:firstLineChars="200"/>
        <w:rPr>
          <w:rFonts w:hint="eastAsia" w:eastAsia="宋体" w:cs="Times New Roman"/>
          <w:iCs/>
          <w:color w:val="auto"/>
          <w:sz w:val="21"/>
          <w:szCs w:val="21"/>
        </w:rPr>
      </w:pPr>
      <w:r>
        <w:rPr>
          <w:rFonts w:hint="eastAsia" w:eastAsia="宋体" w:cs="Times New Roman"/>
          <w:iCs/>
          <w:color w:val="auto"/>
          <w:sz w:val="21"/>
          <w:szCs w:val="21"/>
        </w:rPr>
        <w:t>报价精确到元，可保留两位小数。</w:t>
      </w:r>
      <w:bookmarkStart w:id="82" w:name="_Hlk530584761"/>
    </w:p>
    <w:p w14:paraId="5A14131A">
      <w:pPr>
        <w:numPr>
          <w:ilvl w:val="0"/>
          <w:numId w:val="4"/>
        </w:numPr>
        <w:spacing w:line="480" w:lineRule="exact"/>
        <w:ind w:left="0" w:leftChars="0" w:firstLine="420" w:firstLineChars="200"/>
        <w:rPr>
          <w:rFonts w:hint="eastAsia" w:eastAsia="宋体" w:cs="Times New Roman"/>
          <w:iCs/>
          <w:color w:val="auto"/>
          <w:sz w:val="21"/>
          <w:szCs w:val="21"/>
        </w:rPr>
      </w:pPr>
      <w:r>
        <w:rPr>
          <w:rFonts w:hint="eastAsia" w:ascii="宋体" w:hAnsi="宋体" w:eastAsia="宋体" w:cs="宋体"/>
          <w:color w:val="auto"/>
          <w:szCs w:val="21"/>
          <w:highlight w:val="none"/>
          <w:lang w:val="en-US" w:eastAsia="zh-CN"/>
        </w:rPr>
        <w:t>磋商报价表中</w:t>
      </w:r>
      <w:r>
        <w:rPr>
          <w:rFonts w:hint="eastAsia" w:ascii="宋体" w:hAnsi="宋体" w:eastAsia="宋体" w:cs="宋体"/>
          <w:color w:val="auto"/>
          <w:szCs w:val="21"/>
          <w:highlight w:val="none"/>
        </w:rPr>
        <w:t>磋商总报价</w:t>
      </w:r>
      <w:r>
        <w:rPr>
          <w:rFonts w:hint="eastAsia" w:ascii="宋体" w:hAnsi="宋体" w:eastAsia="宋体" w:cs="宋体"/>
          <w:color w:val="auto"/>
          <w:szCs w:val="21"/>
          <w:highlight w:val="none"/>
          <w:lang w:val="en-US" w:eastAsia="zh-CN"/>
        </w:rPr>
        <w:t>=</w:t>
      </w:r>
      <w:r>
        <w:rPr>
          <w:rFonts w:hint="eastAsia" w:ascii="宋体" w:hAnsi="宋体" w:eastAsia="宋体" w:cs="宋体"/>
          <w:szCs w:val="21"/>
          <w:lang w:val="en-US" w:eastAsia="zh-CN"/>
        </w:rPr>
        <w:t>基坑变形监测报价+主体沉降观测报价</w:t>
      </w:r>
    </w:p>
    <w:bookmarkEnd w:id="82"/>
    <w:p w14:paraId="18B89DE1">
      <w:pPr>
        <w:pStyle w:val="11"/>
        <w:spacing w:line="460" w:lineRule="atLeast"/>
        <w:rPr>
          <w:rFonts w:hint="eastAsia" w:ascii="宋体" w:hAnsi="宋体" w:cs="宋体"/>
          <w:color w:val="auto"/>
          <w:highlight w:val="none"/>
        </w:rPr>
      </w:pPr>
    </w:p>
    <w:p w14:paraId="326621F0">
      <w:pPr>
        <w:autoSpaceDE w:val="0"/>
        <w:autoSpaceDN w:val="0"/>
        <w:adjustRightInd w:val="0"/>
        <w:snapToGrid w:val="0"/>
        <w:spacing w:line="460" w:lineRule="atLeast"/>
        <w:ind w:firstLine="4200" w:firstLineChars="20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供应商：</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（加盖公章）       </w:t>
      </w:r>
    </w:p>
    <w:p w14:paraId="1330B1A2">
      <w:pPr>
        <w:autoSpaceDE w:val="0"/>
        <w:autoSpaceDN w:val="0"/>
        <w:adjustRightInd w:val="0"/>
        <w:snapToGrid w:val="0"/>
        <w:spacing w:line="460" w:lineRule="atLeast"/>
        <w:ind w:firstLine="4200" w:firstLineChars="20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法定代表人或授权代表：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（签字或盖章）</w:t>
      </w:r>
    </w:p>
    <w:p w14:paraId="4E1B453B">
      <w:pPr>
        <w:autoSpaceDE w:val="0"/>
        <w:autoSpaceDN w:val="0"/>
        <w:adjustRightInd w:val="0"/>
        <w:snapToGrid w:val="0"/>
        <w:spacing w:line="460" w:lineRule="atLeast"/>
        <w:ind w:firstLine="210" w:firstLineChars="1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w:t>
      </w:r>
    </w:p>
    <w:p w14:paraId="073BB6D0">
      <w:pPr>
        <w:spacing w:line="46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r>
    </w:p>
    <w:p w14:paraId="18E0FCE4">
      <w:pPr>
        <w:pStyle w:val="31"/>
        <w:spacing w:before="312" w:after="312" w:line="460" w:lineRule="atLeast"/>
        <w:rPr>
          <w:rFonts w:hint="eastAsia" w:ascii="宋体" w:hAnsi="宋体" w:eastAsia="宋体" w:cs="宋体"/>
          <w:color w:val="auto"/>
          <w:highlight w:val="none"/>
        </w:rPr>
      </w:pPr>
      <w:r>
        <w:rPr>
          <w:rFonts w:hint="eastAsia" w:ascii="宋体" w:hAnsi="宋体" w:eastAsia="宋体" w:cs="宋体"/>
          <w:color w:val="auto"/>
          <w:highlight w:val="none"/>
        </w:rPr>
        <w:t>第三部分  分项报价表</w:t>
      </w:r>
    </w:p>
    <w:p w14:paraId="0A527A91">
      <w:pPr>
        <w:spacing w:line="460" w:lineRule="atLeast"/>
        <w:ind w:firstLine="3855" w:firstLineChars="16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（格式自拟）</w:t>
      </w:r>
    </w:p>
    <w:p w14:paraId="1934C7F2">
      <w:pPr>
        <w:pStyle w:val="31"/>
        <w:spacing w:before="312" w:after="312" w:line="460" w:lineRule="atLeast"/>
        <w:rPr>
          <w:rFonts w:hint="eastAsia" w:ascii="宋体" w:hAnsi="宋体" w:eastAsia="宋体" w:cs="宋体"/>
          <w:color w:val="auto"/>
          <w:highlight w:val="none"/>
        </w:rPr>
      </w:pPr>
    </w:p>
    <w:p w14:paraId="18E75C65">
      <w:pPr>
        <w:widowControl/>
        <w:spacing w:line="460" w:lineRule="atLeast"/>
        <w:rPr>
          <w:rFonts w:hint="eastAsia" w:ascii="宋体" w:hAnsi="宋体" w:eastAsia="宋体" w:cs="宋体"/>
          <w:b/>
          <w:color w:val="auto"/>
          <w:sz w:val="28"/>
          <w:szCs w:val="28"/>
          <w:highlight w:val="none"/>
        </w:rPr>
      </w:pPr>
    </w:p>
    <w:p w14:paraId="7ED03B1F">
      <w:pPr>
        <w:widowControl/>
        <w:spacing w:line="460" w:lineRule="atLeast"/>
        <w:jc w:val="lef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r>
    </w:p>
    <w:p w14:paraId="15790974">
      <w:pPr>
        <w:pStyle w:val="31"/>
        <w:spacing w:before="312" w:after="312" w:line="460" w:lineRule="atLeast"/>
        <w:rPr>
          <w:rFonts w:hint="eastAsia" w:ascii="宋体" w:hAnsi="宋体" w:eastAsia="宋体" w:cs="宋体"/>
          <w:color w:val="auto"/>
          <w:highlight w:val="none"/>
        </w:rPr>
      </w:pPr>
      <w:r>
        <w:rPr>
          <w:rFonts w:hint="eastAsia" w:ascii="宋体" w:hAnsi="宋体" w:eastAsia="宋体" w:cs="宋体"/>
          <w:color w:val="auto"/>
          <w:highlight w:val="none"/>
        </w:rPr>
        <w:t>第四部分  资格证明文件</w:t>
      </w:r>
    </w:p>
    <w:p w14:paraId="5F6C5DE9">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供应商应按照《磋商公告》所列“供应商资格要求”提供全部资格证明文件，缺少其中任何一项，其响应文件将被视为无效文件。</w:t>
      </w:r>
    </w:p>
    <w:p w14:paraId="5B5BAB61">
      <w:pPr>
        <w:pStyle w:val="32"/>
        <w:spacing w:before="156" w:after="156" w:line="460" w:lineRule="atLeast"/>
        <w:rPr>
          <w:rFonts w:hint="eastAsia" w:ascii="宋体" w:hAnsi="宋体" w:cs="宋体"/>
          <w:color w:val="auto"/>
          <w:sz w:val="21"/>
          <w:szCs w:val="21"/>
          <w:highlight w:val="none"/>
        </w:rPr>
      </w:pPr>
      <w:r>
        <w:rPr>
          <w:rFonts w:hint="eastAsia" w:ascii="宋体" w:hAnsi="宋体" w:cs="宋体"/>
          <w:color w:val="auto"/>
          <w:sz w:val="21"/>
          <w:szCs w:val="21"/>
          <w:highlight w:val="none"/>
        </w:rPr>
        <w:t>一、</w:t>
      </w:r>
      <w:r>
        <w:rPr>
          <w:rFonts w:hint="eastAsia" w:ascii="宋体" w:hAnsi="宋体" w:eastAsia="宋体" w:cs="Times New Roman"/>
          <w:color w:val="auto"/>
          <w:kern w:val="2"/>
          <w:sz w:val="21"/>
          <w:szCs w:val="21"/>
          <w:lang w:val="en-US" w:eastAsia="zh-CN" w:bidi="ar-SA"/>
        </w:rPr>
        <w:t>有效的主体资格证明</w:t>
      </w:r>
      <w:r>
        <w:rPr>
          <w:rFonts w:hint="eastAsia" w:ascii="宋体" w:hAnsi="宋体" w:cs="宋体"/>
          <w:color w:val="auto"/>
          <w:sz w:val="21"/>
          <w:szCs w:val="21"/>
          <w:highlight w:val="none"/>
        </w:rPr>
        <w:t>：</w:t>
      </w:r>
    </w:p>
    <w:p w14:paraId="66CA8C1E">
      <w:pPr>
        <w:pStyle w:val="34"/>
        <w:spacing w:line="460" w:lineRule="atLeast"/>
        <w:ind w:firstLine="420"/>
        <w:rPr>
          <w:rFonts w:hint="eastAsia" w:ascii="宋体" w:hAnsi="宋体" w:cs="宋体"/>
          <w:color w:val="auto"/>
          <w:sz w:val="21"/>
          <w:szCs w:val="21"/>
          <w:highlight w:val="none"/>
        </w:rPr>
      </w:pPr>
    </w:p>
    <w:p w14:paraId="036E399D">
      <w:pPr>
        <w:pStyle w:val="32"/>
        <w:spacing w:before="156" w:after="156" w:line="460" w:lineRule="atLeast"/>
        <w:rPr>
          <w:rFonts w:hint="eastAsia" w:ascii="宋体" w:hAnsi="宋体" w:cs="宋体"/>
          <w:color w:val="auto"/>
          <w:sz w:val="21"/>
          <w:szCs w:val="21"/>
          <w:highlight w:val="none"/>
        </w:rPr>
      </w:pPr>
      <w:r>
        <w:rPr>
          <w:rFonts w:hint="eastAsia" w:ascii="宋体" w:hAnsi="宋体" w:cs="宋体"/>
          <w:color w:val="auto"/>
          <w:sz w:val="21"/>
          <w:szCs w:val="21"/>
          <w:highlight w:val="none"/>
        </w:rPr>
        <w:t>二、财务状况报告：</w:t>
      </w:r>
    </w:p>
    <w:p w14:paraId="36A4DFED">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说明：三种形式任选一种，其中采用第二种形式的须按下方给定格式填写基本存款账户信息：</w:t>
      </w:r>
    </w:p>
    <w:p w14:paraId="6E2F6129">
      <w:pPr>
        <w:widowControl/>
        <w:spacing w:line="460" w:lineRule="atLeas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基本存款账户信息</w:t>
      </w:r>
    </w:p>
    <w:p w14:paraId="2AAF4879">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账户名称：</w:t>
      </w:r>
    </w:p>
    <w:p w14:paraId="217C170F">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账户号码：</w:t>
      </w:r>
    </w:p>
    <w:p w14:paraId="308D70C5">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开户银行：</w:t>
      </w:r>
    </w:p>
    <w:p w14:paraId="3D2BF2A2">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法定代表人：（签字或盖章）</w:t>
      </w:r>
    </w:p>
    <w:p w14:paraId="5A080C1D">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基本存款账户编号：</w:t>
      </w:r>
    </w:p>
    <w:p w14:paraId="01C59785">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供应商：（供应商全称并加盖公章）</w:t>
      </w:r>
    </w:p>
    <w:p w14:paraId="14527AC6">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日期：年　月　日</w:t>
      </w:r>
    </w:p>
    <w:p w14:paraId="3B3CACEA">
      <w:pPr>
        <w:pStyle w:val="32"/>
        <w:spacing w:before="156" w:after="156" w:line="460" w:lineRule="atLeast"/>
        <w:rPr>
          <w:rFonts w:hint="eastAsia" w:ascii="宋体" w:hAnsi="宋体" w:cs="宋体"/>
          <w:color w:val="auto"/>
          <w:sz w:val="21"/>
          <w:szCs w:val="21"/>
          <w:highlight w:val="none"/>
        </w:rPr>
      </w:pPr>
      <w:r>
        <w:rPr>
          <w:rFonts w:hint="eastAsia" w:ascii="宋体" w:hAnsi="宋体" w:cs="宋体"/>
          <w:color w:val="auto"/>
          <w:sz w:val="21"/>
          <w:szCs w:val="21"/>
          <w:highlight w:val="none"/>
        </w:rPr>
        <w:t>三、社会保障资金缴纳证明：</w:t>
      </w:r>
    </w:p>
    <w:p w14:paraId="21C25338">
      <w:pPr>
        <w:pStyle w:val="34"/>
        <w:spacing w:line="460" w:lineRule="atLeast"/>
        <w:ind w:firstLine="420"/>
        <w:rPr>
          <w:rFonts w:hint="eastAsia" w:ascii="宋体" w:hAnsi="宋体" w:cs="宋体"/>
          <w:color w:val="auto"/>
          <w:sz w:val="21"/>
          <w:szCs w:val="21"/>
          <w:highlight w:val="none"/>
        </w:rPr>
      </w:pPr>
    </w:p>
    <w:p w14:paraId="36FF4663">
      <w:pPr>
        <w:pStyle w:val="32"/>
        <w:spacing w:before="156" w:after="156" w:line="460" w:lineRule="atLeast"/>
        <w:rPr>
          <w:rFonts w:hint="eastAsia" w:ascii="宋体" w:hAnsi="宋体" w:cs="宋体"/>
          <w:color w:val="auto"/>
          <w:sz w:val="21"/>
          <w:szCs w:val="21"/>
          <w:highlight w:val="none"/>
        </w:rPr>
      </w:pPr>
      <w:r>
        <w:rPr>
          <w:rFonts w:hint="eastAsia" w:ascii="宋体" w:hAnsi="宋体" w:cs="宋体"/>
          <w:color w:val="auto"/>
          <w:sz w:val="21"/>
          <w:szCs w:val="21"/>
          <w:highlight w:val="none"/>
        </w:rPr>
        <w:t>四、税收缴纳证明：</w:t>
      </w:r>
    </w:p>
    <w:p w14:paraId="7A3C22E5">
      <w:pPr>
        <w:pStyle w:val="34"/>
        <w:spacing w:line="460" w:lineRule="atLeast"/>
        <w:ind w:firstLine="420"/>
        <w:rPr>
          <w:rFonts w:hint="eastAsia" w:ascii="宋体" w:hAnsi="宋体" w:cs="宋体"/>
          <w:color w:val="auto"/>
          <w:sz w:val="21"/>
          <w:szCs w:val="21"/>
          <w:highlight w:val="none"/>
        </w:rPr>
      </w:pPr>
    </w:p>
    <w:p w14:paraId="7013B0B6">
      <w:pPr>
        <w:pStyle w:val="32"/>
        <w:spacing w:before="156" w:after="156" w:line="460" w:lineRule="atLeast"/>
        <w:rPr>
          <w:rFonts w:hint="eastAsia" w:ascii="宋体" w:hAnsi="宋体" w:cs="宋体"/>
          <w:color w:val="auto"/>
          <w:sz w:val="21"/>
          <w:szCs w:val="21"/>
          <w:highlight w:val="none"/>
        </w:rPr>
      </w:pPr>
      <w:r>
        <w:rPr>
          <w:rFonts w:hint="eastAsia" w:ascii="宋体" w:hAnsi="宋体" w:cs="宋体"/>
          <w:color w:val="auto"/>
          <w:sz w:val="21"/>
          <w:szCs w:val="21"/>
          <w:highlight w:val="none"/>
        </w:rPr>
        <w:t>五、无重大违法记录声明：（按下方给定格式进行填写）</w:t>
      </w:r>
    </w:p>
    <w:p w14:paraId="3E6F2A55">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提示：1、供应商可通过【信用中国（www.creditchina.gov.cn）】、【中国政府采购网（www.ccgp.gov.cn）】网站对自身信用记录进行自查，并按查询结果填写下述声明。</w:t>
      </w:r>
    </w:p>
    <w:p w14:paraId="49B7CE3A">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2、供应商在参加政府采购活动前三年内因违法经营被禁止在一定期限内参加政府采购活动，期限届满的，可以参加政府采购活动，但应提供期限届满的证明材料。</w:t>
      </w:r>
      <w:r>
        <w:rPr>
          <w:rFonts w:hint="eastAsia" w:ascii="宋体" w:hAnsi="宋体" w:cs="宋体"/>
          <w:color w:val="auto"/>
          <w:sz w:val="21"/>
          <w:szCs w:val="21"/>
          <w:highlight w:val="none"/>
        </w:rPr>
        <w:br w:type="page"/>
      </w:r>
    </w:p>
    <w:p w14:paraId="2B6F6E9F">
      <w:pPr>
        <w:pStyle w:val="60"/>
        <w:spacing w:before="312" w:after="312" w:line="460" w:lineRule="atLeast"/>
        <w:rPr>
          <w:rFonts w:hint="eastAsia" w:ascii="宋体" w:hAnsi="宋体" w:cs="宋体"/>
          <w:color w:val="auto"/>
          <w:sz w:val="21"/>
          <w:szCs w:val="21"/>
          <w:highlight w:val="none"/>
        </w:rPr>
      </w:pPr>
      <w:r>
        <w:rPr>
          <w:rFonts w:hint="eastAsia" w:ascii="宋体" w:hAnsi="宋体" w:cs="宋体"/>
          <w:color w:val="auto"/>
          <w:sz w:val="21"/>
          <w:szCs w:val="21"/>
          <w:highlight w:val="none"/>
        </w:rPr>
        <w:t>无重大违法记录声明</w:t>
      </w:r>
    </w:p>
    <w:p w14:paraId="6CF3A4A6">
      <w:pPr>
        <w:pStyle w:val="32"/>
        <w:spacing w:before="156" w:after="156" w:line="460" w:lineRule="atLeast"/>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陕西益森工程咨询有限公司</w:t>
      </w:r>
      <w:r>
        <w:rPr>
          <w:rFonts w:hint="eastAsia" w:ascii="宋体" w:hAnsi="宋体" w:cs="宋体"/>
          <w:color w:val="auto"/>
          <w:sz w:val="21"/>
          <w:szCs w:val="21"/>
          <w:highlight w:val="none"/>
        </w:rPr>
        <w:t>：</w:t>
      </w:r>
    </w:p>
    <w:p w14:paraId="5A005ACE">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我方作为《</w:t>
      </w:r>
      <w:r>
        <w:rPr>
          <w:rFonts w:hint="eastAsia" w:ascii="宋体" w:hAnsi="宋体" w:cs="宋体"/>
          <w:color w:val="auto"/>
          <w:sz w:val="21"/>
          <w:szCs w:val="21"/>
          <w:highlight w:val="none"/>
          <w:u w:val="single"/>
        </w:rPr>
        <w:t xml:space="preserve">  项目名称</w:t>
      </w:r>
      <w:r>
        <w:rPr>
          <w:rFonts w:hint="eastAsia" w:ascii="宋体" w:hAnsi="宋体" w:cs="宋体"/>
          <w:color w:val="auto"/>
          <w:sz w:val="21"/>
          <w:szCs w:val="21"/>
          <w:highlight w:val="none"/>
          <w:u w:val="single"/>
          <w:lang w:eastAsia="zh-CN"/>
        </w:rPr>
        <w:t>、</w:t>
      </w:r>
      <w:r>
        <w:rPr>
          <w:rFonts w:hint="eastAsia" w:ascii="宋体" w:hAnsi="宋体" w:cs="宋体"/>
          <w:color w:val="auto"/>
          <w:sz w:val="21"/>
          <w:szCs w:val="21"/>
          <w:highlight w:val="none"/>
          <w:u w:val="single"/>
          <w:lang w:val="en-US" w:eastAsia="zh-CN"/>
        </w:rPr>
        <w:t>包号名称</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》(项目编号：</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)的磋商供应商，在此郑重声明：</w:t>
      </w:r>
    </w:p>
    <w:p w14:paraId="5AA87D42">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1、在参加本次政府采购活动前3年内的经营活动中_____（填“没有”或“有”）重大违法记录。</w:t>
      </w:r>
    </w:p>
    <w:p w14:paraId="0CDA2073">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2、我方_____（填“未被列入”或“被列入”）失信被执行人名单。</w:t>
      </w:r>
    </w:p>
    <w:p w14:paraId="271B9C98">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3、我方_____（填“未被列入”或“被列入”）重大税收违法案件当事人名单。</w:t>
      </w:r>
    </w:p>
    <w:p w14:paraId="69532B43">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4、我方_____（填“未被列入”或“被列入”）政府采购严重违法失信行为记录名单。</w:t>
      </w:r>
    </w:p>
    <w:p w14:paraId="36AFA473">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如有不实，我方将无条件地退出本项目的采购活动，并遵照《政府采购法》有关“提供虚假材料的规定”接受处罚。</w:t>
      </w:r>
    </w:p>
    <w:p w14:paraId="0B4493F7">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特此声明。</w:t>
      </w:r>
    </w:p>
    <w:p w14:paraId="60ED2972">
      <w:pPr>
        <w:pStyle w:val="34"/>
        <w:spacing w:line="460" w:lineRule="atLeast"/>
        <w:ind w:firstLine="420"/>
        <w:jc w:val="right"/>
        <w:rPr>
          <w:rFonts w:hint="eastAsia" w:ascii="宋体" w:hAnsi="宋体" w:cs="宋体"/>
          <w:color w:val="auto"/>
          <w:sz w:val="21"/>
          <w:szCs w:val="21"/>
          <w:highlight w:val="none"/>
        </w:rPr>
      </w:pPr>
      <w:r>
        <w:rPr>
          <w:rFonts w:hint="eastAsia" w:ascii="宋体" w:hAnsi="宋体" w:cs="宋体"/>
          <w:color w:val="auto"/>
          <w:sz w:val="21"/>
          <w:szCs w:val="21"/>
          <w:highlight w:val="none"/>
        </w:rPr>
        <w:tab/>
      </w:r>
      <w:r>
        <w:rPr>
          <w:rFonts w:hint="eastAsia" w:ascii="宋体" w:hAnsi="宋体" w:cs="宋体"/>
          <w:color w:val="auto"/>
          <w:sz w:val="21"/>
          <w:szCs w:val="21"/>
          <w:highlight w:val="none"/>
        </w:rPr>
        <w:t>供应商：（供应商全称并加盖公章）</w:t>
      </w:r>
    </w:p>
    <w:p w14:paraId="055BD588">
      <w:pPr>
        <w:pStyle w:val="34"/>
        <w:spacing w:line="460" w:lineRule="atLeast"/>
        <w:ind w:firstLine="420"/>
        <w:jc w:val="right"/>
        <w:rPr>
          <w:rFonts w:hint="eastAsia" w:ascii="宋体" w:hAnsi="宋体" w:cs="宋体"/>
          <w:color w:val="auto"/>
          <w:sz w:val="21"/>
          <w:szCs w:val="21"/>
          <w:highlight w:val="none"/>
        </w:rPr>
      </w:pPr>
      <w:r>
        <w:rPr>
          <w:rFonts w:hint="eastAsia" w:ascii="宋体" w:hAnsi="宋体" w:cs="宋体"/>
          <w:color w:val="auto"/>
          <w:sz w:val="21"/>
          <w:szCs w:val="21"/>
          <w:highlight w:val="none"/>
        </w:rPr>
        <w:tab/>
      </w:r>
      <w:r>
        <w:rPr>
          <w:rFonts w:hint="eastAsia" w:ascii="宋体" w:hAnsi="宋体" w:cs="宋体"/>
          <w:color w:val="auto"/>
          <w:sz w:val="21"/>
          <w:szCs w:val="21"/>
          <w:highlight w:val="none"/>
        </w:rPr>
        <w:t>日　期：年　月　日</w:t>
      </w:r>
    </w:p>
    <w:p w14:paraId="2F1B7117">
      <w:pPr>
        <w:widowControl/>
        <w:tabs>
          <w:tab w:val="center" w:pos="6663"/>
        </w:tabs>
        <w:spacing w:line="46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r>
    </w:p>
    <w:p w14:paraId="4ACE390D">
      <w:pPr>
        <w:pStyle w:val="32"/>
        <w:spacing w:before="156" w:after="156" w:line="460" w:lineRule="atLeast"/>
        <w:rPr>
          <w:rFonts w:hint="eastAsia" w:ascii="宋体" w:hAnsi="宋体" w:cs="宋体"/>
          <w:color w:val="auto"/>
          <w:sz w:val="21"/>
          <w:szCs w:val="21"/>
          <w:highlight w:val="none"/>
        </w:rPr>
      </w:pPr>
      <w:r>
        <w:rPr>
          <w:rFonts w:hint="eastAsia" w:ascii="宋体" w:hAnsi="宋体" w:cs="宋体"/>
          <w:color w:val="auto"/>
          <w:sz w:val="21"/>
          <w:szCs w:val="21"/>
          <w:highlight w:val="none"/>
        </w:rPr>
        <w:t>六、控股管理关系</w:t>
      </w:r>
    </w:p>
    <w:p w14:paraId="646F7C51">
      <w:pPr>
        <w:pStyle w:val="34"/>
        <w:spacing w:line="460" w:lineRule="atLeast"/>
        <w:ind w:firstLine="420"/>
        <w:rPr>
          <w:rFonts w:hint="eastAsia" w:ascii="宋体" w:hAnsi="宋体" w:cs="宋体"/>
          <w:color w:val="auto"/>
          <w:sz w:val="21"/>
          <w:szCs w:val="21"/>
          <w:highlight w:val="none"/>
        </w:rPr>
      </w:pPr>
    </w:p>
    <w:p w14:paraId="24010C0A">
      <w:pPr>
        <w:pStyle w:val="34"/>
        <w:spacing w:line="460" w:lineRule="atLeast"/>
        <w:ind w:firstLine="422"/>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供应商提供直接控股和管理关系清单，格式不限。</w:t>
      </w:r>
    </w:p>
    <w:p w14:paraId="5737A297">
      <w:pPr>
        <w:pStyle w:val="34"/>
        <w:spacing w:line="460" w:lineRule="atLeast"/>
        <w:ind w:firstLine="422"/>
        <w:jc w:val="center"/>
        <w:rPr>
          <w:rFonts w:hint="eastAsia" w:ascii="宋体" w:hAnsi="宋体" w:cs="宋体"/>
          <w:b/>
          <w:color w:val="auto"/>
          <w:sz w:val="21"/>
          <w:szCs w:val="21"/>
          <w:highlight w:val="none"/>
        </w:rPr>
      </w:pPr>
    </w:p>
    <w:p w14:paraId="0C655539">
      <w:pPr>
        <w:pStyle w:val="34"/>
        <w:spacing w:line="460" w:lineRule="atLeast"/>
        <w:ind w:firstLine="422"/>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控股管理关系 (样表)</w:t>
      </w:r>
    </w:p>
    <w:p w14:paraId="2683216F">
      <w:pPr>
        <w:pStyle w:val="34"/>
        <w:spacing w:line="460" w:lineRule="atLeast"/>
        <w:ind w:firstLine="420"/>
        <w:rPr>
          <w:rFonts w:hint="eastAsia" w:ascii="宋体" w:hAnsi="宋体" w:cs="宋体"/>
          <w:color w:val="auto"/>
          <w:sz w:val="21"/>
          <w:szCs w:val="21"/>
          <w:highlight w:val="none"/>
        </w:rPr>
      </w:pPr>
    </w:p>
    <w:p w14:paraId="0FA65BDF">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陕西益森工程咨询有限公司</w:t>
      </w:r>
      <w:r>
        <w:rPr>
          <w:rFonts w:hint="eastAsia" w:ascii="宋体" w:hAnsi="宋体" w:cs="宋体"/>
          <w:color w:val="auto"/>
          <w:sz w:val="21"/>
          <w:szCs w:val="21"/>
          <w:highlight w:val="none"/>
        </w:rPr>
        <w:t>：</w:t>
      </w:r>
    </w:p>
    <w:p w14:paraId="7C1F247E">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我方与以下供应商存在直接控股、管理关系：</w:t>
      </w:r>
    </w:p>
    <w:p w14:paraId="51C7F59A">
      <w:pPr>
        <w:spacing w:line="460" w:lineRule="atLeast"/>
        <w:rPr>
          <w:rFonts w:hint="eastAsia" w:ascii="宋体" w:hAnsi="宋体" w:eastAsia="宋体" w:cs="宋体"/>
          <w:color w:val="auto"/>
          <w:sz w:val="2"/>
          <w:highlight w:val="none"/>
        </w:rPr>
      </w:pPr>
    </w:p>
    <w:tbl>
      <w:tblPr>
        <w:tblStyle w:val="23"/>
        <w:tblW w:w="8423"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98"/>
        <w:gridCol w:w="6725"/>
      </w:tblGrid>
      <w:tr w14:paraId="6C99EE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8423" w:type="dxa"/>
            <w:gridSpan w:val="2"/>
            <w:tcBorders>
              <w:left w:val="single" w:color="000000" w:sz="10" w:space="0"/>
              <w:right w:val="single" w:color="000000" w:sz="10" w:space="0"/>
            </w:tcBorders>
            <w:shd w:val="clear" w:color="auto" w:fill="F7CAAC"/>
          </w:tcPr>
          <w:p w14:paraId="7F25EA49">
            <w:pPr>
              <w:spacing w:before="143" w:line="460" w:lineRule="atLeast"/>
              <w:ind w:left="2534"/>
              <w:rPr>
                <w:rFonts w:hint="eastAsia" w:ascii="宋体" w:hAnsi="宋体" w:eastAsia="宋体" w:cs="宋体"/>
                <w:color w:val="auto"/>
                <w:kern w:val="0"/>
                <w:szCs w:val="21"/>
                <w:highlight w:val="none"/>
              </w:rPr>
            </w:pPr>
            <w:r>
              <w:rPr>
                <w:rFonts w:hint="eastAsia" w:ascii="宋体" w:hAnsi="宋体" w:eastAsia="宋体" w:cs="宋体"/>
                <w:color w:val="auto"/>
                <w:spacing w:val="13"/>
                <w:kern w:val="0"/>
                <w:szCs w:val="21"/>
                <w:highlight w:val="none"/>
              </w:rPr>
              <w:t>存</w:t>
            </w:r>
            <w:r>
              <w:rPr>
                <w:rFonts w:hint="eastAsia" w:ascii="宋体" w:hAnsi="宋体" w:eastAsia="宋体" w:cs="宋体"/>
                <w:color w:val="auto"/>
                <w:spacing w:val="12"/>
                <w:kern w:val="0"/>
                <w:szCs w:val="21"/>
                <w:highlight w:val="none"/>
              </w:rPr>
              <w:t>在直接控股、管理关系的相关供应商</w:t>
            </w:r>
          </w:p>
        </w:tc>
      </w:tr>
      <w:tr w14:paraId="15DC59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6" w:hRule="atLeast"/>
        </w:trPr>
        <w:tc>
          <w:tcPr>
            <w:tcW w:w="1698" w:type="dxa"/>
            <w:tcBorders>
              <w:left w:val="single" w:color="000000" w:sz="10" w:space="0"/>
              <w:right w:val="single" w:color="000000" w:sz="4" w:space="0"/>
            </w:tcBorders>
            <w:shd w:val="clear" w:color="auto" w:fill="auto"/>
          </w:tcPr>
          <w:p w14:paraId="685D9C66">
            <w:pPr>
              <w:spacing w:before="121" w:line="460" w:lineRule="atLeast"/>
              <w:ind w:left="612"/>
              <w:rPr>
                <w:rFonts w:hint="eastAsia" w:ascii="宋体" w:hAnsi="宋体" w:eastAsia="宋体" w:cs="宋体"/>
                <w:color w:val="auto"/>
                <w:kern w:val="0"/>
                <w:szCs w:val="21"/>
                <w:highlight w:val="none"/>
              </w:rPr>
            </w:pPr>
            <w:r>
              <w:rPr>
                <w:rFonts w:hint="eastAsia" w:ascii="宋体" w:hAnsi="宋体" w:eastAsia="宋体" w:cs="宋体"/>
                <w:color w:val="auto"/>
                <w:spacing w:val="-1"/>
                <w:kern w:val="0"/>
                <w:szCs w:val="21"/>
                <w:highlight w:val="none"/>
              </w:rPr>
              <w:t>关</w:t>
            </w:r>
            <w:r>
              <w:rPr>
                <w:rFonts w:hint="eastAsia" w:ascii="宋体" w:hAnsi="宋体" w:eastAsia="宋体" w:cs="宋体"/>
                <w:color w:val="auto"/>
                <w:kern w:val="0"/>
                <w:szCs w:val="21"/>
                <w:highlight w:val="none"/>
              </w:rPr>
              <w:t>系</w:t>
            </w:r>
          </w:p>
        </w:tc>
        <w:tc>
          <w:tcPr>
            <w:tcW w:w="6725" w:type="dxa"/>
            <w:tcBorders>
              <w:left w:val="single" w:color="000000" w:sz="4" w:space="0"/>
              <w:right w:val="single" w:color="000000" w:sz="10" w:space="0"/>
            </w:tcBorders>
            <w:shd w:val="clear" w:color="auto" w:fill="auto"/>
          </w:tcPr>
          <w:p w14:paraId="6A45E12D">
            <w:pPr>
              <w:spacing w:before="121" w:line="460" w:lineRule="atLeast"/>
              <w:ind w:left="3142"/>
              <w:rPr>
                <w:rFonts w:hint="eastAsia" w:ascii="宋体" w:hAnsi="宋体" w:eastAsia="宋体" w:cs="宋体"/>
                <w:color w:val="auto"/>
                <w:kern w:val="0"/>
                <w:szCs w:val="21"/>
                <w:highlight w:val="none"/>
              </w:rPr>
            </w:pPr>
            <w:r>
              <w:rPr>
                <w:rFonts w:hint="eastAsia" w:ascii="宋体" w:hAnsi="宋体" w:eastAsia="宋体" w:cs="宋体"/>
                <w:color w:val="auto"/>
                <w:spacing w:val="11"/>
                <w:kern w:val="0"/>
                <w:szCs w:val="21"/>
                <w:highlight w:val="none"/>
              </w:rPr>
              <w:t>供</w:t>
            </w:r>
            <w:r>
              <w:rPr>
                <w:rFonts w:hint="eastAsia" w:ascii="宋体" w:hAnsi="宋体" w:eastAsia="宋体" w:cs="宋体"/>
                <w:color w:val="auto"/>
                <w:spacing w:val="9"/>
                <w:kern w:val="0"/>
                <w:szCs w:val="21"/>
                <w:highlight w:val="none"/>
              </w:rPr>
              <w:t>应商名称</w:t>
            </w:r>
          </w:p>
        </w:tc>
      </w:tr>
      <w:tr w14:paraId="11FDA0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6" w:hRule="atLeast"/>
        </w:trPr>
        <w:tc>
          <w:tcPr>
            <w:tcW w:w="1698" w:type="dxa"/>
            <w:tcBorders>
              <w:left w:val="single" w:color="000000" w:sz="10" w:space="0"/>
              <w:right w:val="single" w:color="000000" w:sz="4" w:space="0"/>
            </w:tcBorders>
            <w:shd w:val="clear" w:color="auto" w:fill="auto"/>
          </w:tcPr>
          <w:p w14:paraId="415AFCFF">
            <w:pPr>
              <w:spacing w:line="460" w:lineRule="atLeast"/>
              <w:rPr>
                <w:rFonts w:hint="eastAsia" w:ascii="宋体" w:hAnsi="宋体" w:eastAsia="宋体" w:cs="宋体"/>
                <w:color w:val="auto"/>
                <w:kern w:val="0"/>
                <w:szCs w:val="21"/>
                <w:highlight w:val="none"/>
              </w:rPr>
            </w:pPr>
          </w:p>
        </w:tc>
        <w:tc>
          <w:tcPr>
            <w:tcW w:w="6725" w:type="dxa"/>
            <w:tcBorders>
              <w:left w:val="single" w:color="000000" w:sz="4" w:space="0"/>
              <w:right w:val="single" w:color="000000" w:sz="10" w:space="0"/>
            </w:tcBorders>
            <w:shd w:val="clear" w:color="auto" w:fill="auto"/>
          </w:tcPr>
          <w:p w14:paraId="5AA89F8C">
            <w:pPr>
              <w:spacing w:line="460" w:lineRule="atLeast"/>
              <w:rPr>
                <w:rFonts w:hint="eastAsia" w:ascii="宋体" w:hAnsi="宋体" w:eastAsia="宋体" w:cs="宋体"/>
                <w:color w:val="auto"/>
                <w:kern w:val="0"/>
                <w:szCs w:val="21"/>
                <w:highlight w:val="none"/>
              </w:rPr>
            </w:pPr>
          </w:p>
        </w:tc>
      </w:tr>
      <w:tr w14:paraId="46F3A2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6" w:hRule="atLeast"/>
        </w:trPr>
        <w:tc>
          <w:tcPr>
            <w:tcW w:w="1698" w:type="dxa"/>
            <w:tcBorders>
              <w:left w:val="single" w:color="000000" w:sz="10" w:space="0"/>
              <w:right w:val="single" w:color="000000" w:sz="4" w:space="0"/>
            </w:tcBorders>
            <w:shd w:val="clear" w:color="auto" w:fill="auto"/>
          </w:tcPr>
          <w:p w14:paraId="4A0A702E">
            <w:pPr>
              <w:spacing w:line="460" w:lineRule="atLeast"/>
              <w:rPr>
                <w:rFonts w:hint="eastAsia" w:ascii="宋体" w:hAnsi="宋体" w:eastAsia="宋体" w:cs="宋体"/>
                <w:color w:val="auto"/>
                <w:kern w:val="0"/>
                <w:szCs w:val="21"/>
                <w:highlight w:val="none"/>
              </w:rPr>
            </w:pPr>
          </w:p>
        </w:tc>
        <w:tc>
          <w:tcPr>
            <w:tcW w:w="6725" w:type="dxa"/>
            <w:tcBorders>
              <w:left w:val="single" w:color="000000" w:sz="4" w:space="0"/>
              <w:right w:val="single" w:color="000000" w:sz="10" w:space="0"/>
            </w:tcBorders>
            <w:shd w:val="clear" w:color="auto" w:fill="auto"/>
          </w:tcPr>
          <w:p w14:paraId="0D7E724D">
            <w:pPr>
              <w:spacing w:line="460" w:lineRule="atLeast"/>
              <w:rPr>
                <w:rFonts w:hint="eastAsia" w:ascii="宋体" w:hAnsi="宋体" w:eastAsia="宋体" w:cs="宋体"/>
                <w:color w:val="auto"/>
                <w:kern w:val="0"/>
                <w:szCs w:val="21"/>
                <w:highlight w:val="none"/>
              </w:rPr>
            </w:pPr>
          </w:p>
        </w:tc>
      </w:tr>
      <w:tr w14:paraId="1E915B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1698" w:type="dxa"/>
            <w:tcBorders>
              <w:left w:val="single" w:color="000000" w:sz="10" w:space="0"/>
              <w:right w:val="single" w:color="000000" w:sz="4" w:space="0"/>
            </w:tcBorders>
            <w:shd w:val="clear" w:color="auto" w:fill="auto"/>
          </w:tcPr>
          <w:p w14:paraId="0BAB211E">
            <w:pPr>
              <w:spacing w:line="460" w:lineRule="atLeast"/>
              <w:rPr>
                <w:rFonts w:hint="eastAsia" w:ascii="宋体" w:hAnsi="宋体" w:eastAsia="宋体" w:cs="宋体"/>
                <w:color w:val="auto"/>
                <w:kern w:val="0"/>
                <w:szCs w:val="21"/>
                <w:highlight w:val="none"/>
              </w:rPr>
            </w:pPr>
          </w:p>
        </w:tc>
        <w:tc>
          <w:tcPr>
            <w:tcW w:w="6725" w:type="dxa"/>
            <w:tcBorders>
              <w:left w:val="single" w:color="000000" w:sz="4" w:space="0"/>
              <w:right w:val="single" w:color="000000" w:sz="10" w:space="0"/>
            </w:tcBorders>
            <w:shd w:val="clear" w:color="auto" w:fill="auto"/>
          </w:tcPr>
          <w:p w14:paraId="3F22367E">
            <w:pPr>
              <w:spacing w:line="460" w:lineRule="atLeast"/>
              <w:rPr>
                <w:rFonts w:hint="eastAsia" w:ascii="宋体" w:hAnsi="宋体" w:eastAsia="宋体" w:cs="宋体"/>
                <w:color w:val="auto"/>
                <w:kern w:val="0"/>
                <w:szCs w:val="21"/>
                <w:highlight w:val="none"/>
              </w:rPr>
            </w:pPr>
          </w:p>
        </w:tc>
      </w:tr>
    </w:tbl>
    <w:p w14:paraId="4966EADD">
      <w:pPr>
        <w:spacing w:line="460" w:lineRule="atLeast"/>
        <w:rPr>
          <w:rFonts w:hint="eastAsia" w:ascii="宋体" w:hAnsi="宋体" w:eastAsia="宋体" w:cs="宋体"/>
          <w:color w:val="auto"/>
          <w:highlight w:val="none"/>
        </w:rPr>
      </w:pPr>
      <w:r>
        <w:rPr>
          <w:rFonts w:hint="eastAsia" w:ascii="宋体" w:hAnsi="宋体" w:eastAsia="宋体" w:cs="宋体"/>
          <w:color w:val="auto"/>
          <w:spacing w:val="-1"/>
          <w:kern w:val="0"/>
          <w:szCs w:val="21"/>
          <w:highlight w:val="none"/>
        </w:rPr>
        <w:t>备注：1、若不存在控股关系单位，填“无”；</w:t>
      </w:r>
    </w:p>
    <w:p w14:paraId="0C4CEBBE">
      <w:pPr>
        <w:pStyle w:val="15"/>
        <w:spacing w:line="460" w:lineRule="atLeast"/>
        <w:rPr>
          <w:rFonts w:hint="eastAsia" w:ascii="宋体" w:hAnsi="宋体" w:cs="宋体"/>
          <w:color w:val="auto"/>
          <w:sz w:val="21"/>
          <w:szCs w:val="21"/>
          <w:highlight w:val="none"/>
        </w:rPr>
      </w:pPr>
    </w:p>
    <w:p w14:paraId="7DFC8820">
      <w:pPr>
        <w:pStyle w:val="15"/>
        <w:spacing w:line="460" w:lineRule="atLeast"/>
        <w:rPr>
          <w:rFonts w:hint="eastAsia" w:ascii="宋体" w:hAnsi="宋体" w:cs="宋体"/>
          <w:color w:val="auto"/>
          <w:sz w:val="21"/>
          <w:szCs w:val="21"/>
          <w:highlight w:val="none"/>
        </w:rPr>
      </w:pPr>
    </w:p>
    <w:p w14:paraId="5BFF24FD">
      <w:pPr>
        <w:pStyle w:val="15"/>
        <w:spacing w:line="460" w:lineRule="atLeast"/>
        <w:ind w:firstLine="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供应商名称（盖章）：    </w:t>
      </w:r>
    </w:p>
    <w:p w14:paraId="663AF75E">
      <w:pPr>
        <w:pStyle w:val="15"/>
        <w:spacing w:line="460" w:lineRule="atLeast"/>
        <w:ind w:firstLine="0"/>
        <w:rPr>
          <w:rFonts w:hint="eastAsia" w:ascii="宋体" w:hAnsi="宋体" w:cs="宋体"/>
          <w:color w:val="auto"/>
          <w:sz w:val="21"/>
          <w:szCs w:val="21"/>
          <w:highlight w:val="none"/>
        </w:rPr>
      </w:pPr>
      <w:r>
        <w:rPr>
          <w:rFonts w:hint="eastAsia" w:ascii="宋体" w:hAnsi="宋体" w:cs="宋体"/>
          <w:color w:val="auto"/>
          <w:sz w:val="21"/>
          <w:szCs w:val="21"/>
          <w:highlight w:val="none"/>
        </w:rPr>
        <w:t>法定代表人或委托代理人（签字或盖章）：</w:t>
      </w:r>
    </w:p>
    <w:p w14:paraId="7F30BBD8">
      <w:pPr>
        <w:pStyle w:val="34"/>
        <w:spacing w:line="460" w:lineRule="atLeast"/>
        <w:ind w:firstLine="0" w:firstLineChars="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日    期：    年   月   日</w:t>
      </w:r>
    </w:p>
    <w:p w14:paraId="0BA3407D">
      <w:pPr>
        <w:widowControl/>
        <w:spacing w:line="460" w:lineRule="atLeast"/>
        <w:jc w:val="left"/>
        <w:rPr>
          <w:rFonts w:hint="eastAsia" w:ascii="宋体" w:hAnsi="宋体" w:eastAsia="宋体" w:cs="宋体"/>
          <w:color w:val="auto"/>
          <w:sz w:val="24"/>
          <w:highlight w:val="none"/>
        </w:rPr>
      </w:pPr>
      <w:r>
        <w:rPr>
          <w:rFonts w:hint="eastAsia" w:ascii="宋体" w:hAnsi="宋体" w:eastAsia="宋体" w:cs="宋体"/>
          <w:color w:val="auto"/>
          <w:highlight w:val="none"/>
        </w:rPr>
        <w:br w:type="page"/>
      </w:r>
    </w:p>
    <w:p w14:paraId="10EDA7FF">
      <w:pPr>
        <w:pStyle w:val="32"/>
        <w:spacing w:before="156" w:after="156" w:line="460" w:lineRule="atLeast"/>
        <w:rPr>
          <w:rFonts w:hint="eastAsia" w:ascii="宋体" w:hAnsi="宋体" w:cs="宋体"/>
          <w:color w:val="auto"/>
          <w:sz w:val="21"/>
          <w:szCs w:val="21"/>
          <w:highlight w:val="none"/>
        </w:rPr>
      </w:pPr>
      <w:r>
        <w:rPr>
          <w:rFonts w:hint="eastAsia" w:ascii="宋体" w:hAnsi="宋体" w:cs="宋体"/>
          <w:color w:val="auto"/>
          <w:sz w:val="21"/>
          <w:szCs w:val="21"/>
          <w:highlight w:val="none"/>
        </w:rPr>
        <w:t>七、书面声明</w:t>
      </w:r>
    </w:p>
    <w:p w14:paraId="0852980A">
      <w:pPr>
        <w:spacing w:line="460" w:lineRule="atLeast"/>
        <w:rPr>
          <w:rFonts w:hint="eastAsia" w:ascii="宋体" w:hAnsi="宋体" w:eastAsia="宋体" w:cs="宋体"/>
          <w:color w:val="auto"/>
          <w:szCs w:val="21"/>
          <w:highlight w:val="none"/>
        </w:rPr>
      </w:pPr>
    </w:p>
    <w:p w14:paraId="639F6629">
      <w:pPr>
        <w:pStyle w:val="60"/>
        <w:spacing w:before="312" w:after="312" w:line="460" w:lineRule="atLeast"/>
        <w:rPr>
          <w:rFonts w:hint="eastAsia" w:ascii="宋体" w:hAnsi="宋体" w:cs="宋体"/>
          <w:color w:val="auto"/>
          <w:sz w:val="21"/>
          <w:szCs w:val="21"/>
          <w:highlight w:val="none"/>
        </w:rPr>
      </w:pPr>
      <w:r>
        <w:rPr>
          <w:rFonts w:hint="eastAsia" w:ascii="宋体" w:hAnsi="宋体" w:cs="宋体"/>
          <w:color w:val="auto"/>
          <w:sz w:val="21"/>
          <w:szCs w:val="21"/>
          <w:highlight w:val="none"/>
        </w:rPr>
        <w:t>书面声明 (格式)</w:t>
      </w:r>
    </w:p>
    <w:p w14:paraId="751F2B60">
      <w:pPr>
        <w:pStyle w:val="32"/>
        <w:spacing w:before="156" w:after="156" w:line="460" w:lineRule="atLeast"/>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陕西益森工程咨询有限公司</w:t>
      </w:r>
      <w:r>
        <w:rPr>
          <w:rFonts w:hint="eastAsia" w:ascii="宋体" w:hAnsi="宋体" w:cs="宋体"/>
          <w:color w:val="auto"/>
          <w:sz w:val="21"/>
          <w:szCs w:val="21"/>
          <w:highlight w:val="none"/>
        </w:rPr>
        <w:t>：</w:t>
      </w:r>
    </w:p>
    <w:p w14:paraId="47D00513">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我方作为《</w:t>
      </w:r>
      <w:r>
        <w:rPr>
          <w:rFonts w:hint="eastAsia" w:ascii="宋体" w:hAnsi="宋体" w:cs="宋体"/>
          <w:color w:val="auto"/>
          <w:sz w:val="21"/>
          <w:szCs w:val="21"/>
          <w:highlight w:val="none"/>
          <w:u w:val="single"/>
        </w:rPr>
        <w:t xml:space="preserve">  项目名称</w:t>
      </w:r>
      <w:r>
        <w:rPr>
          <w:rFonts w:hint="eastAsia" w:ascii="宋体" w:hAnsi="宋体" w:cs="宋体"/>
          <w:color w:val="auto"/>
          <w:sz w:val="21"/>
          <w:szCs w:val="21"/>
          <w:highlight w:val="none"/>
          <w:u w:val="single"/>
          <w:lang w:eastAsia="zh-CN"/>
        </w:rPr>
        <w:t>、</w:t>
      </w:r>
      <w:r>
        <w:rPr>
          <w:rFonts w:hint="eastAsia" w:ascii="宋体" w:hAnsi="宋体" w:cs="宋体"/>
          <w:color w:val="auto"/>
          <w:sz w:val="21"/>
          <w:szCs w:val="21"/>
          <w:highlight w:val="none"/>
          <w:u w:val="single"/>
          <w:lang w:val="en-US" w:eastAsia="zh-CN"/>
        </w:rPr>
        <w:t>包号名称</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》(项目编号：</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的磋商供应商，在此郑重声明：</w:t>
      </w:r>
    </w:p>
    <w:p w14:paraId="125F85D8">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1、我方具备履行合同所必须的设备和专业技术能力。</w:t>
      </w:r>
    </w:p>
    <w:p w14:paraId="759E5E12">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2、</w:t>
      </w:r>
      <w:r>
        <w:rPr>
          <w:rFonts w:hint="eastAsia" w:ascii="宋体" w:hAnsi="宋体"/>
          <w:color w:val="auto"/>
          <w:sz w:val="21"/>
          <w:szCs w:val="21"/>
          <w:highlight w:val="none"/>
        </w:rPr>
        <w:t>我公司本次磋商为独立磋商，不存在联合体磋商情形。</w:t>
      </w:r>
    </w:p>
    <w:p w14:paraId="578BD7FE">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如有不实，我方将无条件地退出本项目的采购活动，并遵照《政府采购法》有关“提供虚假材料的规定”接受处罚。</w:t>
      </w:r>
    </w:p>
    <w:p w14:paraId="2AEA0411">
      <w:pPr>
        <w:pStyle w:val="34"/>
        <w:spacing w:line="460" w:lineRule="atLeast"/>
        <w:ind w:firstLine="420"/>
        <w:rPr>
          <w:rFonts w:hint="eastAsia" w:ascii="宋体" w:hAnsi="宋体" w:cs="宋体"/>
          <w:color w:val="auto"/>
          <w:sz w:val="21"/>
          <w:szCs w:val="21"/>
          <w:highlight w:val="none"/>
        </w:rPr>
      </w:pPr>
    </w:p>
    <w:p w14:paraId="6EAABD04">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特此声明。</w:t>
      </w:r>
    </w:p>
    <w:p w14:paraId="27222F2D">
      <w:pPr>
        <w:pStyle w:val="15"/>
        <w:spacing w:line="460" w:lineRule="atLeast"/>
        <w:ind w:firstLine="0"/>
        <w:rPr>
          <w:rFonts w:hint="eastAsia" w:ascii="宋体" w:hAnsi="宋体" w:cs="宋体"/>
          <w:color w:val="auto"/>
          <w:sz w:val="21"/>
          <w:szCs w:val="21"/>
          <w:highlight w:val="none"/>
        </w:rPr>
      </w:pPr>
    </w:p>
    <w:p w14:paraId="65789A67">
      <w:pPr>
        <w:pStyle w:val="15"/>
        <w:spacing w:line="460" w:lineRule="atLeast"/>
        <w:ind w:firstLine="0"/>
        <w:rPr>
          <w:rFonts w:hint="eastAsia" w:ascii="宋体" w:hAnsi="宋体" w:cs="宋体"/>
          <w:color w:val="auto"/>
          <w:sz w:val="21"/>
          <w:szCs w:val="21"/>
          <w:highlight w:val="none"/>
        </w:rPr>
      </w:pPr>
    </w:p>
    <w:p w14:paraId="5EC83F14">
      <w:pPr>
        <w:pStyle w:val="15"/>
        <w:spacing w:line="460" w:lineRule="atLeast"/>
        <w:ind w:firstLine="0"/>
        <w:rPr>
          <w:rFonts w:hint="eastAsia" w:ascii="宋体" w:hAnsi="宋体" w:cs="宋体"/>
          <w:color w:val="auto"/>
          <w:sz w:val="21"/>
          <w:szCs w:val="21"/>
          <w:highlight w:val="none"/>
        </w:rPr>
      </w:pPr>
    </w:p>
    <w:p w14:paraId="4328BE0E">
      <w:pPr>
        <w:pStyle w:val="15"/>
        <w:spacing w:line="460" w:lineRule="atLeast"/>
        <w:ind w:firstLine="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供应商名称（盖章）：    </w:t>
      </w:r>
    </w:p>
    <w:p w14:paraId="0D0FE61F">
      <w:pPr>
        <w:pStyle w:val="15"/>
        <w:spacing w:line="460" w:lineRule="atLeast"/>
        <w:ind w:firstLine="0"/>
        <w:rPr>
          <w:rFonts w:hint="eastAsia" w:ascii="宋体" w:hAnsi="宋体" w:cs="宋体"/>
          <w:color w:val="auto"/>
          <w:sz w:val="21"/>
          <w:szCs w:val="21"/>
          <w:highlight w:val="none"/>
        </w:rPr>
      </w:pPr>
      <w:r>
        <w:rPr>
          <w:rFonts w:hint="eastAsia" w:ascii="宋体" w:hAnsi="宋体" w:cs="宋体"/>
          <w:color w:val="auto"/>
          <w:sz w:val="21"/>
          <w:szCs w:val="21"/>
          <w:highlight w:val="none"/>
        </w:rPr>
        <w:t>法定代表人或委托代理人（签字或盖章）：</w:t>
      </w:r>
    </w:p>
    <w:p w14:paraId="35FBEE3B">
      <w:pPr>
        <w:pStyle w:val="34"/>
        <w:spacing w:line="460" w:lineRule="atLeast"/>
        <w:ind w:firstLine="0" w:firstLineChars="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日    期：    年   月   日</w:t>
      </w:r>
    </w:p>
    <w:p w14:paraId="1CEF2567">
      <w:pPr>
        <w:spacing w:line="460" w:lineRule="atLeast"/>
        <w:rPr>
          <w:rFonts w:hint="eastAsia" w:ascii="宋体" w:hAnsi="宋体" w:eastAsia="宋体" w:cs="宋体"/>
          <w:color w:val="auto"/>
          <w:highlight w:val="none"/>
        </w:rPr>
      </w:pPr>
    </w:p>
    <w:p w14:paraId="1D7A9D56">
      <w:pPr>
        <w:spacing w:line="460" w:lineRule="atLeast"/>
        <w:rPr>
          <w:rFonts w:hint="eastAsia" w:ascii="宋体" w:hAnsi="宋体" w:eastAsia="宋体" w:cs="宋体"/>
          <w:color w:val="auto"/>
          <w:highlight w:val="none"/>
        </w:rPr>
      </w:pPr>
    </w:p>
    <w:p w14:paraId="03F2B992">
      <w:pPr>
        <w:spacing w:line="460" w:lineRule="atLeast"/>
        <w:rPr>
          <w:rFonts w:hint="eastAsia" w:ascii="宋体" w:hAnsi="宋体" w:eastAsia="宋体" w:cs="宋体"/>
          <w:color w:val="auto"/>
          <w:highlight w:val="none"/>
        </w:rPr>
      </w:pPr>
    </w:p>
    <w:p w14:paraId="11C5DAE7">
      <w:pPr>
        <w:widowControl/>
        <w:spacing w:line="460" w:lineRule="atLeast"/>
        <w:jc w:val="left"/>
        <w:rPr>
          <w:rFonts w:hint="eastAsia" w:ascii="宋体" w:hAnsi="宋体" w:eastAsia="宋体" w:cs="宋体"/>
          <w:b/>
          <w:bCs/>
          <w:color w:val="auto"/>
          <w:spacing w:val="11"/>
          <w:sz w:val="24"/>
          <w:szCs w:val="24"/>
          <w:highlight w:val="none"/>
        </w:rPr>
      </w:pPr>
      <w:r>
        <w:rPr>
          <w:rFonts w:hint="eastAsia" w:ascii="宋体" w:hAnsi="宋体" w:eastAsia="宋体" w:cs="宋体"/>
          <w:b/>
          <w:bCs/>
          <w:color w:val="auto"/>
          <w:spacing w:val="11"/>
          <w:sz w:val="24"/>
          <w:szCs w:val="24"/>
          <w:highlight w:val="none"/>
        </w:rPr>
        <w:br w:type="page"/>
      </w:r>
    </w:p>
    <w:p w14:paraId="6E6B809E">
      <w:pPr>
        <w:pStyle w:val="3"/>
        <w:spacing w:line="460" w:lineRule="atLeast"/>
        <w:jc w:val="left"/>
        <w:rPr>
          <w:rFonts w:hint="eastAsia" w:ascii="宋体" w:hAnsi="宋体"/>
          <w:color w:val="auto"/>
          <w:sz w:val="21"/>
          <w:szCs w:val="21"/>
          <w:highlight w:val="none"/>
        </w:rPr>
      </w:pPr>
      <w:bookmarkStart w:id="83" w:name="_Toc24753"/>
      <w:r>
        <w:rPr>
          <w:rFonts w:hint="eastAsia" w:ascii="宋体" w:hAnsi="宋体"/>
          <w:color w:val="auto"/>
          <w:sz w:val="21"/>
          <w:szCs w:val="21"/>
          <w:highlight w:val="none"/>
        </w:rPr>
        <w:t>八、</w:t>
      </w:r>
      <w:bookmarkStart w:id="84" w:name="_Hlk3903151"/>
      <w:r>
        <w:rPr>
          <w:rFonts w:ascii="宋体" w:hAnsi="宋体"/>
          <w:color w:val="auto"/>
          <w:sz w:val="21"/>
          <w:szCs w:val="21"/>
          <w:highlight w:val="none"/>
        </w:rPr>
        <w:t>法定代表人资格证明书及法定代表人授权委托书</w:t>
      </w:r>
      <w:bookmarkEnd w:id="83"/>
    </w:p>
    <w:p w14:paraId="2D323026">
      <w:pPr>
        <w:spacing w:line="460" w:lineRule="atLeast"/>
        <w:ind w:left="210" w:leftChars="100"/>
        <w:jc w:val="center"/>
        <w:rPr>
          <w:rFonts w:hint="eastAsia" w:eastAsia="宋体"/>
          <w:b/>
          <w:bCs/>
          <w:color w:val="auto"/>
          <w:szCs w:val="21"/>
          <w:highlight w:val="none"/>
        </w:rPr>
      </w:pPr>
      <w:r>
        <w:rPr>
          <w:rFonts w:eastAsia="宋体"/>
          <w:b/>
          <w:bCs/>
          <w:color w:val="auto"/>
          <w:szCs w:val="21"/>
          <w:highlight w:val="none"/>
        </w:rPr>
        <w:t>1、法定代表人证明书</w:t>
      </w:r>
    </w:p>
    <w:tbl>
      <w:tblPr>
        <w:tblStyle w:val="23"/>
        <w:tblW w:w="101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19"/>
        <w:gridCol w:w="2470"/>
        <w:gridCol w:w="2023"/>
        <w:gridCol w:w="2023"/>
        <w:gridCol w:w="7"/>
        <w:gridCol w:w="2017"/>
      </w:tblGrid>
      <w:tr w14:paraId="0B27F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10159" w:type="dxa"/>
            <w:gridSpan w:val="6"/>
            <w:vAlign w:val="center"/>
          </w:tcPr>
          <w:p w14:paraId="796DFA4B">
            <w:pPr>
              <w:spacing w:line="460" w:lineRule="atLeast"/>
              <w:rPr>
                <w:rFonts w:hint="eastAsia" w:eastAsia="宋体"/>
                <w:bCs/>
                <w:color w:val="auto"/>
                <w:szCs w:val="21"/>
                <w:highlight w:val="none"/>
                <w:lang w:eastAsia="zh-CN"/>
              </w:rPr>
            </w:pPr>
            <w:r>
              <w:rPr>
                <w:rFonts w:eastAsia="宋体"/>
                <w:bCs/>
                <w:color w:val="auto"/>
                <w:szCs w:val="21"/>
                <w:highlight w:val="none"/>
              </w:rPr>
              <w:t>致：</w:t>
            </w:r>
            <w:r>
              <w:rPr>
                <w:rFonts w:hint="eastAsia" w:eastAsia="宋体"/>
                <w:bCs/>
                <w:color w:val="auto"/>
                <w:szCs w:val="21"/>
                <w:highlight w:val="none"/>
                <w:lang w:eastAsia="zh-CN"/>
              </w:rPr>
              <w:t>陕西益森工程咨询有限公司</w:t>
            </w:r>
          </w:p>
        </w:tc>
      </w:tr>
      <w:tr w14:paraId="4B2EF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1619" w:type="dxa"/>
            <w:vAlign w:val="center"/>
          </w:tcPr>
          <w:p w14:paraId="181F8065">
            <w:pPr>
              <w:spacing w:line="460" w:lineRule="atLeast"/>
              <w:jc w:val="center"/>
              <w:rPr>
                <w:rFonts w:hint="eastAsia" w:eastAsia="宋体"/>
                <w:bCs/>
                <w:color w:val="auto"/>
                <w:szCs w:val="21"/>
                <w:highlight w:val="none"/>
              </w:rPr>
            </w:pPr>
            <w:r>
              <w:rPr>
                <w:rFonts w:eastAsia="宋体"/>
                <w:bCs/>
                <w:color w:val="auto"/>
                <w:szCs w:val="21"/>
                <w:highlight w:val="none"/>
              </w:rPr>
              <w:t>项目名称</w:t>
            </w:r>
          </w:p>
        </w:tc>
        <w:tc>
          <w:tcPr>
            <w:tcW w:w="8540" w:type="dxa"/>
            <w:gridSpan w:val="5"/>
          </w:tcPr>
          <w:p w14:paraId="0B8D6A2D">
            <w:pPr>
              <w:spacing w:line="460" w:lineRule="atLeast"/>
              <w:rPr>
                <w:rFonts w:hint="eastAsia" w:eastAsia="宋体"/>
                <w:bCs/>
                <w:color w:val="auto"/>
                <w:szCs w:val="21"/>
                <w:highlight w:val="none"/>
              </w:rPr>
            </w:pPr>
          </w:p>
        </w:tc>
      </w:tr>
      <w:tr w14:paraId="4E6CA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1619" w:type="dxa"/>
            <w:vAlign w:val="center"/>
          </w:tcPr>
          <w:p w14:paraId="08502572">
            <w:pPr>
              <w:spacing w:line="460" w:lineRule="atLeast"/>
              <w:jc w:val="center"/>
              <w:rPr>
                <w:rFonts w:hint="default" w:eastAsia="宋体"/>
                <w:bCs/>
                <w:color w:val="auto"/>
                <w:szCs w:val="21"/>
                <w:highlight w:val="none"/>
                <w:lang w:val="en-US" w:eastAsia="zh-CN"/>
              </w:rPr>
            </w:pPr>
            <w:r>
              <w:rPr>
                <w:rFonts w:hint="eastAsia" w:eastAsia="宋体"/>
                <w:bCs/>
                <w:color w:val="auto"/>
                <w:szCs w:val="21"/>
                <w:highlight w:val="none"/>
                <w:lang w:val="en-US" w:eastAsia="zh-CN"/>
              </w:rPr>
              <w:t>包号名称</w:t>
            </w:r>
          </w:p>
        </w:tc>
        <w:tc>
          <w:tcPr>
            <w:tcW w:w="8540" w:type="dxa"/>
            <w:gridSpan w:val="5"/>
          </w:tcPr>
          <w:p w14:paraId="4BF16AE6">
            <w:pPr>
              <w:spacing w:line="460" w:lineRule="atLeast"/>
              <w:rPr>
                <w:rFonts w:hint="eastAsia" w:eastAsia="宋体"/>
                <w:bCs/>
                <w:color w:val="auto"/>
                <w:szCs w:val="21"/>
                <w:highlight w:val="none"/>
              </w:rPr>
            </w:pPr>
          </w:p>
        </w:tc>
      </w:tr>
      <w:tr w14:paraId="39039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1619" w:type="dxa"/>
            <w:vAlign w:val="center"/>
          </w:tcPr>
          <w:p w14:paraId="64F06471">
            <w:pPr>
              <w:spacing w:line="460" w:lineRule="atLeast"/>
              <w:jc w:val="center"/>
              <w:rPr>
                <w:rFonts w:hint="eastAsia" w:eastAsia="宋体"/>
                <w:bCs/>
                <w:color w:val="auto"/>
                <w:szCs w:val="21"/>
                <w:highlight w:val="none"/>
              </w:rPr>
            </w:pPr>
            <w:r>
              <w:rPr>
                <w:rFonts w:eastAsia="宋体"/>
                <w:bCs/>
                <w:color w:val="auto"/>
                <w:szCs w:val="21"/>
                <w:highlight w:val="none"/>
              </w:rPr>
              <w:t>项目编号</w:t>
            </w:r>
          </w:p>
        </w:tc>
        <w:tc>
          <w:tcPr>
            <w:tcW w:w="8540" w:type="dxa"/>
            <w:gridSpan w:val="5"/>
          </w:tcPr>
          <w:p w14:paraId="754A2893">
            <w:pPr>
              <w:spacing w:line="460" w:lineRule="atLeast"/>
              <w:rPr>
                <w:rFonts w:hint="eastAsia" w:eastAsia="宋体"/>
                <w:bCs/>
                <w:color w:val="auto"/>
                <w:szCs w:val="21"/>
                <w:highlight w:val="none"/>
              </w:rPr>
            </w:pPr>
          </w:p>
        </w:tc>
      </w:tr>
      <w:tr w14:paraId="0885B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19" w:type="dxa"/>
            <w:vAlign w:val="center"/>
          </w:tcPr>
          <w:p w14:paraId="595E16FB">
            <w:pPr>
              <w:spacing w:line="460" w:lineRule="atLeast"/>
              <w:jc w:val="center"/>
              <w:rPr>
                <w:rFonts w:hint="eastAsia" w:eastAsia="宋体"/>
                <w:bCs/>
                <w:color w:val="auto"/>
                <w:szCs w:val="21"/>
                <w:highlight w:val="none"/>
              </w:rPr>
            </w:pPr>
            <w:r>
              <w:rPr>
                <w:rFonts w:eastAsia="宋体"/>
                <w:bCs/>
                <w:color w:val="auto"/>
                <w:szCs w:val="21"/>
                <w:highlight w:val="none"/>
              </w:rPr>
              <w:t>权   限</w:t>
            </w:r>
          </w:p>
        </w:tc>
        <w:tc>
          <w:tcPr>
            <w:tcW w:w="8540" w:type="dxa"/>
            <w:gridSpan w:val="5"/>
            <w:vAlign w:val="center"/>
          </w:tcPr>
          <w:p w14:paraId="09A48B6E">
            <w:pPr>
              <w:spacing w:line="460" w:lineRule="atLeast"/>
              <w:rPr>
                <w:rFonts w:hint="eastAsia" w:eastAsia="宋体"/>
                <w:bCs/>
                <w:color w:val="auto"/>
                <w:szCs w:val="21"/>
                <w:highlight w:val="none"/>
              </w:rPr>
            </w:pPr>
            <w:r>
              <w:rPr>
                <w:rFonts w:eastAsia="宋体"/>
                <w:bCs/>
                <w:color w:val="auto"/>
                <w:szCs w:val="21"/>
                <w:highlight w:val="none"/>
              </w:rPr>
              <w:t>办理本次</w:t>
            </w:r>
            <w:r>
              <w:rPr>
                <w:rFonts w:hint="eastAsia" w:eastAsia="宋体"/>
                <w:bCs/>
                <w:color w:val="auto"/>
                <w:szCs w:val="21"/>
                <w:highlight w:val="none"/>
              </w:rPr>
              <w:t>磋商</w:t>
            </w:r>
            <w:r>
              <w:rPr>
                <w:rFonts w:eastAsia="宋体"/>
                <w:bCs/>
                <w:color w:val="auto"/>
                <w:szCs w:val="21"/>
                <w:highlight w:val="none"/>
              </w:rPr>
              <w:t>采购项目的</w:t>
            </w:r>
            <w:r>
              <w:rPr>
                <w:rFonts w:hint="eastAsia" w:eastAsia="宋体"/>
                <w:bCs/>
                <w:color w:val="auto"/>
                <w:szCs w:val="21"/>
                <w:highlight w:val="none"/>
              </w:rPr>
              <w:t>磋商</w:t>
            </w:r>
            <w:r>
              <w:rPr>
                <w:rFonts w:eastAsia="宋体"/>
                <w:bCs/>
                <w:color w:val="auto"/>
                <w:szCs w:val="21"/>
                <w:highlight w:val="none"/>
              </w:rPr>
              <w:t>、联系、洽谈、签约、执行等具体事务，签署全部有关文件、文书、协议及合同。</w:t>
            </w:r>
          </w:p>
        </w:tc>
      </w:tr>
      <w:tr w14:paraId="1C48C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1619" w:type="dxa"/>
            <w:vAlign w:val="center"/>
          </w:tcPr>
          <w:p w14:paraId="0C1189E6">
            <w:pPr>
              <w:spacing w:line="460" w:lineRule="atLeast"/>
              <w:jc w:val="center"/>
              <w:rPr>
                <w:rFonts w:hint="eastAsia" w:eastAsia="宋体"/>
                <w:bCs/>
                <w:color w:val="auto"/>
                <w:szCs w:val="21"/>
                <w:highlight w:val="none"/>
              </w:rPr>
            </w:pPr>
            <w:r>
              <w:rPr>
                <w:rFonts w:eastAsia="宋体"/>
                <w:bCs/>
                <w:color w:val="auto"/>
                <w:szCs w:val="21"/>
                <w:highlight w:val="none"/>
              </w:rPr>
              <w:t>有效期</w:t>
            </w:r>
          </w:p>
        </w:tc>
        <w:tc>
          <w:tcPr>
            <w:tcW w:w="8540" w:type="dxa"/>
            <w:gridSpan w:val="5"/>
            <w:vAlign w:val="center"/>
          </w:tcPr>
          <w:p w14:paraId="17E3E159">
            <w:pPr>
              <w:spacing w:line="460" w:lineRule="atLeast"/>
              <w:rPr>
                <w:rFonts w:hint="eastAsia" w:eastAsia="宋体"/>
                <w:bCs/>
                <w:color w:val="auto"/>
                <w:szCs w:val="21"/>
                <w:highlight w:val="none"/>
              </w:rPr>
            </w:pPr>
            <w:r>
              <w:rPr>
                <w:rFonts w:eastAsia="宋体"/>
                <w:bCs/>
                <w:color w:val="auto"/>
                <w:szCs w:val="21"/>
                <w:highlight w:val="none"/>
              </w:rPr>
              <w:t>自</w:t>
            </w:r>
            <w:r>
              <w:rPr>
                <w:rFonts w:hint="eastAsia" w:eastAsia="宋体"/>
                <w:bCs/>
                <w:color w:val="auto"/>
                <w:szCs w:val="21"/>
                <w:highlight w:val="none"/>
              </w:rPr>
              <w:t>磋商</w:t>
            </w:r>
            <w:r>
              <w:rPr>
                <w:rFonts w:eastAsia="宋体"/>
                <w:bCs/>
                <w:color w:val="auto"/>
                <w:szCs w:val="21"/>
                <w:highlight w:val="none"/>
              </w:rPr>
              <w:t>之日起计算有效期为90 天</w:t>
            </w:r>
          </w:p>
        </w:tc>
      </w:tr>
      <w:tr w14:paraId="0A938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1619" w:type="dxa"/>
            <w:vMerge w:val="restart"/>
            <w:vAlign w:val="center"/>
          </w:tcPr>
          <w:p w14:paraId="3010D896">
            <w:pPr>
              <w:spacing w:line="460" w:lineRule="atLeast"/>
              <w:rPr>
                <w:rFonts w:hint="eastAsia" w:eastAsia="宋体"/>
                <w:bCs/>
                <w:color w:val="auto"/>
                <w:szCs w:val="21"/>
                <w:highlight w:val="none"/>
              </w:rPr>
            </w:pPr>
            <w:r>
              <w:rPr>
                <w:rFonts w:eastAsia="宋体"/>
                <w:bCs/>
                <w:color w:val="auto"/>
                <w:szCs w:val="21"/>
                <w:highlight w:val="none"/>
              </w:rPr>
              <w:t>企业</w:t>
            </w:r>
          </w:p>
          <w:p w14:paraId="1151C404">
            <w:pPr>
              <w:spacing w:line="460" w:lineRule="atLeast"/>
              <w:rPr>
                <w:rFonts w:hint="eastAsia" w:eastAsia="宋体"/>
                <w:bCs/>
                <w:color w:val="auto"/>
                <w:szCs w:val="21"/>
                <w:highlight w:val="none"/>
              </w:rPr>
            </w:pPr>
            <w:r>
              <w:rPr>
                <w:rFonts w:eastAsia="宋体"/>
                <w:bCs/>
                <w:color w:val="auto"/>
                <w:szCs w:val="21"/>
                <w:highlight w:val="none"/>
              </w:rPr>
              <w:t>信息</w:t>
            </w:r>
          </w:p>
        </w:tc>
        <w:tc>
          <w:tcPr>
            <w:tcW w:w="2470" w:type="dxa"/>
            <w:vAlign w:val="center"/>
          </w:tcPr>
          <w:p w14:paraId="08D998E9">
            <w:pPr>
              <w:spacing w:line="460" w:lineRule="atLeast"/>
              <w:rPr>
                <w:rFonts w:hint="eastAsia" w:eastAsia="宋体"/>
                <w:bCs/>
                <w:color w:val="auto"/>
                <w:szCs w:val="21"/>
                <w:highlight w:val="none"/>
              </w:rPr>
            </w:pPr>
            <w:r>
              <w:rPr>
                <w:rFonts w:eastAsia="宋体"/>
                <w:bCs/>
                <w:color w:val="auto"/>
                <w:szCs w:val="21"/>
                <w:highlight w:val="none"/>
              </w:rPr>
              <w:t xml:space="preserve">企 业 名 称 </w:t>
            </w:r>
          </w:p>
        </w:tc>
        <w:tc>
          <w:tcPr>
            <w:tcW w:w="2023" w:type="dxa"/>
          </w:tcPr>
          <w:p w14:paraId="1ECBD2C0">
            <w:pPr>
              <w:spacing w:line="460" w:lineRule="atLeast"/>
              <w:rPr>
                <w:rFonts w:hint="eastAsia" w:eastAsia="宋体"/>
                <w:bCs/>
                <w:color w:val="auto"/>
                <w:szCs w:val="21"/>
                <w:highlight w:val="none"/>
              </w:rPr>
            </w:pPr>
          </w:p>
        </w:tc>
        <w:tc>
          <w:tcPr>
            <w:tcW w:w="2023" w:type="dxa"/>
          </w:tcPr>
          <w:p w14:paraId="0C60DAC2">
            <w:pPr>
              <w:spacing w:line="460" w:lineRule="atLeast"/>
              <w:rPr>
                <w:rFonts w:hint="eastAsia" w:eastAsia="宋体"/>
                <w:bCs/>
                <w:color w:val="auto"/>
                <w:szCs w:val="21"/>
                <w:highlight w:val="none"/>
              </w:rPr>
            </w:pPr>
            <w:r>
              <w:rPr>
                <w:rFonts w:eastAsia="宋体"/>
                <w:bCs/>
                <w:color w:val="auto"/>
                <w:szCs w:val="21"/>
                <w:highlight w:val="none"/>
              </w:rPr>
              <w:t>法 定 地 址</w:t>
            </w:r>
          </w:p>
        </w:tc>
        <w:tc>
          <w:tcPr>
            <w:tcW w:w="2024" w:type="dxa"/>
            <w:gridSpan w:val="2"/>
          </w:tcPr>
          <w:p w14:paraId="7AB4F121">
            <w:pPr>
              <w:spacing w:line="460" w:lineRule="atLeast"/>
              <w:rPr>
                <w:rFonts w:hint="eastAsia" w:eastAsia="宋体"/>
                <w:bCs/>
                <w:color w:val="auto"/>
                <w:szCs w:val="21"/>
                <w:highlight w:val="none"/>
              </w:rPr>
            </w:pPr>
          </w:p>
        </w:tc>
      </w:tr>
      <w:tr w14:paraId="6B209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jc w:val="center"/>
        </w:trPr>
        <w:tc>
          <w:tcPr>
            <w:tcW w:w="1619" w:type="dxa"/>
            <w:vMerge w:val="continue"/>
            <w:vAlign w:val="center"/>
          </w:tcPr>
          <w:p w14:paraId="58FEBB7A">
            <w:pPr>
              <w:spacing w:line="460" w:lineRule="atLeast"/>
              <w:rPr>
                <w:rFonts w:hint="eastAsia" w:eastAsia="宋体"/>
                <w:bCs/>
                <w:color w:val="auto"/>
                <w:szCs w:val="21"/>
                <w:highlight w:val="none"/>
              </w:rPr>
            </w:pPr>
          </w:p>
        </w:tc>
        <w:tc>
          <w:tcPr>
            <w:tcW w:w="2470" w:type="dxa"/>
            <w:vAlign w:val="center"/>
          </w:tcPr>
          <w:p w14:paraId="3F6B10C9">
            <w:pPr>
              <w:spacing w:line="460" w:lineRule="atLeast"/>
              <w:rPr>
                <w:rFonts w:hint="eastAsia" w:eastAsia="宋体"/>
                <w:bCs/>
                <w:color w:val="auto"/>
                <w:szCs w:val="21"/>
                <w:highlight w:val="none"/>
              </w:rPr>
            </w:pPr>
            <w:r>
              <w:rPr>
                <w:rFonts w:eastAsia="宋体"/>
                <w:bCs/>
                <w:color w:val="auto"/>
                <w:szCs w:val="21"/>
                <w:highlight w:val="none"/>
              </w:rPr>
              <w:t>营业执照注册证号</w:t>
            </w:r>
          </w:p>
        </w:tc>
        <w:tc>
          <w:tcPr>
            <w:tcW w:w="2023" w:type="dxa"/>
          </w:tcPr>
          <w:p w14:paraId="096FC437">
            <w:pPr>
              <w:spacing w:line="460" w:lineRule="atLeast"/>
              <w:rPr>
                <w:rFonts w:hint="eastAsia" w:eastAsia="宋体"/>
                <w:bCs/>
                <w:color w:val="auto"/>
                <w:szCs w:val="21"/>
                <w:highlight w:val="none"/>
              </w:rPr>
            </w:pPr>
          </w:p>
        </w:tc>
        <w:tc>
          <w:tcPr>
            <w:tcW w:w="2023" w:type="dxa"/>
          </w:tcPr>
          <w:p w14:paraId="1FC7399D">
            <w:pPr>
              <w:spacing w:line="460" w:lineRule="atLeast"/>
              <w:rPr>
                <w:rFonts w:hint="eastAsia" w:eastAsia="宋体"/>
                <w:bCs/>
                <w:color w:val="auto"/>
                <w:szCs w:val="21"/>
                <w:highlight w:val="none"/>
              </w:rPr>
            </w:pPr>
            <w:r>
              <w:rPr>
                <w:rFonts w:eastAsia="宋体"/>
                <w:bCs/>
                <w:color w:val="auto"/>
                <w:szCs w:val="21"/>
                <w:highlight w:val="none"/>
              </w:rPr>
              <w:t>工商登记机关</w:t>
            </w:r>
          </w:p>
        </w:tc>
        <w:tc>
          <w:tcPr>
            <w:tcW w:w="2024" w:type="dxa"/>
            <w:gridSpan w:val="2"/>
          </w:tcPr>
          <w:p w14:paraId="38FA0863">
            <w:pPr>
              <w:spacing w:line="460" w:lineRule="atLeast"/>
              <w:rPr>
                <w:rFonts w:hint="eastAsia" w:eastAsia="宋体"/>
                <w:bCs/>
                <w:color w:val="auto"/>
                <w:szCs w:val="21"/>
                <w:highlight w:val="none"/>
              </w:rPr>
            </w:pPr>
          </w:p>
        </w:tc>
      </w:tr>
      <w:tr w14:paraId="42CF5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1619" w:type="dxa"/>
            <w:vMerge w:val="continue"/>
            <w:vAlign w:val="center"/>
          </w:tcPr>
          <w:p w14:paraId="5CF3A56E">
            <w:pPr>
              <w:spacing w:line="460" w:lineRule="atLeast"/>
              <w:rPr>
                <w:rFonts w:hint="eastAsia" w:eastAsia="宋体"/>
                <w:bCs/>
                <w:color w:val="auto"/>
                <w:szCs w:val="21"/>
                <w:highlight w:val="none"/>
              </w:rPr>
            </w:pPr>
          </w:p>
        </w:tc>
        <w:tc>
          <w:tcPr>
            <w:tcW w:w="2470" w:type="dxa"/>
            <w:vAlign w:val="center"/>
          </w:tcPr>
          <w:p w14:paraId="0A1E448E">
            <w:pPr>
              <w:spacing w:line="460" w:lineRule="atLeast"/>
              <w:rPr>
                <w:rFonts w:hint="eastAsia" w:eastAsia="宋体"/>
                <w:bCs/>
                <w:color w:val="auto"/>
                <w:szCs w:val="21"/>
                <w:highlight w:val="none"/>
              </w:rPr>
            </w:pPr>
            <w:r>
              <w:rPr>
                <w:rFonts w:eastAsia="宋体"/>
                <w:bCs/>
                <w:color w:val="auto"/>
                <w:szCs w:val="21"/>
                <w:highlight w:val="none"/>
              </w:rPr>
              <w:t>成立时间</w:t>
            </w:r>
          </w:p>
        </w:tc>
        <w:tc>
          <w:tcPr>
            <w:tcW w:w="2023" w:type="dxa"/>
          </w:tcPr>
          <w:p w14:paraId="4638BC06">
            <w:pPr>
              <w:spacing w:line="460" w:lineRule="atLeast"/>
              <w:rPr>
                <w:rFonts w:hint="eastAsia" w:eastAsia="宋体"/>
                <w:bCs/>
                <w:color w:val="auto"/>
                <w:szCs w:val="21"/>
                <w:highlight w:val="none"/>
              </w:rPr>
            </w:pPr>
          </w:p>
        </w:tc>
        <w:tc>
          <w:tcPr>
            <w:tcW w:w="2023" w:type="dxa"/>
          </w:tcPr>
          <w:p w14:paraId="0992141D">
            <w:pPr>
              <w:spacing w:line="460" w:lineRule="atLeast"/>
              <w:rPr>
                <w:rFonts w:hint="eastAsia" w:eastAsia="宋体"/>
                <w:bCs/>
                <w:color w:val="auto"/>
                <w:szCs w:val="21"/>
                <w:highlight w:val="none"/>
              </w:rPr>
            </w:pPr>
            <w:r>
              <w:rPr>
                <w:rFonts w:eastAsia="宋体"/>
                <w:bCs/>
                <w:color w:val="auto"/>
                <w:szCs w:val="21"/>
                <w:highlight w:val="none"/>
              </w:rPr>
              <w:t>经营期限</w:t>
            </w:r>
          </w:p>
        </w:tc>
        <w:tc>
          <w:tcPr>
            <w:tcW w:w="2024" w:type="dxa"/>
            <w:gridSpan w:val="2"/>
          </w:tcPr>
          <w:p w14:paraId="441A5F85">
            <w:pPr>
              <w:spacing w:line="460" w:lineRule="atLeast"/>
              <w:rPr>
                <w:rFonts w:hint="eastAsia" w:eastAsia="宋体"/>
                <w:bCs/>
                <w:color w:val="auto"/>
                <w:szCs w:val="21"/>
                <w:highlight w:val="none"/>
              </w:rPr>
            </w:pPr>
          </w:p>
        </w:tc>
      </w:tr>
      <w:tr w14:paraId="19863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619" w:type="dxa"/>
            <w:vMerge w:val="continue"/>
            <w:vAlign w:val="center"/>
          </w:tcPr>
          <w:p w14:paraId="27BC3599">
            <w:pPr>
              <w:spacing w:line="460" w:lineRule="atLeast"/>
              <w:rPr>
                <w:rFonts w:hint="eastAsia" w:eastAsia="宋体"/>
                <w:bCs/>
                <w:color w:val="auto"/>
                <w:szCs w:val="21"/>
                <w:highlight w:val="none"/>
              </w:rPr>
            </w:pPr>
          </w:p>
        </w:tc>
        <w:tc>
          <w:tcPr>
            <w:tcW w:w="2470" w:type="dxa"/>
            <w:vAlign w:val="center"/>
          </w:tcPr>
          <w:p w14:paraId="7A60FDA1">
            <w:pPr>
              <w:spacing w:line="460" w:lineRule="atLeast"/>
              <w:rPr>
                <w:rFonts w:hint="eastAsia" w:eastAsia="宋体"/>
                <w:bCs/>
                <w:color w:val="auto"/>
                <w:szCs w:val="21"/>
                <w:highlight w:val="none"/>
              </w:rPr>
            </w:pPr>
            <w:r>
              <w:rPr>
                <w:rFonts w:eastAsia="宋体"/>
                <w:bCs/>
                <w:color w:val="auto"/>
                <w:szCs w:val="21"/>
                <w:highlight w:val="none"/>
              </w:rPr>
              <w:t>单位性质</w:t>
            </w:r>
          </w:p>
        </w:tc>
        <w:tc>
          <w:tcPr>
            <w:tcW w:w="2023" w:type="dxa"/>
          </w:tcPr>
          <w:p w14:paraId="75EEFB87">
            <w:pPr>
              <w:spacing w:line="460" w:lineRule="atLeast"/>
              <w:rPr>
                <w:rFonts w:hint="eastAsia" w:eastAsia="宋体"/>
                <w:bCs/>
                <w:color w:val="auto"/>
                <w:szCs w:val="21"/>
                <w:highlight w:val="none"/>
              </w:rPr>
            </w:pPr>
          </w:p>
        </w:tc>
        <w:tc>
          <w:tcPr>
            <w:tcW w:w="2023" w:type="dxa"/>
          </w:tcPr>
          <w:p w14:paraId="6C345590">
            <w:pPr>
              <w:spacing w:line="460" w:lineRule="atLeast"/>
              <w:rPr>
                <w:rFonts w:hint="eastAsia" w:eastAsia="宋体"/>
                <w:bCs/>
                <w:color w:val="auto"/>
                <w:szCs w:val="21"/>
                <w:highlight w:val="none"/>
              </w:rPr>
            </w:pPr>
            <w:r>
              <w:rPr>
                <w:rFonts w:eastAsia="宋体"/>
                <w:bCs/>
                <w:color w:val="auto"/>
                <w:szCs w:val="21"/>
                <w:highlight w:val="none"/>
              </w:rPr>
              <w:t>网    址</w:t>
            </w:r>
          </w:p>
        </w:tc>
        <w:tc>
          <w:tcPr>
            <w:tcW w:w="2024" w:type="dxa"/>
            <w:gridSpan w:val="2"/>
          </w:tcPr>
          <w:p w14:paraId="2EC36854">
            <w:pPr>
              <w:spacing w:line="460" w:lineRule="atLeast"/>
              <w:rPr>
                <w:rFonts w:hint="eastAsia" w:eastAsia="宋体"/>
                <w:bCs/>
                <w:color w:val="auto"/>
                <w:szCs w:val="21"/>
                <w:highlight w:val="none"/>
              </w:rPr>
            </w:pPr>
          </w:p>
        </w:tc>
      </w:tr>
      <w:tr w14:paraId="2434B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1619" w:type="dxa"/>
            <w:vMerge w:val="restart"/>
            <w:vAlign w:val="center"/>
          </w:tcPr>
          <w:p w14:paraId="4C2458A1">
            <w:pPr>
              <w:spacing w:line="460" w:lineRule="atLeast"/>
              <w:rPr>
                <w:rFonts w:hint="eastAsia" w:eastAsia="宋体"/>
                <w:bCs/>
                <w:color w:val="auto"/>
                <w:szCs w:val="21"/>
                <w:highlight w:val="none"/>
              </w:rPr>
            </w:pPr>
            <w:r>
              <w:rPr>
                <w:rFonts w:eastAsia="宋体"/>
                <w:bCs/>
                <w:color w:val="auto"/>
                <w:szCs w:val="21"/>
                <w:highlight w:val="none"/>
              </w:rPr>
              <w:t>法定代</w:t>
            </w:r>
          </w:p>
          <w:p w14:paraId="2968ED62">
            <w:pPr>
              <w:spacing w:line="460" w:lineRule="atLeast"/>
              <w:rPr>
                <w:rFonts w:hint="eastAsia" w:eastAsia="宋体"/>
                <w:bCs/>
                <w:color w:val="auto"/>
                <w:szCs w:val="21"/>
                <w:highlight w:val="none"/>
              </w:rPr>
            </w:pPr>
            <w:r>
              <w:rPr>
                <w:rFonts w:eastAsia="宋体"/>
                <w:bCs/>
                <w:color w:val="auto"/>
                <w:szCs w:val="21"/>
                <w:highlight w:val="none"/>
              </w:rPr>
              <w:t>表人</w:t>
            </w:r>
          </w:p>
        </w:tc>
        <w:tc>
          <w:tcPr>
            <w:tcW w:w="2470" w:type="dxa"/>
            <w:vAlign w:val="center"/>
          </w:tcPr>
          <w:p w14:paraId="39679AB9">
            <w:pPr>
              <w:spacing w:line="460" w:lineRule="atLeast"/>
              <w:rPr>
                <w:rFonts w:hint="eastAsia" w:eastAsia="宋体"/>
                <w:bCs/>
                <w:color w:val="auto"/>
                <w:szCs w:val="21"/>
                <w:highlight w:val="none"/>
              </w:rPr>
            </w:pPr>
            <w:r>
              <w:rPr>
                <w:rFonts w:eastAsia="宋体"/>
                <w:bCs/>
                <w:color w:val="auto"/>
                <w:szCs w:val="21"/>
                <w:highlight w:val="none"/>
              </w:rPr>
              <w:t>姓    名</w:t>
            </w:r>
          </w:p>
        </w:tc>
        <w:tc>
          <w:tcPr>
            <w:tcW w:w="2023" w:type="dxa"/>
          </w:tcPr>
          <w:p w14:paraId="56A7880B">
            <w:pPr>
              <w:spacing w:line="460" w:lineRule="atLeast"/>
              <w:rPr>
                <w:rFonts w:hint="eastAsia" w:eastAsia="宋体"/>
                <w:bCs/>
                <w:color w:val="auto"/>
                <w:szCs w:val="21"/>
                <w:highlight w:val="none"/>
              </w:rPr>
            </w:pPr>
          </w:p>
        </w:tc>
        <w:tc>
          <w:tcPr>
            <w:tcW w:w="2030" w:type="dxa"/>
            <w:gridSpan w:val="2"/>
            <w:vAlign w:val="center"/>
          </w:tcPr>
          <w:p w14:paraId="741AE9DB">
            <w:pPr>
              <w:spacing w:line="460" w:lineRule="atLeast"/>
              <w:rPr>
                <w:rFonts w:hint="eastAsia" w:eastAsia="宋体"/>
                <w:bCs/>
                <w:color w:val="auto"/>
                <w:szCs w:val="21"/>
                <w:highlight w:val="none"/>
              </w:rPr>
            </w:pPr>
            <w:r>
              <w:rPr>
                <w:rFonts w:eastAsia="宋体"/>
                <w:bCs/>
                <w:color w:val="auto"/>
                <w:szCs w:val="21"/>
                <w:highlight w:val="none"/>
              </w:rPr>
              <w:t>性    别</w:t>
            </w:r>
          </w:p>
        </w:tc>
        <w:tc>
          <w:tcPr>
            <w:tcW w:w="2017" w:type="dxa"/>
          </w:tcPr>
          <w:p w14:paraId="478A6AEC">
            <w:pPr>
              <w:spacing w:line="460" w:lineRule="atLeast"/>
              <w:rPr>
                <w:rFonts w:hint="eastAsia" w:eastAsia="宋体"/>
                <w:bCs/>
                <w:color w:val="auto"/>
                <w:szCs w:val="21"/>
                <w:highlight w:val="none"/>
              </w:rPr>
            </w:pPr>
          </w:p>
        </w:tc>
      </w:tr>
      <w:tr w14:paraId="36DA1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1619" w:type="dxa"/>
            <w:vMerge w:val="continue"/>
            <w:vAlign w:val="center"/>
          </w:tcPr>
          <w:p w14:paraId="16444821">
            <w:pPr>
              <w:spacing w:line="460" w:lineRule="atLeast"/>
              <w:rPr>
                <w:rFonts w:hint="eastAsia" w:eastAsia="宋体"/>
                <w:bCs/>
                <w:color w:val="auto"/>
                <w:szCs w:val="21"/>
                <w:highlight w:val="none"/>
              </w:rPr>
            </w:pPr>
          </w:p>
        </w:tc>
        <w:tc>
          <w:tcPr>
            <w:tcW w:w="2470" w:type="dxa"/>
            <w:vAlign w:val="center"/>
          </w:tcPr>
          <w:p w14:paraId="548FCF43">
            <w:pPr>
              <w:spacing w:line="460" w:lineRule="atLeast"/>
              <w:rPr>
                <w:rFonts w:hint="eastAsia" w:eastAsia="宋体"/>
                <w:bCs/>
                <w:color w:val="auto"/>
                <w:szCs w:val="21"/>
                <w:highlight w:val="none"/>
              </w:rPr>
            </w:pPr>
            <w:r>
              <w:rPr>
                <w:rFonts w:eastAsia="宋体"/>
                <w:bCs/>
                <w:color w:val="auto"/>
                <w:szCs w:val="21"/>
                <w:highlight w:val="none"/>
              </w:rPr>
              <w:t>职    务</w:t>
            </w:r>
          </w:p>
        </w:tc>
        <w:tc>
          <w:tcPr>
            <w:tcW w:w="2023" w:type="dxa"/>
          </w:tcPr>
          <w:p w14:paraId="2C0F1CCD">
            <w:pPr>
              <w:spacing w:line="460" w:lineRule="atLeast"/>
              <w:rPr>
                <w:rFonts w:hint="eastAsia" w:eastAsia="宋体"/>
                <w:bCs/>
                <w:color w:val="auto"/>
                <w:szCs w:val="21"/>
                <w:highlight w:val="none"/>
              </w:rPr>
            </w:pPr>
          </w:p>
        </w:tc>
        <w:tc>
          <w:tcPr>
            <w:tcW w:w="2030" w:type="dxa"/>
            <w:gridSpan w:val="2"/>
            <w:vAlign w:val="center"/>
          </w:tcPr>
          <w:p w14:paraId="5AD0A7AF">
            <w:pPr>
              <w:spacing w:line="460" w:lineRule="atLeast"/>
              <w:rPr>
                <w:rFonts w:hint="eastAsia" w:eastAsia="宋体"/>
                <w:bCs/>
                <w:color w:val="auto"/>
                <w:szCs w:val="21"/>
                <w:highlight w:val="none"/>
              </w:rPr>
            </w:pPr>
            <w:r>
              <w:rPr>
                <w:rFonts w:eastAsia="宋体"/>
                <w:bCs/>
                <w:color w:val="auto"/>
                <w:szCs w:val="21"/>
                <w:highlight w:val="none"/>
              </w:rPr>
              <w:t>联系电话</w:t>
            </w:r>
          </w:p>
        </w:tc>
        <w:tc>
          <w:tcPr>
            <w:tcW w:w="2017" w:type="dxa"/>
          </w:tcPr>
          <w:p w14:paraId="11BDBBCB">
            <w:pPr>
              <w:spacing w:line="460" w:lineRule="atLeast"/>
              <w:rPr>
                <w:rFonts w:hint="eastAsia" w:eastAsia="宋体"/>
                <w:bCs/>
                <w:color w:val="auto"/>
                <w:szCs w:val="21"/>
                <w:highlight w:val="none"/>
              </w:rPr>
            </w:pPr>
          </w:p>
        </w:tc>
      </w:tr>
      <w:tr w14:paraId="4821B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1619" w:type="dxa"/>
            <w:vMerge w:val="continue"/>
            <w:vAlign w:val="center"/>
          </w:tcPr>
          <w:p w14:paraId="68D8D5ED">
            <w:pPr>
              <w:spacing w:line="460" w:lineRule="atLeast"/>
              <w:rPr>
                <w:rFonts w:hint="eastAsia" w:eastAsia="宋体"/>
                <w:bCs/>
                <w:color w:val="auto"/>
                <w:szCs w:val="21"/>
                <w:highlight w:val="none"/>
              </w:rPr>
            </w:pPr>
          </w:p>
        </w:tc>
        <w:tc>
          <w:tcPr>
            <w:tcW w:w="2470" w:type="dxa"/>
            <w:vAlign w:val="center"/>
          </w:tcPr>
          <w:p w14:paraId="6193CC92">
            <w:pPr>
              <w:spacing w:line="460" w:lineRule="atLeast"/>
              <w:rPr>
                <w:rFonts w:hint="eastAsia" w:eastAsia="宋体"/>
                <w:bCs/>
                <w:color w:val="auto"/>
                <w:szCs w:val="21"/>
                <w:highlight w:val="none"/>
              </w:rPr>
            </w:pPr>
            <w:r>
              <w:rPr>
                <w:rFonts w:eastAsia="宋体"/>
                <w:bCs/>
                <w:color w:val="auto"/>
                <w:szCs w:val="21"/>
                <w:highlight w:val="none"/>
              </w:rPr>
              <w:t>传    真</w:t>
            </w:r>
          </w:p>
        </w:tc>
        <w:tc>
          <w:tcPr>
            <w:tcW w:w="2023" w:type="dxa"/>
          </w:tcPr>
          <w:p w14:paraId="7E1BF752">
            <w:pPr>
              <w:spacing w:line="460" w:lineRule="atLeast"/>
              <w:rPr>
                <w:rFonts w:hint="eastAsia" w:eastAsia="宋体"/>
                <w:bCs/>
                <w:color w:val="auto"/>
                <w:szCs w:val="21"/>
                <w:highlight w:val="none"/>
              </w:rPr>
            </w:pPr>
          </w:p>
        </w:tc>
        <w:tc>
          <w:tcPr>
            <w:tcW w:w="2023" w:type="dxa"/>
          </w:tcPr>
          <w:p w14:paraId="11EBEF6A">
            <w:pPr>
              <w:spacing w:line="460" w:lineRule="atLeast"/>
              <w:rPr>
                <w:rFonts w:hint="eastAsia" w:eastAsia="宋体"/>
                <w:bCs/>
                <w:color w:val="auto"/>
                <w:szCs w:val="21"/>
                <w:highlight w:val="none"/>
              </w:rPr>
            </w:pPr>
            <w:r>
              <w:rPr>
                <w:rFonts w:eastAsia="宋体"/>
                <w:bCs/>
                <w:color w:val="auto"/>
                <w:szCs w:val="21"/>
                <w:highlight w:val="none"/>
              </w:rPr>
              <w:t>通讯地址</w:t>
            </w:r>
          </w:p>
        </w:tc>
        <w:tc>
          <w:tcPr>
            <w:tcW w:w="2024" w:type="dxa"/>
            <w:gridSpan w:val="2"/>
          </w:tcPr>
          <w:p w14:paraId="234C7B45">
            <w:pPr>
              <w:spacing w:line="460" w:lineRule="atLeast"/>
              <w:rPr>
                <w:rFonts w:hint="eastAsia" w:eastAsia="宋体"/>
                <w:bCs/>
                <w:color w:val="auto"/>
                <w:szCs w:val="21"/>
                <w:highlight w:val="none"/>
              </w:rPr>
            </w:pPr>
          </w:p>
        </w:tc>
      </w:tr>
      <w:tr w14:paraId="55D47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1" w:hRule="atLeast"/>
          <w:jc w:val="center"/>
        </w:trPr>
        <w:tc>
          <w:tcPr>
            <w:tcW w:w="10159" w:type="dxa"/>
            <w:gridSpan w:val="6"/>
          </w:tcPr>
          <w:p w14:paraId="5175F40E">
            <w:pPr>
              <w:spacing w:line="460" w:lineRule="atLeast"/>
              <w:rPr>
                <w:rFonts w:hint="eastAsia" w:eastAsia="宋体"/>
                <w:bCs/>
                <w:color w:val="auto"/>
                <w:szCs w:val="21"/>
                <w:highlight w:val="none"/>
              </w:rPr>
            </w:pPr>
          </w:p>
          <w:p w14:paraId="352099FF">
            <w:pPr>
              <w:spacing w:line="460" w:lineRule="atLeast"/>
              <w:rPr>
                <w:rFonts w:hint="eastAsia" w:eastAsia="宋体"/>
                <w:bCs/>
                <w:color w:val="auto"/>
                <w:szCs w:val="21"/>
                <w:highlight w:val="none"/>
              </w:rPr>
            </w:pPr>
            <w:r>
              <w:rPr>
                <w:rFonts w:eastAsia="宋体"/>
                <w:bCs/>
                <w:color w:val="auto"/>
                <w:szCs w:val="21"/>
                <w:highlight w:val="none"/>
              </w:rPr>
              <w:t>法定代表人身份证</w:t>
            </w:r>
            <w:r>
              <w:rPr>
                <w:rFonts w:hint="eastAsia" w:eastAsia="宋体"/>
                <w:bCs/>
                <w:color w:val="auto"/>
                <w:szCs w:val="21"/>
                <w:highlight w:val="none"/>
              </w:rPr>
              <w:t>扫描件</w:t>
            </w:r>
          </w:p>
          <w:p w14:paraId="3EC0AE78">
            <w:pPr>
              <w:spacing w:line="460" w:lineRule="atLeast"/>
              <w:rPr>
                <w:rFonts w:hint="eastAsia" w:eastAsia="宋体"/>
                <w:bCs/>
                <w:color w:val="auto"/>
                <w:szCs w:val="21"/>
                <w:highlight w:val="none"/>
              </w:rPr>
            </w:pPr>
          </w:p>
          <w:p w14:paraId="00F1FB7A">
            <w:pPr>
              <w:spacing w:line="460" w:lineRule="atLeast"/>
              <w:rPr>
                <w:rFonts w:hint="eastAsia" w:eastAsia="宋体"/>
                <w:bCs/>
                <w:color w:val="auto"/>
                <w:szCs w:val="21"/>
                <w:highlight w:val="none"/>
              </w:rPr>
            </w:pPr>
            <w:r>
              <w:rPr>
                <w:rFonts w:eastAsia="宋体"/>
                <w:bCs/>
                <w:color w:val="auto"/>
                <w:szCs w:val="21"/>
                <w:highlight w:val="none"/>
              </w:rPr>
              <w:t>二代身份证正、反两面都需复印</w:t>
            </w:r>
          </w:p>
          <w:p w14:paraId="5E492E8A">
            <w:pPr>
              <w:spacing w:line="460" w:lineRule="atLeast"/>
              <w:rPr>
                <w:rFonts w:hint="eastAsia" w:eastAsia="宋体"/>
                <w:bCs/>
                <w:color w:val="auto"/>
                <w:szCs w:val="21"/>
                <w:highlight w:val="none"/>
              </w:rPr>
            </w:pPr>
          </w:p>
          <w:p w14:paraId="388B5F51">
            <w:pPr>
              <w:spacing w:line="460" w:lineRule="atLeast"/>
              <w:rPr>
                <w:rFonts w:hint="eastAsia" w:eastAsia="宋体"/>
                <w:bCs/>
                <w:color w:val="auto"/>
                <w:szCs w:val="21"/>
                <w:highlight w:val="none"/>
              </w:rPr>
            </w:pPr>
          </w:p>
        </w:tc>
      </w:tr>
    </w:tbl>
    <w:p w14:paraId="1D47ACF8">
      <w:pPr>
        <w:spacing w:line="460" w:lineRule="atLeast"/>
        <w:ind w:firstLine="420" w:firstLineChars="200"/>
        <w:rPr>
          <w:rFonts w:hint="eastAsia" w:eastAsia="宋体"/>
          <w:color w:val="auto"/>
          <w:szCs w:val="21"/>
          <w:highlight w:val="none"/>
        </w:rPr>
      </w:pPr>
      <w:r>
        <w:rPr>
          <w:rFonts w:eastAsia="宋体"/>
          <w:color w:val="auto"/>
          <w:szCs w:val="21"/>
          <w:highlight w:val="none"/>
        </w:rPr>
        <w:t>供应商（盖章）：</w:t>
      </w:r>
    </w:p>
    <w:p w14:paraId="61C36435">
      <w:pPr>
        <w:spacing w:line="460" w:lineRule="atLeast"/>
        <w:ind w:firstLine="420" w:firstLineChars="200"/>
        <w:rPr>
          <w:rFonts w:eastAsia="宋体"/>
          <w:bCs/>
          <w:color w:val="auto"/>
          <w:szCs w:val="21"/>
          <w:highlight w:val="none"/>
        </w:rPr>
      </w:pPr>
      <w:r>
        <w:rPr>
          <w:rFonts w:eastAsia="宋体"/>
          <w:bCs/>
          <w:color w:val="auto"/>
          <w:szCs w:val="21"/>
          <w:highlight w:val="none"/>
        </w:rPr>
        <w:t>日 期：</w:t>
      </w:r>
    </w:p>
    <w:p w14:paraId="27523EE6">
      <w:pPr>
        <w:spacing w:line="460" w:lineRule="atLeast"/>
        <w:ind w:firstLine="420" w:firstLineChars="200"/>
        <w:rPr>
          <w:rFonts w:hint="eastAsia" w:eastAsia="宋体"/>
          <w:bCs/>
          <w:color w:val="auto"/>
          <w:szCs w:val="21"/>
          <w:highlight w:val="none"/>
        </w:rPr>
      </w:pPr>
    </w:p>
    <w:p w14:paraId="2A5366FC">
      <w:pPr>
        <w:spacing w:line="460" w:lineRule="atLeast"/>
        <w:ind w:left="210" w:leftChars="100"/>
        <w:jc w:val="center"/>
        <w:rPr>
          <w:rFonts w:hint="eastAsia" w:eastAsia="宋体"/>
          <w:b/>
          <w:bCs/>
          <w:color w:val="auto"/>
          <w:szCs w:val="21"/>
          <w:highlight w:val="none"/>
        </w:rPr>
      </w:pPr>
      <w:r>
        <w:rPr>
          <w:rFonts w:eastAsia="宋体"/>
          <w:b/>
          <w:bCs/>
          <w:color w:val="auto"/>
          <w:szCs w:val="21"/>
          <w:highlight w:val="none"/>
        </w:rPr>
        <w:t>2、法定代表人授权书</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2"/>
        <w:gridCol w:w="1695"/>
        <w:gridCol w:w="1276"/>
        <w:gridCol w:w="1077"/>
        <w:gridCol w:w="1559"/>
        <w:gridCol w:w="2886"/>
      </w:tblGrid>
      <w:tr w14:paraId="6251A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95" w:type="dxa"/>
            <w:gridSpan w:val="6"/>
          </w:tcPr>
          <w:p w14:paraId="5CA2883E">
            <w:pPr>
              <w:tabs>
                <w:tab w:val="right" w:leader="dot" w:pos="9022"/>
              </w:tabs>
              <w:autoSpaceDE w:val="0"/>
              <w:autoSpaceDN w:val="0"/>
              <w:adjustRightInd w:val="0"/>
              <w:spacing w:line="460" w:lineRule="atLeast"/>
              <w:rPr>
                <w:rFonts w:hint="eastAsia" w:eastAsia="宋体"/>
                <w:bCs/>
                <w:caps/>
                <w:color w:val="auto"/>
                <w:szCs w:val="21"/>
                <w:highlight w:val="none"/>
                <w:lang w:eastAsia="zh-CN"/>
              </w:rPr>
            </w:pPr>
            <w:r>
              <w:rPr>
                <w:rFonts w:eastAsia="宋体"/>
                <w:bCs/>
                <w:caps/>
                <w:color w:val="auto"/>
                <w:szCs w:val="21"/>
                <w:highlight w:val="none"/>
              </w:rPr>
              <w:t>致：</w:t>
            </w:r>
            <w:r>
              <w:rPr>
                <w:rFonts w:hint="eastAsia" w:eastAsia="宋体"/>
                <w:bCs/>
                <w:color w:val="auto"/>
                <w:szCs w:val="21"/>
                <w:highlight w:val="none"/>
                <w:lang w:eastAsia="zh-CN"/>
              </w:rPr>
              <w:t>陕西益森工程咨询有限公司</w:t>
            </w:r>
          </w:p>
        </w:tc>
      </w:tr>
      <w:tr w14:paraId="445BC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restart"/>
            <w:vAlign w:val="center"/>
          </w:tcPr>
          <w:p w14:paraId="70F235E1">
            <w:pPr>
              <w:tabs>
                <w:tab w:val="right" w:leader="dot" w:pos="9022"/>
              </w:tabs>
              <w:autoSpaceDE w:val="0"/>
              <w:autoSpaceDN w:val="0"/>
              <w:adjustRightInd w:val="0"/>
              <w:spacing w:line="460" w:lineRule="atLeast"/>
              <w:jc w:val="center"/>
              <w:rPr>
                <w:rFonts w:hint="eastAsia" w:eastAsia="宋体"/>
                <w:bCs/>
                <w:caps/>
                <w:color w:val="auto"/>
                <w:szCs w:val="21"/>
                <w:highlight w:val="none"/>
              </w:rPr>
            </w:pPr>
            <w:r>
              <w:rPr>
                <w:rFonts w:eastAsia="宋体"/>
                <w:bCs/>
                <w:caps/>
                <w:color w:val="auto"/>
                <w:szCs w:val="21"/>
                <w:highlight w:val="none"/>
              </w:rPr>
              <w:t>被授</w:t>
            </w:r>
          </w:p>
          <w:p w14:paraId="1709FD70">
            <w:pPr>
              <w:tabs>
                <w:tab w:val="right" w:leader="dot" w:pos="9022"/>
              </w:tabs>
              <w:autoSpaceDE w:val="0"/>
              <w:autoSpaceDN w:val="0"/>
              <w:adjustRightInd w:val="0"/>
              <w:spacing w:line="460" w:lineRule="atLeast"/>
              <w:jc w:val="center"/>
              <w:rPr>
                <w:rFonts w:hint="eastAsia" w:eastAsia="宋体"/>
                <w:bCs/>
                <w:caps/>
                <w:color w:val="auto"/>
                <w:szCs w:val="21"/>
                <w:highlight w:val="none"/>
              </w:rPr>
            </w:pPr>
            <w:r>
              <w:rPr>
                <w:rFonts w:eastAsia="宋体"/>
                <w:bCs/>
                <w:caps/>
                <w:color w:val="auto"/>
                <w:szCs w:val="21"/>
                <w:highlight w:val="none"/>
              </w:rPr>
              <w:t>权项</w:t>
            </w:r>
          </w:p>
          <w:p w14:paraId="754C7F89">
            <w:pPr>
              <w:tabs>
                <w:tab w:val="right" w:leader="dot" w:pos="9022"/>
              </w:tabs>
              <w:autoSpaceDE w:val="0"/>
              <w:autoSpaceDN w:val="0"/>
              <w:adjustRightInd w:val="0"/>
              <w:spacing w:line="460" w:lineRule="atLeast"/>
              <w:jc w:val="center"/>
              <w:rPr>
                <w:rFonts w:hint="eastAsia" w:eastAsia="宋体"/>
                <w:bCs/>
                <w:caps/>
                <w:color w:val="auto"/>
                <w:szCs w:val="21"/>
                <w:highlight w:val="none"/>
              </w:rPr>
            </w:pPr>
            <w:r>
              <w:rPr>
                <w:rFonts w:eastAsia="宋体"/>
                <w:bCs/>
                <w:caps/>
                <w:color w:val="auto"/>
                <w:szCs w:val="21"/>
                <w:highlight w:val="none"/>
              </w:rPr>
              <w:t>目与</w:t>
            </w:r>
          </w:p>
          <w:p w14:paraId="12C5A069">
            <w:pPr>
              <w:tabs>
                <w:tab w:val="right" w:leader="dot" w:pos="9022"/>
              </w:tabs>
              <w:autoSpaceDE w:val="0"/>
              <w:autoSpaceDN w:val="0"/>
              <w:adjustRightInd w:val="0"/>
              <w:spacing w:line="460" w:lineRule="atLeast"/>
              <w:jc w:val="center"/>
              <w:rPr>
                <w:rFonts w:hint="eastAsia" w:eastAsia="宋体"/>
                <w:bCs/>
                <w:caps/>
                <w:color w:val="auto"/>
                <w:szCs w:val="21"/>
                <w:highlight w:val="none"/>
              </w:rPr>
            </w:pPr>
            <w:r>
              <w:rPr>
                <w:rFonts w:eastAsia="宋体"/>
                <w:bCs/>
                <w:caps/>
                <w:color w:val="auto"/>
                <w:szCs w:val="21"/>
                <w:highlight w:val="none"/>
              </w:rPr>
              <w:t>内容</w:t>
            </w:r>
          </w:p>
        </w:tc>
        <w:tc>
          <w:tcPr>
            <w:tcW w:w="1695" w:type="dxa"/>
          </w:tcPr>
          <w:p w14:paraId="42A79684">
            <w:pPr>
              <w:tabs>
                <w:tab w:val="right" w:leader="dot" w:pos="9022"/>
              </w:tabs>
              <w:autoSpaceDE w:val="0"/>
              <w:autoSpaceDN w:val="0"/>
              <w:adjustRightInd w:val="0"/>
              <w:spacing w:line="460" w:lineRule="atLeast"/>
              <w:jc w:val="center"/>
              <w:rPr>
                <w:rFonts w:hint="eastAsia" w:eastAsia="宋体"/>
                <w:bCs/>
                <w:caps/>
                <w:color w:val="auto"/>
                <w:szCs w:val="21"/>
                <w:highlight w:val="none"/>
              </w:rPr>
            </w:pPr>
            <w:r>
              <w:rPr>
                <w:rFonts w:eastAsia="宋体"/>
                <w:bCs/>
                <w:caps/>
                <w:color w:val="auto"/>
                <w:szCs w:val="21"/>
                <w:highlight w:val="none"/>
              </w:rPr>
              <w:t>项目名称</w:t>
            </w:r>
          </w:p>
        </w:tc>
        <w:tc>
          <w:tcPr>
            <w:tcW w:w="6798" w:type="dxa"/>
            <w:gridSpan w:val="4"/>
          </w:tcPr>
          <w:p w14:paraId="32460C89">
            <w:pPr>
              <w:tabs>
                <w:tab w:val="right" w:leader="dot" w:pos="9022"/>
              </w:tabs>
              <w:autoSpaceDE w:val="0"/>
              <w:autoSpaceDN w:val="0"/>
              <w:adjustRightInd w:val="0"/>
              <w:spacing w:line="460" w:lineRule="atLeast"/>
              <w:rPr>
                <w:rFonts w:hint="eastAsia" w:eastAsia="宋体"/>
                <w:bCs/>
                <w:caps/>
                <w:color w:val="auto"/>
                <w:szCs w:val="21"/>
                <w:highlight w:val="none"/>
              </w:rPr>
            </w:pPr>
          </w:p>
        </w:tc>
      </w:tr>
      <w:tr w14:paraId="7708D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continue"/>
            <w:vAlign w:val="center"/>
          </w:tcPr>
          <w:p w14:paraId="7F167C1C">
            <w:pPr>
              <w:tabs>
                <w:tab w:val="right" w:leader="dot" w:pos="9022"/>
              </w:tabs>
              <w:autoSpaceDE w:val="0"/>
              <w:autoSpaceDN w:val="0"/>
              <w:adjustRightInd w:val="0"/>
              <w:spacing w:line="460" w:lineRule="atLeast"/>
              <w:jc w:val="center"/>
              <w:rPr>
                <w:rFonts w:eastAsia="宋体"/>
                <w:bCs/>
                <w:caps/>
                <w:color w:val="auto"/>
                <w:szCs w:val="21"/>
                <w:highlight w:val="none"/>
              </w:rPr>
            </w:pPr>
          </w:p>
        </w:tc>
        <w:tc>
          <w:tcPr>
            <w:tcW w:w="1695" w:type="dxa"/>
          </w:tcPr>
          <w:p w14:paraId="77B17CAA">
            <w:pPr>
              <w:tabs>
                <w:tab w:val="right" w:leader="dot" w:pos="9022"/>
              </w:tabs>
              <w:autoSpaceDE w:val="0"/>
              <w:autoSpaceDN w:val="0"/>
              <w:adjustRightInd w:val="0"/>
              <w:spacing w:line="460" w:lineRule="atLeast"/>
              <w:jc w:val="center"/>
              <w:rPr>
                <w:rFonts w:hint="default" w:eastAsia="宋体"/>
                <w:bCs/>
                <w:caps/>
                <w:color w:val="auto"/>
                <w:szCs w:val="21"/>
                <w:highlight w:val="none"/>
                <w:lang w:val="en-US" w:eastAsia="zh-CN"/>
              </w:rPr>
            </w:pPr>
            <w:r>
              <w:rPr>
                <w:rFonts w:hint="eastAsia" w:eastAsia="宋体"/>
                <w:bCs/>
                <w:caps/>
                <w:color w:val="auto"/>
                <w:szCs w:val="21"/>
                <w:highlight w:val="none"/>
                <w:lang w:val="en-US" w:eastAsia="zh-CN"/>
              </w:rPr>
              <w:t>包号名称</w:t>
            </w:r>
          </w:p>
        </w:tc>
        <w:tc>
          <w:tcPr>
            <w:tcW w:w="6798" w:type="dxa"/>
            <w:gridSpan w:val="4"/>
          </w:tcPr>
          <w:p w14:paraId="3DA59A01">
            <w:pPr>
              <w:tabs>
                <w:tab w:val="right" w:leader="dot" w:pos="9022"/>
              </w:tabs>
              <w:autoSpaceDE w:val="0"/>
              <w:autoSpaceDN w:val="0"/>
              <w:adjustRightInd w:val="0"/>
              <w:spacing w:line="460" w:lineRule="atLeast"/>
              <w:rPr>
                <w:rFonts w:hint="eastAsia" w:eastAsia="宋体"/>
                <w:bCs/>
                <w:caps/>
                <w:color w:val="auto"/>
                <w:szCs w:val="21"/>
                <w:highlight w:val="none"/>
              </w:rPr>
            </w:pPr>
          </w:p>
        </w:tc>
      </w:tr>
      <w:tr w14:paraId="5FF14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continue"/>
          </w:tcPr>
          <w:p w14:paraId="6CC5E6C0">
            <w:pPr>
              <w:tabs>
                <w:tab w:val="right" w:leader="dot" w:pos="9022"/>
              </w:tabs>
              <w:autoSpaceDE w:val="0"/>
              <w:autoSpaceDN w:val="0"/>
              <w:adjustRightInd w:val="0"/>
              <w:spacing w:line="460" w:lineRule="atLeast"/>
              <w:rPr>
                <w:rFonts w:hint="eastAsia" w:eastAsia="宋体"/>
                <w:bCs/>
                <w:caps/>
                <w:color w:val="auto"/>
                <w:szCs w:val="21"/>
                <w:highlight w:val="none"/>
              </w:rPr>
            </w:pPr>
          </w:p>
        </w:tc>
        <w:tc>
          <w:tcPr>
            <w:tcW w:w="1695" w:type="dxa"/>
          </w:tcPr>
          <w:p w14:paraId="0316EE75">
            <w:pPr>
              <w:tabs>
                <w:tab w:val="right" w:leader="dot" w:pos="9022"/>
              </w:tabs>
              <w:autoSpaceDE w:val="0"/>
              <w:autoSpaceDN w:val="0"/>
              <w:adjustRightInd w:val="0"/>
              <w:spacing w:line="460" w:lineRule="atLeast"/>
              <w:jc w:val="center"/>
              <w:rPr>
                <w:rFonts w:hint="eastAsia" w:eastAsia="宋体"/>
                <w:bCs/>
                <w:caps/>
                <w:color w:val="auto"/>
                <w:szCs w:val="21"/>
                <w:highlight w:val="none"/>
              </w:rPr>
            </w:pPr>
            <w:r>
              <w:rPr>
                <w:rFonts w:eastAsia="宋体"/>
                <w:bCs/>
                <w:caps/>
                <w:color w:val="auto"/>
                <w:szCs w:val="21"/>
                <w:highlight w:val="none"/>
              </w:rPr>
              <w:t>项目编号</w:t>
            </w:r>
          </w:p>
        </w:tc>
        <w:tc>
          <w:tcPr>
            <w:tcW w:w="6798" w:type="dxa"/>
            <w:gridSpan w:val="4"/>
          </w:tcPr>
          <w:p w14:paraId="21C6BA99">
            <w:pPr>
              <w:tabs>
                <w:tab w:val="right" w:leader="dot" w:pos="9022"/>
              </w:tabs>
              <w:autoSpaceDE w:val="0"/>
              <w:autoSpaceDN w:val="0"/>
              <w:adjustRightInd w:val="0"/>
              <w:spacing w:line="460" w:lineRule="atLeast"/>
              <w:ind w:firstLine="1050" w:firstLineChars="500"/>
              <w:rPr>
                <w:rFonts w:hint="eastAsia" w:eastAsia="宋体"/>
                <w:bCs/>
                <w:caps/>
                <w:color w:val="auto"/>
                <w:szCs w:val="21"/>
                <w:highlight w:val="none"/>
              </w:rPr>
            </w:pPr>
          </w:p>
        </w:tc>
      </w:tr>
      <w:tr w14:paraId="3B114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continue"/>
          </w:tcPr>
          <w:p w14:paraId="47234261">
            <w:pPr>
              <w:tabs>
                <w:tab w:val="right" w:leader="dot" w:pos="9022"/>
              </w:tabs>
              <w:autoSpaceDE w:val="0"/>
              <w:autoSpaceDN w:val="0"/>
              <w:adjustRightInd w:val="0"/>
              <w:spacing w:line="460" w:lineRule="atLeast"/>
              <w:rPr>
                <w:rFonts w:hint="eastAsia" w:eastAsia="宋体"/>
                <w:bCs/>
                <w:caps/>
                <w:color w:val="auto"/>
                <w:szCs w:val="21"/>
                <w:highlight w:val="none"/>
              </w:rPr>
            </w:pPr>
          </w:p>
        </w:tc>
        <w:tc>
          <w:tcPr>
            <w:tcW w:w="1695" w:type="dxa"/>
            <w:vAlign w:val="center"/>
          </w:tcPr>
          <w:p w14:paraId="2EB64D1E">
            <w:pPr>
              <w:tabs>
                <w:tab w:val="right" w:leader="dot" w:pos="9022"/>
              </w:tabs>
              <w:autoSpaceDE w:val="0"/>
              <w:autoSpaceDN w:val="0"/>
              <w:adjustRightInd w:val="0"/>
              <w:spacing w:line="460" w:lineRule="atLeast"/>
              <w:jc w:val="center"/>
              <w:rPr>
                <w:rFonts w:hint="eastAsia" w:eastAsia="宋体"/>
                <w:bCs/>
                <w:caps/>
                <w:color w:val="auto"/>
                <w:szCs w:val="21"/>
                <w:highlight w:val="none"/>
              </w:rPr>
            </w:pPr>
            <w:r>
              <w:rPr>
                <w:rFonts w:eastAsia="宋体"/>
                <w:bCs/>
                <w:caps/>
                <w:color w:val="auto"/>
                <w:szCs w:val="21"/>
                <w:highlight w:val="none"/>
              </w:rPr>
              <w:t>授权范围</w:t>
            </w:r>
          </w:p>
        </w:tc>
        <w:tc>
          <w:tcPr>
            <w:tcW w:w="6798" w:type="dxa"/>
            <w:gridSpan w:val="4"/>
          </w:tcPr>
          <w:p w14:paraId="22B9557C">
            <w:pPr>
              <w:tabs>
                <w:tab w:val="right" w:leader="dot" w:pos="9022"/>
              </w:tabs>
              <w:autoSpaceDE w:val="0"/>
              <w:autoSpaceDN w:val="0"/>
              <w:adjustRightInd w:val="0"/>
              <w:spacing w:line="460" w:lineRule="atLeast"/>
              <w:rPr>
                <w:rFonts w:hint="eastAsia" w:eastAsia="宋体"/>
                <w:bCs/>
                <w:caps/>
                <w:color w:val="auto"/>
                <w:szCs w:val="21"/>
                <w:highlight w:val="none"/>
              </w:rPr>
            </w:pPr>
            <w:r>
              <w:rPr>
                <w:rFonts w:eastAsia="宋体"/>
                <w:bCs/>
                <w:caps/>
                <w:color w:val="auto"/>
                <w:szCs w:val="21"/>
                <w:highlight w:val="none"/>
              </w:rPr>
              <w:t>全权办理本次</w:t>
            </w:r>
            <w:r>
              <w:rPr>
                <w:rFonts w:hint="eastAsia" w:eastAsia="宋体"/>
                <w:bCs/>
                <w:caps/>
                <w:color w:val="auto"/>
                <w:szCs w:val="21"/>
                <w:highlight w:val="none"/>
              </w:rPr>
              <w:t>磋商</w:t>
            </w:r>
            <w:r>
              <w:rPr>
                <w:rFonts w:eastAsia="宋体"/>
                <w:bCs/>
                <w:caps/>
                <w:color w:val="auto"/>
                <w:szCs w:val="21"/>
                <w:highlight w:val="none"/>
              </w:rPr>
              <w:t>采购项目的</w:t>
            </w:r>
            <w:r>
              <w:rPr>
                <w:rFonts w:hint="eastAsia" w:eastAsia="宋体"/>
                <w:bCs/>
                <w:caps/>
                <w:color w:val="auto"/>
                <w:szCs w:val="21"/>
                <w:highlight w:val="none"/>
              </w:rPr>
              <w:t>磋商</w:t>
            </w:r>
            <w:r>
              <w:rPr>
                <w:rFonts w:eastAsia="宋体"/>
                <w:bCs/>
                <w:caps/>
                <w:color w:val="auto"/>
                <w:szCs w:val="21"/>
                <w:highlight w:val="none"/>
              </w:rPr>
              <w:t>、联系、洽谈、签约、执行等具体事务，签署全部有关文件、文书、协议及合同。</w:t>
            </w:r>
          </w:p>
        </w:tc>
      </w:tr>
      <w:tr w14:paraId="4A627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continue"/>
          </w:tcPr>
          <w:p w14:paraId="2171F1CE">
            <w:pPr>
              <w:tabs>
                <w:tab w:val="right" w:leader="dot" w:pos="9022"/>
              </w:tabs>
              <w:autoSpaceDE w:val="0"/>
              <w:autoSpaceDN w:val="0"/>
              <w:adjustRightInd w:val="0"/>
              <w:spacing w:line="460" w:lineRule="atLeast"/>
              <w:rPr>
                <w:rFonts w:hint="eastAsia" w:eastAsia="宋体"/>
                <w:bCs/>
                <w:caps/>
                <w:color w:val="auto"/>
                <w:szCs w:val="21"/>
                <w:highlight w:val="none"/>
              </w:rPr>
            </w:pPr>
          </w:p>
        </w:tc>
        <w:tc>
          <w:tcPr>
            <w:tcW w:w="1695" w:type="dxa"/>
          </w:tcPr>
          <w:p w14:paraId="2B56266E">
            <w:pPr>
              <w:tabs>
                <w:tab w:val="right" w:leader="dot" w:pos="9022"/>
              </w:tabs>
              <w:autoSpaceDE w:val="0"/>
              <w:autoSpaceDN w:val="0"/>
              <w:adjustRightInd w:val="0"/>
              <w:spacing w:line="460" w:lineRule="atLeast"/>
              <w:jc w:val="center"/>
              <w:rPr>
                <w:rFonts w:hint="eastAsia" w:eastAsia="宋体"/>
                <w:bCs/>
                <w:caps/>
                <w:color w:val="auto"/>
                <w:szCs w:val="21"/>
                <w:highlight w:val="none"/>
              </w:rPr>
            </w:pPr>
            <w:r>
              <w:rPr>
                <w:rFonts w:eastAsia="宋体"/>
                <w:bCs/>
                <w:caps/>
                <w:color w:val="auto"/>
                <w:szCs w:val="21"/>
                <w:highlight w:val="none"/>
              </w:rPr>
              <w:t>法律责任</w:t>
            </w:r>
          </w:p>
        </w:tc>
        <w:tc>
          <w:tcPr>
            <w:tcW w:w="6798" w:type="dxa"/>
            <w:gridSpan w:val="4"/>
          </w:tcPr>
          <w:p w14:paraId="230D2573">
            <w:pPr>
              <w:tabs>
                <w:tab w:val="right" w:leader="dot" w:pos="9022"/>
              </w:tabs>
              <w:autoSpaceDE w:val="0"/>
              <w:autoSpaceDN w:val="0"/>
              <w:adjustRightInd w:val="0"/>
              <w:spacing w:line="460" w:lineRule="atLeast"/>
              <w:rPr>
                <w:rFonts w:hint="eastAsia" w:eastAsia="宋体"/>
                <w:bCs/>
                <w:caps/>
                <w:color w:val="auto"/>
                <w:szCs w:val="21"/>
                <w:highlight w:val="none"/>
              </w:rPr>
            </w:pPr>
            <w:r>
              <w:rPr>
                <w:rFonts w:eastAsia="宋体"/>
                <w:bCs/>
                <w:caps/>
                <w:color w:val="auto"/>
                <w:szCs w:val="21"/>
                <w:highlight w:val="none"/>
              </w:rPr>
              <w:t>本公司对被授权人在本项目中的签名承担全部法律责任。</w:t>
            </w:r>
          </w:p>
        </w:tc>
      </w:tr>
      <w:tr w14:paraId="11F06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continue"/>
          </w:tcPr>
          <w:p w14:paraId="3F941B6D">
            <w:pPr>
              <w:tabs>
                <w:tab w:val="right" w:leader="dot" w:pos="9022"/>
              </w:tabs>
              <w:autoSpaceDE w:val="0"/>
              <w:autoSpaceDN w:val="0"/>
              <w:adjustRightInd w:val="0"/>
              <w:spacing w:line="460" w:lineRule="atLeast"/>
              <w:rPr>
                <w:rFonts w:hint="eastAsia" w:eastAsia="宋体"/>
                <w:bCs/>
                <w:caps/>
                <w:color w:val="auto"/>
                <w:szCs w:val="21"/>
                <w:highlight w:val="none"/>
              </w:rPr>
            </w:pPr>
          </w:p>
        </w:tc>
        <w:tc>
          <w:tcPr>
            <w:tcW w:w="1695" w:type="dxa"/>
            <w:vAlign w:val="center"/>
          </w:tcPr>
          <w:p w14:paraId="2FECFB11">
            <w:pPr>
              <w:tabs>
                <w:tab w:val="right" w:leader="dot" w:pos="9022"/>
              </w:tabs>
              <w:autoSpaceDE w:val="0"/>
              <w:autoSpaceDN w:val="0"/>
              <w:adjustRightInd w:val="0"/>
              <w:spacing w:line="460" w:lineRule="atLeast"/>
              <w:jc w:val="center"/>
              <w:rPr>
                <w:rFonts w:hint="eastAsia" w:eastAsia="宋体"/>
                <w:bCs/>
                <w:caps/>
                <w:color w:val="auto"/>
                <w:szCs w:val="21"/>
                <w:highlight w:val="none"/>
              </w:rPr>
            </w:pPr>
            <w:r>
              <w:rPr>
                <w:rFonts w:eastAsia="宋体"/>
                <w:bCs/>
                <w:caps/>
                <w:color w:val="auto"/>
                <w:szCs w:val="21"/>
                <w:highlight w:val="none"/>
              </w:rPr>
              <w:t>授权期限</w:t>
            </w:r>
          </w:p>
        </w:tc>
        <w:tc>
          <w:tcPr>
            <w:tcW w:w="6798" w:type="dxa"/>
            <w:gridSpan w:val="4"/>
            <w:vAlign w:val="center"/>
          </w:tcPr>
          <w:p w14:paraId="3168862E">
            <w:pPr>
              <w:tabs>
                <w:tab w:val="right" w:leader="dot" w:pos="9022"/>
              </w:tabs>
              <w:autoSpaceDE w:val="0"/>
              <w:autoSpaceDN w:val="0"/>
              <w:adjustRightInd w:val="0"/>
              <w:spacing w:line="460" w:lineRule="atLeast"/>
              <w:rPr>
                <w:rFonts w:hint="eastAsia" w:eastAsia="宋体"/>
                <w:bCs/>
                <w:caps/>
                <w:color w:val="auto"/>
                <w:szCs w:val="21"/>
                <w:highlight w:val="none"/>
              </w:rPr>
            </w:pPr>
            <w:r>
              <w:rPr>
                <w:rFonts w:eastAsia="宋体"/>
                <w:bCs/>
                <w:caps/>
                <w:color w:val="auto"/>
                <w:szCs w:val="21"/>
                <w:highlight w:val="none"/>
              </w:rPr>
              <w:t>本授权书自</w:t>
            </w:r>
            <w:r>
              <w:rPr>
                <w:rFonts w:hint="eastAsia" w:eastAsia="宋体"/>
                <w:bCs/>
                <w:caps/>
                <w:color w:val="auto"/>
                <w:szCs w:val="21"/>
                <w:highlight w:val="none"/>
              </w:rPr>
              <w:t>磋商</w:t>
            </w:r>
            <w:r>
              <w:rPr>
                <w:rFonts w:eastAsia="宋体"/>
                <w:bCs/>
                <w:caps/>
                <w:color w:val="auto"/>
                <w:szCs w:val="21"/>
                <w:highlight w:val="none"/>
              </w:rPr>
              <w:t>之日起计算有效期为90天</w:t>
            </w:r>
          </w:p>
        </w:tc>
      </w:tr>
      <w:tr w14:paraId="33AA2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restart"/>
            <w:vAlign w:val="center"/>
          </w:tcPr>
          <w:p w14:paraId="4E7B9AAA">
            <w:pPr>
              <w:tabs>
                <w:tab w:val="right" w:leader="dot" w:pos="9022"/>
              </w:tabs>
              <w:autoSpaceDE w:val="0"/>
              <w:autoSpaceDN w:val="0"/>
              <w:adjustRightInd w:val="0"/>
              <w:spacing w:line="460" w:lineRule="atLeast"/>
              <w:rPr>
                <w:rFonts w:hint="eastAsia" w:eastAsia="宋体"/>
                <w:bCs/>
                <w:caps/>
                <w:color w:val="auto"/>
                <w:szCs w:val="21"/>
                <w:highlight w:val="none"/>
              </w:rPr>
            </w:pPr>
            <w:r>
              <w:rPr>
                <w:rFonts w:eastAsia="宋体"/>
                <w:bCs/>
                <w:caps/>
                <w:color w:val="auto"/>
                <w:szCs w:val="21"/>
                <w:highlight w:val="none"/>
              </w:rPr>
              <w:t>法定代表人</w:t>
            </w:r>
          </w:p>
        </w:tc>
        <w:tc>
          <w:tcPr>
            <w:tcW w:w="1695" w:type="dxa"/>
            <w:vAlign w:val="center"/>
          </w:tcPr>
          <w:p w14:paraId="76E93C87">
            <w:pPr>
              <w:tabs>
                <w:tab w:val="right" w:leader="dot" w:pos="9022"/>
              </w:tabs>
              <w:autoSpaceDE w:val="0"/>
              <w:autoSpaceDN w:val="0"/>
              <w:adjustRightInd w:val="0"/>
              <w:spacing w:line="460" w:lineRule="atLeast"/>
              <w:jc w:val="center"/>
              <w:rPr>
                <w:rFonts w:hint="eastAsia" w:eastAsia="宋体"/>
                <w:bCs/>
                <w:caps/>
                <w:color w:val="auto"/>
                <w:szCs w:val="21"/>
                <w:highlight w:val="none"/>
              </w:rPr>
            </w:pPr>
            <w:r>
              <w:rPr>
                <w:rFonts w:eastAsia="宋体"/>
                <w:bCs/>
                <w:caps/>
                <w:color w:val="auto"/>
                <w:szCs w:val="21"/>
                <w:highlight w:val="none"/>
              </w:rPr>
              <w:t>姓名</w:t>
            </w:r>
          </w:p>
        </w:tc>
        <w:tc>
          <w:tcPr>
            <w:tcW w:w="2353" w:type="dxa"/>
            <w:gridSpan w:val="2"/>
            <w:vAlign w:val="center"/>
          </w:tcPr>
          <w:p w14:paraId="6CC3FFE6">
            <w:pPr>
              <w:tabs>
                <w:tab w:val="right" w:leader="dot" w:pos="9022"/>
              </w:tabs>
              <w:autoSpaceDE w:val="0"/>
              <w:autoSpaceDN w:val="0"/>
              <w:adjustRightInd w:val="0"/>
              <w:spacing w:line="460" w:lineRule="atLeast"/>
              <w:jc w:val="center"/>
              <w:rPr>
                <w:rFonts w:hint="eastAsia" w:eastAsia="宋体"/>
                <w:bCs/>
                <w:caps/>
                <w:color w:val="auto"/>
                <w:szCs w:val="21"/>
                <w:highlight w:val="none"/>
              </w:rPr>
            </w:pPr>
          </w:p>
        </w:tc>
        <w:tc>
          <w:tcPr>
            <w:tcW w:w="1559" w:type="dxa"/>
            <w:vAlign w:val="center"/>
          </w:tcPr>
          <w:p w14:paraId="363D1A4F">
            <w:pPr>
              <w:tabs>
                <w:tab w:val="right" w:leader="dot" w:pos="9022"/>
              </w:tabs>
              <w:autoSpaceDE w:val="0"/>
              <w:autoSpaceDN w:val="0"/>
              <w:adjustRightInd w:val="0"/>
              <w:spacing w:line="460" w:lineRule="atLeast"/>
              <w:jc w:val="center"/>
              <w:rPr>
                <w:rFonts w:hint="eastAsia" w:eastAsia="宋体"/>
                <w:bCs/>
                <w:caps/>
                <w:color w:val="auto"/>
                <w:szCs w:val="21"/>
                <w:highlight w:val="none"/>
              </w:rPr>
            </w:pPr>
            <w:r>
              <w:rPr>
                <w:rFonts w:eastAsia="宋体"/>
                <w:bCs/>
                <w:caps/>
                <w:color w:val="auto"/>
                <w:szCs w:val="21"/>
                <w:highlight w:val="none"/>
              </w:rPr>
              <w:t>性    别</w:t>
            </w:r>
          </w:p>
        </w:tc>
        <w:tc>
          <w:tcPr>
            <w:tcW w:w="2886" w:type="dxa"/>
            <w:vAlign w:val="center"/>
          </w:tcPr>
          <w:p w14:paraId="612716FF">
            <w:pPr>
              <w:tabs>
                <w:tab w:val="right" w:leader="dot" w:pos="9022"/>
              </w:tabs>
              <w:autoSpaceDE w:val="0"/>
              <w:autoSpaceDN w:val="0"/>
              <w:adjustRightInd w:val="0"/>
              <w:spacing w:line="460" w:lineRule="atLeast"/>
              <w:jc w:val="center"/>
              <w:rPr>
                <w:rFonts w:hint="eastAsia" w:eastAsia="宋体"/>
                <w:bCs/>
                <w:caps/>
                <w:color w:val="auto"/>
                <w:szCs w:val="21"/>
                <w:highlight w:val="none"/>
              </w:rPr>
            </w:pPr>
          </w:p>
        </w:tc>
      </w:tr>
      <w:tr w14:paraId="1D609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continue"/>
            <w:vAlign w:val="center"/>
          </w:tcPr>
          <w:p w14:paraId="22A8DA11">
            <w:pPr>
              <w:tabs>
                <w:tab w:val="right" w:leader="dot" w:pos="9022"/>
              </w:tabs>
              <w:autoSpaceDE w:val="0"/>
              <w:autoSpaceDN w:val="0"/>
              <w:adjustRightInd w:val="0"/>
              <w:spacing w:line="460" w:lineRule="atLeast"/>
              <w:rPr>
                <w:rFonts w:hint="eastAsia" w:eastAsia="宋体"/>
                <w:bCs/>
                <w:caps/>
                <w:color w:val="auto"/>
                <w:szCs w:val="21"/>
                <w:highlight w:val="none"/>
              </w:rPr>
            </w:pPr>
          </w:p>
        </w:tc>
        <w:tc>
          <w:tcPr>
            <w:tcW w:w="1695" w:type="dxa"/>
            <w:vAlign w:val="center"/>
          </w:tcPr>
          <w:p w14:paraId="42C27912">
            <w:pPr>
              <w:tabs>
                <w:tab w:val="right" w:leader="dot" w:pos="9022"/>
              </w:tabs>
              <w:autoSpaceDE w:val="0"/>
              <w:autoSpaceDN w:val="0"/>
              <w:adjustRightInd w:val="0"/>
              <w:spacing w:line="460" w:lineRule="atLeast"/>
              <w:jc w:val="center"/>
              <w:rPr>
                <w:rFonts w:hint="eastAsia" w:eastAsia="宋体"/>
                <w:bCs/>
                <w:caps/>
                <w:color w:val="auto"/>
                <w:szCs w:val="21"/>
                <w:highlight w:val="none"/>
              </w:rPr>
            </w:pPr>
            <w:r>
              <w:rPr>
                <w:rFonts w:eastAsia="宋体"/>
                <w:bCs/>
                <w:caps/>
                <w:color w:val="auto"/>
                <w:szCs w:val="21"/>
                <w:highlight w:val="none"/>
              </w:rPr>
              <w:t>职务</w:t>
            </w:r>
          </w:p>
        </w:tc>
        <w:tc>
          <w:tcPr>
            <w:tcW w:w="2353" w:type="dxa"/>
            <w:gridSpan w:val="2"/>
            <w:vAlign w:val="center"/>
          </w:tcPr>
          <w:p w14:paraId="39AB788A">
            <w:pPr>
              <w:tabs>
                <w:tab w:val="right" w:leader="dot" w:pos="9022"/>
              </w:tabs>
              <w:autoSpaceDE w:val="0"/>
              <w:autoSpaceDN w:val="0"/>
              <w:adjustRightInd w:val="0"/>
              <w:spacing w:line="460" w:lineRule="atLeast"/>
              <w:jc w:val="center"/>
              <w:rPr>
                <w:rFonts w:hint="eastAsia" w:eastAsia="宋体"/>
                <w:bCs/>
                <w:caps/>
                <w:color w:val="auto"/>
                <w:szCs w:val="21"/>
                <w:highlight w:val="none"/>
              </w:rPr>
            </w:pPr>
          </w:p>
        </w:tc>
        <w:tc>
          <w:tcPr>
            <w:tcW w:w="1559" w:type="dxa"/>
            <w:vAlign w:val="center"/>
          </w:tcPr>
          <w:p w14:paraId="023C072D">
            <w:pPr>
              <w:tabs>
                <w:tab w:val="right" w:leader="dot" w:pos="9022"/>
              </w:tabs>
              <w:autoSpaceDE w:val="0"/>
              <w:autoSpaceDN w:val="0"/>
              <w:adjustRightInd w:val="0"/>
              <w:spacing w:line="460" w:lineRule="atLeast"/>
              <w:jc w:val="center"/>
              <w:rPr>
                <w:rFonts w:hint="eastAsia" w:eastAsia="宋体"/>
                <w:bCs/>
                <w:caps/>
                <w:color w:val="auto"/>
                <w:szCs w:val="21"/>
                <w:highlight w:val="none"/>
              </w:rPr>
            </w:pPr>
            <w:r>
              <w:rPr>
                <w:rFonts w:eastAsia="宋体"/>
                <w:bCs/>
                <w:caps/>
                <w:color w:val="auto"/>
                <w:szCs w:val="21"/>
                <w:highlight w:val="none"/>
              </w:rPr>
              <w:t>手机号码</w:t>
            </w:r>
          </w:p>
        </w:tc>
        <w:tc>
          <w:tcPr>
            <w:tcW w:w="2886" w:type="dxa"/>
            <w:vAlign w:val="center"/>
          </w:tcPr>
          <w:p w14:paraId="53EBEFEF">
            <w:pPr>
              <w:tabs>
                <w:tab w:val="right" w:leader="dot" w:pos="9022"/>
              </w:tabs>
              <w:autoSpaceDE w:val="0"/>
              <w:autoSpaceDN w:val="0"/>
              <w:adjustRightInd w:val="0"/>
              <w:spacing w:line="460" w:lineRule="atLeast"/>
              <w:rPr>
                <w:rFonts w:hint="eastAsia" w:eastAsia="宋体"/>
                <w:bCs/>
                <w:caps/>
                <w:color w:val="auto"/>
                <w:szCs w:val="21"/>
                <w:highlight w:val="none"/>
              </w:rPr>
            </w:pPr>
          </w:p>
        </w:tc>
      </w:tr>
      <w:tr w14:paraId="16B93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continue"/>
            <w:vAlign w:val="center"/>
          </w:tcPr>
          <w:p w14:paraId="1CE3C75A">
            <w:pPr>
              <w:tabs>
                <w:tab w:val="right" w:leader="dot" w:pos="9022"/>
              </w:tabs>
              <w:autoSpaceDE w:val="0"/>
              <w:autoSpaceDN w:val="0"/>
              <w:adjustRightInd w:val="0"/>
              <w:spacing w:line="460" w:lineRule="atLeast"/>
              <w:rPr>
                <w:rFonts w:hint="eastAsia" w:eastAsia="宋体"/>
                <w:bCs/>
                <w:caps/>
                <w:color w:val="auto"/>
                <w:szCs w:val="21"/>
                <w:highlight w:val="none"/>
              </w:rPr>
            </w:pPr>
          </w:p>
        </w:tc>
        <w:tc>
          <w:tcPr>
            <w:tcW w:w="1695" w:type="dxa"/>
            <w:vAlign w:val="center"/>
          </w:tcPr>
          <w:p w14:paraId="69639924">
            <w:pPr>
              <w:tabs>
                <w:tab w:val="right" w:leader="dot" w:pos="9022"/>
              </w:tabs>
              <w:autoSpaceDE w:val="0"/>
              <w:autoSpaceDN w:val="0"/>
              <w:adjustRightInd w:val="0"/>
              <w:spacing w:line="460" w:lineRule="atLeast"/>
              <w:jc w:val="center"/>
              <w:rPr>
                <w:rFonts w:hint="eastAsia" w:eastAsia="宋体"/>
                <w:bCs/>
                <w:caps/>
                <w:color w:val="auto"/>
                <w:szCs w:val="21"/>
                <w:highlight w:val="none"/>
              </w:rPr>
            </w:pPr>
            <w:r>
              <w:rPr>
                <w:rFonts w:eastAsia="宋体"/>
                <w:bCs/>
                <w:caps/>
                <w:color w:val="auto"/>
                <w:szCs w:val="21"/>
                <w:highlight w:val="none"/>
              </w:rPr>
              <w:t>身份证号码</w:t>
            </w:r>
          </w:p>
        </w:tc>
        <w:tc>
          <w:tcPr>
            <w:tcW w:w="6798" w:type="dxa"/>
            <w:gridSpan w:val="4"/>
            <w:vAlign w:val="center"/>
          </w:tcPr>
          <w:p w14:paraId="2CF6E4ED">
            <w:pPr>
              <w:tabs>
                <w:tab w:val="right" w:leader="dot" w:pos="9022"/>
              </w:tabs>
              <w:autoSpaceDE w:val="0"/>
              <w:autoSpaceDN w:val="0"/>
              <w:adjustRightInd w:val="0"/>
              <w:spacing w:line="460" w:lineRule="atLeast"/>
              <w:rPr>
                <w:rFonts w:hint="eastAsia" w:eastAsia="宋体"/>
                <w:bCs/>
                <w:caps/>
                <w:color w:val="auto"/>
                <w:szCs w:val="21"/>
                <w:highlight w:val="none"/>
              </w:rPr>
            </w:pPr>
          </w:p>
        </w:tc>
      </w:tr>
      <w:tr w14:paraId="5CFB7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restart"/>
            <w:vAlign w:val="center"/>
          </w:tcPr>
          <w:p w14:paraId="59DA5491">
            <w:pPr>
              <w:tabs>
                <w:tab w:val="right" w:leader="dot" w:pos="9022"/>
              </w:tabs>
              <w:autoSpaceDE w:val="0"/>
              <w:autoSpaceDN w:val="0"/>
              <w:adjustRightInd w:val="0"/>
              <w:spacing w:line="460" w:lineRule="atLeast"/>
              <w:jc w:val="center"/>
              <w:rPr>
                <w:rFonts w:hint="eastAsia" w:eastAsia="宋体"/>
                <w:bCs/>
                <w:caps/>
                <w:color w:val="auto"/>
                <w:szCs w:val="21"/>
                <w:highlight w:val="none"/>
              </w:rPr>
            </w:pPr>
            <w:r>
              <w:rPr>
                <w:rFonts w:eastAsia="宋体"/>
                <w:bCs/>
                <w:caps/>
                <w:color w:val="auto"/>
                <w:szCs w:val="21"/>
                <w:highlight w:val="none"/>
              </w:rPr>
              <w:t>被授权人</w:t>
            </w:r>
          </w:p>
        </w:tc>
        <w:tc>
          <w:tcPr>
            <w:tcW w:w="1695" w:type="dxa"/>
            <w:vAlign w:val="center"/>
          </w:tcPr>
          <w:p w14:paraId="27EB1538">
            <w:pPr>
              <w:tabs>
                <w:tab w:val="right" w:leader="dot" w:pos="9022"/>
              </w:tabs>
              <w:autoSpaceDE w:val="0"/>
              <w:autoSpaceDN w:val="0"/>
              <w:adjustRightInd w:val="0"/>
              <w:spacing w:line="460" w:lineRule="atLeast"/>
              <w:jc w:val="center"/>
              <w:rPr>
                <w:rFonts w:hint="eastAsia" w:eastAsia="宋体"/>
                <w:bCs/>
                <w:caps/>
                <w:color w:val="auto"/>
                <w:szCs w:val="21"/>
                <w:highlight w:val="none"/>
              </w:rPr>
            </w:pPr>
            <w:r>
              <w:rPr>
                <w:rFonts w:eastAsia="宋体"/>
                <w:bCs/>
                <w:caps/>
                <w:color w:val="auto"/>
                <w:szCs w:val="21"/>
                <w:highlight w:val="none"/>
              </w:rPr>
              <w:t>姓名</w:t>
            </w:r>
          </w:p>
        </w:tc>
        <w:tc>
          <w:tcPr>
            <w:tcW w:w="2353" w:type="dxa"/>
            <w:gridSpan w:val="2"/>
            <w:vAlign w:val="center"/>
          </w:tcPr>
          <w:p w14:paraId="0099D752">
            <w:pPr>
              <w:tabs>
                <w:tab w:val="right" w:leader="dot" w:pos="9022"/>
              </w:tabs>
              <w:autoSpaceDE w:val="0"/>
              <w:autoSpaceDN w:val="0"/>
              <w:adjustRightInd w:val="0"/>
              <w:spacing w:line="460" w:lineRule="atLeast"/>
              <w:jc w:val="center"/>
              <w:rPr>
                <w:rFonts w:hint="eastAsia" w:eastAsia="宋体"/>
                <w:bCs/>
                <w:caps/>
                <w:color w:val="auto"/>
                <w:szCs w:val="21"/>
                <w:highlight w:val="none"/>
              </w:rPr>
            </w:pPr>
          </w:p>
        </w:tc>
        <w:tc>
          <w:tcPr>
            <w:tcW w:w="1559" w:type="dxa"/>
            <w:vAlign w:val="center"/>
          </w:tcPr>
          <w:p w14:paraId="28E60D54">
            <w:pPr>
              <w:tabs>
                <w:tab w:val="right" w:leader="dot" w:pos="9022"/>
              </w:tabs>
              <w:autoSpaceDE w:val="0"/>
              <w:autoSpaceDN w:val="0"/>
              <w:adjustRightInd w:val="0"/>
              <w:spacing w:line="460" w:lineRule="atLeast"/>
              <w:jc w:val="center"/>
              <w:rPr>
                <w:rFonts w:hint="eastAsia" w:eastAsia="宋体"/>
                <w:bCs/>
                <w:caps/>
                <w:color w:val="auto"/>
                <w:szCs w:val="21"/>
                <w:highlight w:val="none"/>
              </w:rPr>
            </w:pPr>
            <w:r>
              <w:rPr>
                <w:rFonts w:eastAsia="宋体"/>
                <w:bCs/>
                <w:caps/>
                <w:color w:val="auto"/>
                <w:szCs w:val="21"/>
                <w:highlight w:val="none"/>
              </w:rPr>
              <w:t>性    别</w:t>
            </w:r>
          </w:p>
        </w:tc>
        <w:tc>
          <w:tcPr>
            <w:tcW w:w="2886" w:type="dxa"/>
            <w:vAlign w:val="center"/>
          </w:tcPr>
          <w:p w14:paraId="1C9A0D43">
            <w:pPr>
              <w:tabs>
                <w:tab w:val="right" w:leader="dot" w:pos="9022"/>
              </w:tabs>
              <w:autoSpaceDE w:val="0"/>
              <w:autoSpaceDN w:val="0"/>
              <w:adjustRightInd w:val="0"/>
              <w:spacing w:line="460" w:lineRule="atLeast"/>
              <w:jc w:val="center"/>
              <w:rPr>
                <w:rFonts w:hint="eastAsia" w:eastAsia="宋体"/>
                <w:bCs/>
                <w:caps/>
                <w:color w:val="auto"/>
                <w:szCs w:val="21"/>
                <w:highlight w:val="none"/>
              </w:rPr>
            </w:pPr>
          </w:p>
        </w:tc>
      </w:tr>
      <w:tr w14:paraId="49C98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continue"/>
          </w:tcPr>
          <w:p w14:paraId="35E05379">
            <w:pPr>
              <w:tabs>
                <w:tab w:val="right" w:leader="dot" w:pos="9022"/>
              </w:tabs>
              <w:autoSpaceDE w:val="0"/>
              <w:autoSpaceDN w:val="0"/>
              <w:adjustRightInd w:val="0"/>
              <w:spacing w:line="460" w:lineRule="atLeast"/>
              <w:rPr>
                <w:rFonts w:hint="eastAsia" w:eastAsia="宋体"/>
                <w:bCs/>
                <w:caps/>
                <w:color w:val="auto"/>
                <w:szCs w:val="21"/>
                <w:highlight w:val="none"/>
              </w:rPr>
            </w:pPr>
          </w:p>
        </w:tc>
        <w:tc>
          <w:tcPr>
            <w:tcW w:w="1695" w:type="dxa"/>
            <w:vAlign w:val="center"/>
          </w:tcPr>
          <w:p w14:paraId="79EF2484">
            <w:pPr>
              <w:tabs>
                <w:tab w:val="right" w:leader="dot" w:pos="9022"/>
              </w:tabs>
              <w:autoSpaceDE w:val="0"/>
              <w:autoSpaceDN w:val="0"/>
              <w:adjustRightInd w:val="0"/>
              <w:spacing w:line="460" w:lineRule="atLeast"/>
              <w:jc w:val="center"/>
              <w:rPr>
                <w:rFonts w:hint="eastAsia" w:eastAsia="宋体"/>
                <w:bCs/>
                <w:caps/>
                <w:color w:val="auto"/>
                <w:szCs w:val="21"/>
                <w:highlight w:val="none"/>
              </w:rPr>
            </w:pPr>
            <w:r>
              <w:rPr>
                <w:rFonts w:eastAsia="宋体"/>
                <w:bCs/>
                <w:caps/>
                <w:color w:val="auto"/>
                <w:szCs w:val="21"/>
                <w:highlight w:val="none"/>
              </w:rPr>
              <w:t>职务</w:t>
            </w:r>
          </w:p>
        </w:tc>
        <w:tc>
          <w:tcPr>
            <w:tcW w:w="2353" w:type="dxa"/>
            <w:gridSpan w:val="2"/>
            <w:vAlign w:val="center"/>
          </w:tcPr>
          <w:p w14:paraId="6658DACE">
            <w:pPr>
              <w:tabs>
                <w:tab w:val="right" w:leader="dot" w:pos="9022"/>
              </w:tabs>
              <w:autoSpaceDE w:val="0"/>
              <w:autoSpaceDN w:val="0"/>
              <w:adjustRightInd w:val="0"/>
              <w:spacing w:line="460" w:lineRule="atLeast"/>
              <w:jc w:val="center"/>
              <w:rPr>
                <w:rFonts w:hint="eastAsia" w:eastAsia="宋体"/>
                <w:bCs/>
                <w:caps/>
                <w:color w:val="auto"/>
                <w:szCs w:val="21"/>
                <w:highlight w:val="none"/>
              </w:rPr>
            </w:pPr>
          </w:p>
        </w:tc>
        <w:tc>
          <w:tcPr>
            <w:tcW w:w="1559" w:type="dxa"/>
            <w:vAlign w:val="center"/>
          </w:tcPr>
          <w:p w14:paraId="79CEFE9A">
            <w:pPr>
              <w:tabs>
                <w:tab w:val="right" w:leader="dot" w:pos="9022"/>
              </w:tabs>
              <w:autoSpaceDE w:val="0"/>
              <w:autoSpaceDN w:val="0"/>
              <w:adjustRightInd w:val="0"/>
              <w:spacing w:line="460" w:lineRule="atLeast"/>
              <w:jc w:val="center"/>
              <w:rPr>
                <w:rFonts w:hint="eastAsia" w:eastAsia="宋体"/>
                <w:bCs/>
                <w:caps/>
                <w:color w:val="auto"/>
                <w:szCs w:val="21"/>
                <w:highlight w:val="none"/>
              </w:rPr>
            </w:pPr>
            <w:r>
              <w:rPr>
                <w:rFonts w:eastAsia="宋体"/>
                <w:bCs/>
                <w:caps/>
                <w:color w:val="auto"/>
                <w:szCs w:val="21"/>
                <w:highlight w:val="none"/>
              </w:rPr>
              <w:t>手机号码</w:t>
            </w:r>
          </w:p>
        </w:tc>
        <w:tc>
          <w:tcPr>
            <w:tcW w:w="2886" w:type="dxa"/>
          </w:tcPr>
          <w:p w14:paraId="150A5E1F">
            <w:pPr>
              <w:tabs>
                <w:tab w:val="right" w:leader="dot" w:pos="9022"/>
              </w:tabs>
              <w:autoSpaceDE w:val="0"/>
              <w:autoSpaceDN w:val="0"/>
              <w:adjustRightInd w:val="0"/>
              <w:spacing w:line="460" w:lineRule="atLeast"/>
              <w:rPr>
                <w:rFonts w:hint="eastAsia" w:eastAsia="宋体"/>
                <w:bCs/>
                <w:caps/>
                <w:color w:val="auto"/>
                <w:szCs w:val="21"/>
                <w:highlight w:val="none"/>
              </w:rPr>
            </w:pPr>
          </w:p>
        </w:tc>
      </w:tr>
      <w:tr w14:paraId="5B252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continue"/>
          </w:tcPr>
          <w:p w14:paraId="54714EEA">
            <w:pPr>
              <w:tabs>
                <w:tab w:val="right" w:leader="dot" w:pos="9022"/>
              </w:tabs>
              <w:autoSpaceDE w:val="0"/>
              <w:autoSpaceDN w:val="0"/>
              <w:adjustRightInd w:val="0"/>
              <w:spacing w:line="460" w:lineRule="atLeast"/>
              <w:rPr>
                <w:rFonts w:hint="eastAsia" w:eastAsia="宋体"/>
                <w:bCs/>
                <w:caps/>
                <w:color w:val="auto"/>
                <w:szCs w:val="21"/>
                <w:highlight w:val="none"/>
              </w:rPr>
            </w:pPr>
          </w:p>
        </w:tc>
        <w:tc>
          <w:tcPr>
            <w:tcW w:w="1695" w:type="dxa"/>
            <w:vAlign w:val="center"/>
          </w:tcPr>
          <w:p w14:paraId="19ED4917">
            <w:pPr>
              <w:tabs>
                <w:tab w:val="right" w:leader="dot" w:pos="9022"/>
              </w:tabs>
              <w:autoSpaceDE w:val="0"/>
              <w:autoSpaceDN w:val="0"/>
              <w:adjustRightInd w:val="0"/>
              <w:spacing w:line="460" w:lineRule="atLeast"/>
              <w:jc w:val="center"/>
              <w:rPr>
                <w:rFonts w:hint="eastAsia" w:eastAsia="宋体"/>
                <w:bCs/>
                <w:caps/>
                <w:color w:val="auto"/>
                <w:szCs w:val="21"/>
                <w:highlight w:val="none"/>
              </w:rPr>
            </w:pPr>
            <w:r>
              <w:rPr>
                <w:rFonts w:eastAsia="宋体"/>
                <w:bCs/>
                <w:caps/>
                <w:color w:val="auto"/>
                <w:szCs w:val="21"/>
                <w:highlight w:val="none"/>
              </w:rPr>
              <w:t>身份证号码</w:t>
            </w:r>
          </w:p>
        </w:tc>
        <w:tc>
          <w:tcPr>
            <w:tcW w:w="6798" w:type="dxa"/>
            <w:gridSpan w:val="4"/>
            <w:vAlign w:val="center"/>
          </w:tcPr>
          <w:p w14:paraId="3F19C847">
            <w:pPr>
              <w:tabs>
                <w:tab w:val="right" w:leader="dot" w:pos="9022"/>
              </w:tabs>
              <w:autoSpaceDE w:val="0"/>
              <w:autoSpaceDN w:val="0"/>
              <w:adjustRightInd w:val="0"/>
              <w:spacing w:line="460" w:lineRule="atLeast"/>
              <w:rPr>
                <w:rFonts w:hint="eastAsia" w:eastAsia="宋体"/>
                <w:bCs/>
                <w:caps/>
                <w:color w:val="auto"/>
                <w:szCs w:val="21"/>
                <w:highlight w:val="none"/>
              </w:rPr>
            </w:pPr>
          </w:p>
        </w:tc>
      </w:tr>
      <w:tr w14:paraId="4EE4A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6" w:hRule="atLeast"/>
          <w:jc w:val="center"/>
        </w:trPr>
        <w:tc>
          <w:tcPr>
            <w:tcW w:w="4673" w:type="dxa"/>
            <w:gridSpan w:val="3"/>
            <w:vAlign w:val="center"/>
          </w:tcPr>
          <w:p w14:paraId="3C1E7E25">
            <w:pPr>
              <w:tabs>
                <w:tab w:val="right" w:leader="dot" w:pos="9022"/>
              </w:tabs>
              <w:autoSpaceDE w:val="0"/>
              <w:autoSpaceDN w:val="0"/>
              <w:adjustRightInd w:val="0"/>
              <w:spacing w:line="460" w:lineRule="atLeast"/>
              <w:rPr>
                <w:rFonts w:hint="eastAsia" w:eastAsia="宋体"/>
                <w:bCs/>
                <w:caps/>
                <w:color w:val="auto"/>
                <w:szCs w:val="21"/>
                <w:highlight w:val="none"/>
              </w:rPr>
            </w:pPr>
          </w:p>
          <w:p w14:paraId="78DA1972">
            <w:pPr>
              <w:tabs>
                <w:tab w:val="right" w:leader="dot" w:pos="9022"/>
              </w:tabs>
              <w:autoSpaceDE w:val="0"/>
              <w:autoSpaceDN w:val="0"/>
              <w:adjustRightInd w:val="0"/>
              <w:spacing w:line="460" w:lineRule="atLeast"/>
              <w:jc w:val="center"/>
              <w:rPr>
                <w:rFonts w:hint="eastAsia" w:eastAsia="宋体"/>
                <w:bCs/>
                <w:caps/>
                <w:color w:val="auto"/>
                <w:szCs w:val="21"/>
                <w:highlight w:val="none"/>
              </w:rPr>
            </w:pPr>
            <w:r>
              <w:rPr>
                <w:rFonts w:eastAsia="宋体"/>
                <w:bCs/>
                <w:caps/>
                <w:color w:val="auto"/>
                <w:szCs w:val="21"/>
                <w:highlight w:val="none"/>
              </w:rPr>
              <w:t>法定代表人身份证</w:t>
            </w:r>
            <w:r>
              <w:rPr>
                <w:rFonts w:hint="eastAsia" w:eastAsia="宋体"/>
                <w:bCs/>
                <w:caps/>
                <w:color w:val="auto"/>
                <w:szCs w:val="21"/>
                <w:highlight w:val="none"/>
              </w:rPr>
              <w:t>扫描件</w:t>
            </w:r>
          </w:p>
          <w:p w14:paraId="620F199B">
            <w:pPr>
              <w:tabs>
                <w:tab w:val="right" w:leader="dot" w:pos="9022"/>
              </w:tabs>
              <w:autoSpaceDE w:val="0"/>
              <w:autoSpaceDN w:val="0"/>
              <w:adjustRightInd w:val="0"/>
              <w:spacing w:line="460" w:lineRule="atLeast"/>
              <w:rPr>
                <w:rFonts w:hint="eastAsia" w:eastAsia="宋体"/>
                <w:bCs/>
                <w:caps/>
                <w:color w:val="auto"/>
                <w:szCs w:val="21"/>
                <w:highlight w:val="none"/>
              </w:rPr>
            </w:pPr>
          </w:p>
          <w:p w14:paraId="78563E6D">
            <w:pPr>
              <w:tabs>
                <w:tab w:val="right" w:leader="dot" w:pos="9022"/>
              </w:tabs>
              <w:autoSpaceDE w:val="0"/>
              <w:autoSpaceDN w:val="0"/>
              <w:adjustRightInd w:val="0"/>
              <w:spacing w:line="460" w:lineRule="atLeast"/>
              <w:jc w:val="center"/>
              <w:rPr>
                <w:rFonts w:hint="eastAsia" w:eastAsia="宋体"/>
                <w:bCs/>
                <w:caps/>
                <w:color w:val="auto"/>
                <w:szCs w:val="21"/>
                <w:highlight w:val="none"/>
              </w:rPr>
            </w:pPr>
            <w:r>
              <w:rPr>
                <w:rFonts w:eastAsia="宋体"/>
                <w:bCs/>
                <w:caps/>
                <w:color w:val="auto"/>
                <w:szCs w:val="21"/>
                <w:highlight w:val="none"/>
              </w:rPr>
              <w:t>二代身份证正、反两面都需复印</w:t>
            </w:r>
          </w:p>
          <w:p w14:paraId="1FA5C3C0">
            <w:pPr>
              <w:tabs>
                <w:tab w:val="right" w:leader="dot" w:pos="9022"/>
              </w:tabs>
              <w:autoSpaceDE w:val="0"/>
              <w:autoSpaceDN w:val="0"/>
              <w:adjustRightInd w:val="0"/>
              <w:spacing w:line="460" w:lineRule="atLeast"/>
              <w:jc w:val="center"/>
              <w:rPr>
                <w:rFonts w:hint="eastAsia" w:eastAsia="宋体"/>
                <w:bCs/>
                <w:caps/>
                <w:color w:val="auto"/>
                <w:szCs w:val="21"/>
                <w:highlight w:val="none"/>
              </w:rPr>
            </w:pPr>
          </w:p>
        </w:tc>
        <w:tc>
          <w:tcPr>
            <w:tcW w:w="5522" w:type="dxa"/>
            <w:gridSpan w:val="3"/>
            <w:vAlign w:val="center"/>
          </w:tcPr>
          <w:p w14:paraId="355362CF">
            <w:pPr>
              <w:tabs>
                <w:tab w:val="right" w:leader="dot" w:pos="9022"/>
              </w:tabs>
              <w:autoSpaceDE w:val="0"/>
              <w:autoSpaceDN w:val="0"/>
              <w:adjustRightInd w:val="0"/>
              <w:spacing w:line="460" w:lineRule="atLeast"/>
              <w:jc w:val="center"/>
              <w:rPr>
                <w:rFonts w:hint="eastAsia" w:eastAsia="宋体"/>
                <w:bCs/>
                <w:caps/>
                <w:color w:val="auto"/>
                <w:szCs w:val="21"/>
                <w:highlight w:val="none"/>
              </w:rPr>
            </w:pPr>
          </w:p>
          <w:p w14:paraId="5B0272AB">
            <w:pPr>
              <w:tabs>
                <w:tab w:val="right" w:leader="dot" w:pos="9022"/>
              </w:tabs>
              <w:autoSpaceDE w:val="0"/>
              <w:autoSpaceDN w:val="0"/>
              <w:adjustRightInd w:val="0"/>
              <w:spacing w:line="460" w:lineRule="atLeast"/>
              <w:jc w:val="center"/>
              <w:rPr>
                <w:rFonts w:hint="eastAsia" w:eastAsia="宋体"/>
                <w:bCs/>
                <w:caps/>
                <w:color w:val="auto"/>
                <w:szCs w:val="21"/>
                <w:highlight w:val="none"/>
              </w:rPr>
            </w:pPr>
            <w:r>
              <w:rPr>
                <w:rFonts w:eastAsia="宋体"/>
                <w:bCs/>
                <w:caps/>
                <w:color w:val="auto"/>
                <w:szCs w:val="21"/>
                <w:highlight w:val="none"/>
              </w:rPr>
              <w:t>被授权人身份证</w:t>
            </w:r>
            <w:r>
              <w:rPr>
                <w:rFonts w:hint="eastAsia" w:eastAsia="宋体"/>
                <w:bCs/>
                <w:caps/>
                <w:color w:val="auto"/>
                <w:szCs w:val="21"/>
                <w:highlight w:val="none"/>
              </w:rPr>
              <w:t>扫描件</w:t>
            </w:r>
          </w:p>
          <w:p w14:paraId="07F5F14D">
            <w:pPr>
              <w:tabs>
                <w:tab w:val="right" w:leader="dot" w:pos="9022"/>
              </w:tabs>
              <w:autoSpaceDE w:val="0"/>
              <w:autoSpaceDN w:val="0"/>
              <w:adjustRightInd w:val="0"/>
              <w:spacing w:line="460" w:lineRule="atLeast"/>
              <w:rPr>
                <w:rFonts w:hint="eastAsia" w:eastAsia="宋体"/>
                <w:bCs/>
                <w:caps/>
                <w:color w:val="auto"/>
                <w:szCs w:val="21"/>
                <w:highlight w:val="none"/>
              </w:rPr>
            </w:pPr>
          </w:p>
          <w:p w14:paraId="0136CF06">
            <w:pPr>
              <w:tabs>
                <w:tab w:val="right" w:leader="dot" w:pos="9022"/>
              </w:tabs>
              <w:autoSpaceDE w:val="0"/>
              <w:autoSpaceDN w:val="0"/>
              <w:adjustRightInd w:val="0"/>
              <w:spacing w:line="460" w:lineRule="atLeast"/>
              <w:jc w:val="center"/>
              <w:rPr>
                <w:rFonts w:hint="eastAsia" w:eastAsia="宋体"/>
                <w:bCs/>
                <w:caps/>
                <w:color w:val="auto"/>
                <w:szCs w:val="21"/>
                <w:highlight w:val="none"/>
              </w:rPr>
            </w:pPr>
            <w:r>
              <w:rPr>
                <w:rFonts w:eastAsia="宋体"/>
                <w:bCs/>
                <w:caps/>
                <w:color w:val="auto"/>
                <w:szCs w:val="21"/>
                <w:highlight w:val="none"/>
              </w:rPr>
              <w:t>二代身份证正、反两面都需复印</w:t>
            </w:r>
          </w:p>
          <w:p w14:paraId="2EB0C790">
            <w:pPr>
              <w:tabs>
                <w:tab w:val="right" w:leader="dot" w:pos="9022"/>
              </w:tabs>
              <w:autoSpaceDE w:val="0"/>
              <w:autoSpaceDN w:val="0"/>
              <w:adjustRightInd w:val="0"/>
              <w:spacing w:line="460" w:lineRule="atLeast"/>
              <w:jc w:val="center"/>
              <w:rPr>
                <w:rFonts w:hint="eastAsia" w:eastAsia="宋体"/>
                <w:bCs/>
                <w:caps/>
                <w:color w:val="auto"/>
                <w:szCs w:val="21"/>
                <w:highlight w:val="none"/>
              </w:rPr>
            </w:pPr>
          </w:p>
        </w:tc>
      </w:tr>
      <w:tr w14:paraId="6683B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4673" w:type="dxa"/>
            <w:gridSpan w:val="3"/>
            <w:tcBorders>
              <w:bottom w:val="single" w:color="auto" w:sz="4" w:space="0"/>
            </w:tcBorders>
            <w:vAlign w:val="center"/>
          </w:tcPr>
          <w:p w14:paraId="34612FB8">
            <w:pPr>
              <w:tabs>
                <w:tab w:val="right" w:leader="dot" w:pos="9022"/>
              </w:tabs>
              <w:autoSpaceDE w:val="0"/>
              <w:autoSpaceDN w:val="0"/>
              <w:adjustRightInd w:val="0"/>
              <w:spacing w:line="460" w:lineRule="atLeast"/>
              <w:rPr>
                <w:rFonts w:hint="eastAsia" w:eastAsia="宋体"/>
                <w:bCs/>
                <w:caps/>
                <w:color w:val="auto"/>
                <w:szCs w:val="21"/>
                <w:highlight w:val="none"/>
              </w:rPr>
            </w:pPr>
            <w:r>
              <w:rPr>
                <w:rFonts w:eastAsia="宋体"/>
                <w:bCs/>
                <w:caps/>
                <w:color w:val="auto"/>
                <w:szCs w:val="21"/>
                <w:highlight w:val="none"/>
              </w:rPr>
              <w:t>法定代表人签字</w:t>
            </w:r>
            <w:r>
              <w:rPr>
                <w:rFonts w:hint="eastAsia" w:eastAsia="宋体"/>
                <w:bCs/>
                <w:caps/>
                <w:color w:val="auto"/>
                <w:szCs w:val="21"/>
                <w:highlight w:val="none"/>
              </w:rPr>
              <w:t>或盖章</w:t>
            </w:r>
            <w:r>
              <w:rPr>
                <w:rFonts w:eastAsia="宋体"/>
                <w:bCs/>
                <w:caps/>
                <w:color w:val="auto"/>
                <w:szCs w:val="21"/>
                <w:highlight w:val="none"/>
              </w:rPr>
              <w:t>：</w:t>
            </w:r>
          </w:p>
        </w:tc>
        <w:tc>
          <w:tcPr>
            <w:tcW w:w="5522" w:type="dxa"/>
            <w:gridSpan w:val="3"/>
            <w:tcBorders>
              <w:bottom w:val="single" w:color="auto" w:sz="4" w:space="0"/>
            </w:tcBorders>
            <w:vAlign w:val="center"/>
          </w:tcPr>
          <w:p w14:paraId="0F706948">
            <w:pPr>
              <w:tabs>
                <w:tab w:val="right" w:leader="dot" w:pos="9022"/>
              </w:tabs>
              <w:autoSpaceDE w:val="0"/>
              <w:autoSpaceDN w:val="0"/>
              <w:adjustRightInd w:val="0"/>
              <w:spacing w:line="460" w:lineRule="atLeast"/>
              <w:rPr>
                <w:rFonts w:hint="eastAsia" w:eastAsia="宋体"/>
                <w:bCs/>
                <w:caps/>
                <w:color w:val="auto"/>
                <w:szCs w:val="21"/>
                <w:highlight w:val="none"/>
              </w:rPr>
            </w:pPr>
            <w:r>
              <w:rPr>
                <w:rFonts w:eastAsia="宋体"/>
                <w:bCs/>
                <w:caps/>
                <w:color w:val="auto"/>
                <w:szCs w:val="21"/>
                <w:highlight w:val="none"/>
              </w:rPr>
              <w:t>被授权人签字</w:t>
            </w:r>
            <w:r>
              <w:rPr>
                <w:rFonts w:hint="eastAsia" w:eastAsia="宋体"/>
                <w:bCs/>
                <w:caps/>
                <w:color w:val="auto"/>
                <w:szCs w:val="21"/>
                <w:highlight w:val="none"/>
              </w:rPr>
              <w:t>：</w:t>
            </w:r>
          </w:p>
        </w:tc>
      </w:tr>
      <w:bookmarkEnd w:id="84"/>
    </w:tbl>
    <w:p w14:paraId="1E3BC565">
      <w:pPr>
        <w:spacing w:line="460" w:lineRule="atLeast"/>
        <w:rPr>
          <w:rFonts w:hint="eastAsia" w:eastAsia="宋体"/>
          <w:color w:val="auto"/>
          <w:szCs w:val="21"/>
          <w:highlight w:val="none"/>
        </w:rPr>
      </w:pPr>
      <w:r>
        <w:rPr>
          <w:rFonts w:eastAsia="宋体"/>
          <w:color w:val="auto"/>
          <w:szCs w:val="21"/>
          <w:highlight w:val="none"/>
        </w:rPr>
        <w:t>供应商（盖章）：</w:t>
      </w:r>
    </w:p>
    <w:p w14:paraId="76106A3C">
      <w:pPr>
        <w:widowControl/>
        <w:spacing w:line="460" w:lineRule="atLeast"/>
        <w:rPr>
          <w:rFonts w:hint="eastAsia" w:ascii="宋体" w:hAnsi="宋体" w:eastAsia="宋体" w:cs="宋体"/>
          <w:color w:val="auto"/>
          <w:kern w:val="0"/>
          <w:szCs w:val="21"/>
          <w:highlight w:val="none"/>
        </w:rPr>
      </w:pPr>
      <w:r>
        <w:rPr>
          <w:rFonts w:eastAsia="宋体"/>
          <w:bCs/>
          <w:color w:val="auto"/>
          <w:szCs w:val="21"/>
          <w:highlight w:val="none"/>
        </w:rPr>
        <w:t>日 期：</w:t>
      </w:r>
    </w:p>
    <w:p w14:paraId="1E3C423B">
      <w:pPr>
        <w:pStyle w:val="34"/>
        <w:tabs>
          <w:tab w:val="left" w:pos="377"/>
          <w:tab w:val="right" w:pos="11786"/>
        </w:tabs>
        <w:spacing w:line="460" w:lineRule="atLeast"/>
        <w:ind w:firstLine="0" w:firstLineChars="0"/>
        <w:rPr>
          <w:rFonts w:hint="eastAsia" w:ascii="宋体" w:hAnsi="宋体" w:cs="宋体"/>
          <w:color w:val="auto"/>
          <w:highlight w:val="none"/>
        </w:rPr>
      </w:pPr>
      <w:r>
        <w:rPr>
          <w:rFonts w:hint="eastAsia" w:ascii="宋体" w:hAnsi="宋体" w:cs="宋体"/>
          <w:color w:val="auto"/>
          <w:highlight w:val="none"/>
        </w:rPr>
        <w:br w:type="page"/>
      </w:r>
    </w:p>
    <w:p w14:paraId="08C58FB4">
      <w:pPr>
        <w:pStyle w:val="32"/>
        <w:numPr>
          <w:ilvl w:val="0"/>
          <w:numId w:val="5"/>
        </w:numPr>
        <w:tabs>
          <w:tab w:val="center" w:pos="4513"/>
        </w:tabs>
        <w:spacing w:before="156" w:after="156" w:line="460" w:lineRule="atLeast"/>
        <w:jc w:val="center"/>
        <w:rPr>
          <w:rFonts w:hint="eastAsia" w:ascii="宋体" w:hAnsi="宋体"/>
          <w:bCs/>
          <w:color w:val="auto"/>
          <w:sz w:val="21"/>
          <w:szCs w:val="21"/>
          <w:highlight w:val="none"/>
          <w:lang w:eastAsia="zh-CN"/>
        </w:rPr>
      </w:pPr>
      <w:r>
        <w:rPr>
          <w:rFonts w:hint="eastAsia" w:eastAsia="宋体" w:cs="宋体"/>
          <w:color w:val="auto"/>
          <w:sz w:val="21"/>
          <w:szCs w:val="21"/>
          <w:highlight w:val="none"/>
          <w:shd w:val="clear" w:color="auto" w:fill="FFFFFF"/>
          <w:lang w:val="en-US" w:eastAsia="zh-CN"/>
        </w:rPr>
        <w:t>信用查询</w:t>
      </w:r>
      <w:r>
        <w:rPr>
          <w:rFonts w:hint="eastAsia" w:cs="宋体"/>
          <w:color w:val="auto"/>
          <w:sz w:val="21"/>
          <w:szCs w:val="21"/>
          <w:highlight w:val="none"/>
          <w:shd w:val="clear" w:color="auto" w:fill="FFFFFF"/>
          <w:lang w:val="en-US" w:eastAsia="zh-CN"/>
        </w:rPr>
        <w:t>截图</w:t>
      </w:r>
    </w:p>
    <w:p w14:paraId="12BE25BC">
      <w:pPr>
        <w:pStyle w:val="32"/>
        <w:widowControl w:val="0"/>
        <w:numPr>
          <w:ilvl w:val="0"/>
          <w:numId w:val="0"/>
        </w:numPr>
        <w:tabs>
          <w:tab w:val="center" w:pos="4513"/>
        </w:tabs>
        <w:spacing w:before="156" w:beforeLines="50" w:after="156" w:afterLines="50" w:line="460" w:lineRule="atLeast"/>
        <w:jc w:val="left"/>
        <w:rPr>
          <w:rFonts w:hint="eastAsia" w:ascii="宋体" w:hAnsi="宋体"/>
          <w:bCs/>
          <w:color w:val="auto"/>
          <w:sz w:val="21"/>
          <w:szCs w:val="21"/>
          <w:highlight w:val="none"/>
          <w:lang w:eastAsia="zh-CN"/>
        </w:rPr>
      </w:pPr>
    </w:p>
    <w:p w14:paraId="04FA11F0">
      <w:pPr>
        <w:pStyle w:val="32"/>
        <w:widowControl w:val="0"/>
        <w:numPr>
          <w:ilvl w:val="0"/>
          <w:numId w:val="0"/>
        </w:numPr>
        <w:tabs>
          <w:tab w:val="center" w:pos="4513"/>
        </w:tabs>
        <w:spacing w:before="156" w:beforeLines="50" w:after="156" w:afterLines="50" w:line="460" w:lineRule="atLeast"/>
        <w:jc w:val="left"/>
        <w:rPr>
          <w:rFonts w:hint="eastAsia" w:ascii="宋体" w:hAnsi="宋体"/>
          <w:bCs/>
          <w:color w:val="auto"/>
          <w:sz w:val="21"/>
          <w:szCs w:val="21"/>
          <w:highlight w:val="none"/>
          <w:lang w:eastAsia="zh-CN"/>
        </w:rPr>
      </w:pPr>
    </w:p>
    <w:p w14:paraId="3037ABD9">
      <w:pPr>
        <w:pStyle w:val="32"/>
        <w:widowControl w:val="0"/>
        <w:numPr>
          <w:ilvl w:val="0"/>
          <w:numId w:val="0"/>
        </w:numPr>
        <w:tabs>
          <w:tab w:val="center" w:pos="4513"/>
        </w:tabs>
        <w:spacing w:before="156" w:beforeLines="50" w:after="156" w:afterLines="50" w:line="460" w:lineRule="atLeast"/>
        <w:jc w:val="left"/>
        <w:rPr>
          <w:rFonts w:hint="eastAsia" w:ascii="宋体" w:hAnsi="宋体"/>
          <w:bCs/>
          <w:color w:val="auto"/>
          <w:sz w:val="21"/>
          <w:szCs w:val="21"/>
          <w:highlight w:val="none"/>
          <w:lang w:eastAsia="zh-CN"/>
        </w:rPr>
        <w:sectPr>
          <w:headerReference r:id="rId5" w:type="default"/>
          <w:footerReference r:id="rId6" w:type="default"/>
          <w:pgSz w:w="11906" w:h="16838"/>
          <w:pgMar w:top="1440" w:right="1440" w:bottom="1440" w:left="1440" w:header="851" w:footer="992" w:gutter="0"/>
          <w:pgNumType w:fmt="decimal"/>
          <w:cols w:space="425" w:num="1"/>
          <w:docGrid w:type="lines" w:linePitch="312" w:charSpace="0"/>
        </w:sectPr>
      </w:pPr>
    </w:p>
    <w:p w14:paraId="5D4C4D81">
      <w:pPr>
        <w:pStyle w:val="32"/>
        <w:numPr>
          <w:ilvl w:val="0"/>
          <w:numId w:val="5"/>
        </w:numPr>
        <w:tabs>
          <w:tab w:val="center" w:pos="4513"/>
        </w:tabs>
        <w:spacing w:before="156" w:after="156" w:line="460" w:lineRule="atLeast"/>
        <w:jc w:val="center"/>
        <w:rPr>
          <w:rFonts w:hint="eastAsia" w:ascii="宋体" w:hAnsi="宋体"/>
          <w:bCs/>
          <w:color w:val="auto"/>
          <w:sz w:val="21"/>
          <w:szCs w:val="21"/>
          <w:highlight w:val="none"/>
          <w:lang w:eastAsia="zh-CN"/>
        </w:rPr>
      </w:pPr>
      <w:r>
        <w:rPr>
          <w:rFonts w:hint="eastAsia" w:ascii="宋体" w:hAnsi="宋体"/>
          <w:bCs/>
          <w:color w:val="auto"/>
          <w:sz w:val="21"/>
          <w:szCs w:val="21"/>
          <w:highlight w:val="none"/>
        </w:rPr>
        <w:t>磋商公告中要求的其他资格证明文件</w:t>
      </w:r>
    </w:p>
    <w:p w14:paraId="1E255F64">
      <w:pPr>
        <w:keepNext w:val="0"/>
        <w:keepLines w:val="0"/>
        <w:pageBreakBefore w:val="0"/>
        <w:widowControl/>
        <w:kinsoku/>
        <w:overflowPunct/>
        <w:topLinePunct w:val="0"/>
        <w:autoSpaceDE/>
        <w:autoSpaceDN/>
        <w:bidi w:val="0"/>
        <w:adjustRightInd/>
        <w:spacing w:line="360" w:lineRule="auto"/>
        <w:ind w:firstLine="420" w:firstLineChars="200"/>
        <w:jc w:val="left"/>
        <w:textAlignment w:val="auto"/>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（1）供应商须具备建筑主管部门颁发的工程勘察综合甲级资质或工程勘察专业资质（工程测量）乙级及以上资质且同时具有工程勘察专业资质（岩土工程勘察分项）乙级及以上资质。</w:t>
      </w:r>
    </w:p>
    <w:p w14:paraId="5339C04C">
      <w:pPr>
        <w:keepNext w:val="0"/>
        <w:keepLines w:val="0"/>
        <w:pageBreakBefore w:val="0"/>
        <w:widowControl/>
        <w:kinsoku/>
        <w:overflowPunct/>
        <w:topLinePunct w:val="0"/>
        <w:autoSpaceDE/>
        <w:autoSpaceDN/>
        <w:bidi w:val="0"/>
        <w:adjustRightInd/>
        <w:spacing w:line="360" w:lineRule="auto"/>
        <w:ind w:firstLine="420" w:firstLineChars="200"/>
        <w:jc w:val="left"/>
        <w:textAlignment w:val="auto"/>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（2）供应商拟派项目负责人具备注册测绘师资格证书且在本单位注册或具有相关专业中级及以上职称。</w:t>
      </w:r>
    </w:p>
    <w:p w14:paraId="3B8DC3FB">
      <w:pPr>
        <w:keepNext w:val="0"/>
        <w:keepLines w:val="0"/>
        <w:pageBreakBefore w:val="0"/>
        <w:widowControl/>
        <w:kinsoku/>
        <w:overflowPunct/>
        <w:topLinePunct w:val="0"/>
        <w:autoSpaceDE/>
        <w:autoSpaceDN/>
        <w:bidi w:val="0"/>
        <w:adjustRightInd/>
        <w:spacing w:line="360" w:lineRule="auto"/>
        <w:ind w:firstLine="420" w:firstLineChars="200"/>
        <w:jc w:val="left"/>
        <w:textAlignment w:val="auto"/>
        <w:rPr>
          <w:rFonts w:hint="default"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w:t>
      </w:r>
    </w:p>
    <w:p w14:paraId="582560F4">
      <w:pPr>
        <w:widowControl/>
        <w:spacing w:line="460" w:lineRule="atLeast"/>
        <w:jc w:val="left"/>
        <w:rPr>
          <w:rFonts w:hint="eastAsia" w:ascii="宋体" w:hAnsi="宋体" w:eastAsia="宋体" w:cs="宋体"/>
          <w:color w:val="auto"/>
          <w:highlight w:val="none"/>
          <w:lang w:eastAsia="zh-CN"/>
        </w:rPr>
      </w:pPr>
    </w:p>
    <w:p w14:paraId="1CF5C14A">
      <w:pPr>
        <w:widowControl/>
        <w:spacing w:line="460" w:lineRule="atLeast"/>
        <w:jc w:val="left"/>
        <w:rPr>
          <w:rFonts w:hint="eastAsia" w:ascii="宋体" w:hAnsi="宋体" w:eastAsia="宋体" w:cs="宋体"/>
          <w:color w:val="auto"/>
          <w:highlight w:val="none"/>
          <w:lang w:eastAsia="zh-CN"/>
        </w:rPr>
      </w:pPr>
    </w:p>
    <w:p w14:paraId="548CDA58">
      <w:pPr>
        <w:widowControl/>
        <w:spacing w:line="460" w:lineRule="atLeast"/>
        <w:jc w:val="left"/>
        <w:rPr>
          <w:rFonts w:hint="eastAsia" w:ascii="宋体" w:hAnsi="宋体" w:eastAsia="宋体" w:cs="宋体"/>
          <w:color w:val="auto"/>
          <w:highlight w:val="none"/>
          <w:lang w:eastAsia="zh-CN"/>
        </w:rPr>
      </w:pPr>
    </w:p>
    <w:p w14:paraId="750EC63C">
      <w:pPr>
        <w:widowControl/>
        <w:spacing w:line="460" w:lineRule="atLeast"/>
        <w:jc w:val="left"/>
        <w:rPr>
          <w:rFonts w:hint="eastAsia" w:ascii="宋体" w:hAnsi="宋体" w:eastAsia="宋体" w:cs="宋体"/>
          <w:color w:val="auto"/>
          <w:highlight w:val="none"/>
          <w:lang w:eastAsia="zh-CN"/>
        </w:rPr>
      </w:pPr>
    </w:p>
    <w:p w14:paraId="4C4F81D1">
      <w:pPr>
        <w:widowControl/>
        <w:spacing w:line="460" w:lineRule="atLeast"/>
        <w:jc w:val="left"/>
        <w:rPr>
          <w:rFonts w:hint="eastAsia" w:ascii="宋体" w:hAnsi="宋体" w:eastAsia="宋体" w:cs="宋体"/>
          <w:color w:val="auto"/>
          <w:highlight w:val="none"/>
          <w:lang w:eastAsia="zh-CN"/>
        </w:rPr>
      </w:pPr>
    </w:p>
    <w:p w14:paraId="092CD9A0">
      <w:pPr>
        <w:widowControl/>
        <w:spacing w:line="460" w:lineRule="atLeast"/>
        <w:jc w:val="left"/>
        <w:rPr>
          <w:rFonts w:hint="eastAsia" w:ascii="宋体" w:hAnsi="宋体" w:eastAsia="宋体" w:cs="宋体"/>
          <w:color w:val="auto"/>
          <w:highlight w:val="none"/>
          <w:lang w:eastAsia="zh-CN"/>
        </w:rPr>
      </w:pPr>
    </w:p>
    <w:p w14:paraId="779539BE">
      <w:pPr>
        <w:widowControl/>
        <w:spacing w:line="460" w:lineRule="atLeast"/>
        <w:jc w:val="left"/>
        <w:rPr>
          <w:rFonts w:hint="eastAsia" w:ascii="宋体" w:hAnsi="宋体" w:eastAsia="宋体" w:cs="宋体"/>
          <w:color w:val="auto"/>
          <w:highlight w:val="none"/>
          <w:lang w:eastAsia="zh-CN"/>
        </w:rPr>
      </w:pPr>
    </w:p>
    <w:p w14:paraId="67F02601">
      <w:pPr>
        <w:widowControl/>
        <w:spacing w:line="460" w:lineRule="atLeast"/>
        <w:jc w:val="left"/>
        <w:rPr>
          <w:rFonts w:hint="eastAsia" w:ascii="宋体" w:hAnsi="宋体" w:eastAsia="宋体" w:cs="宋体"/>
          <w:color w:val="auto"/>
          <w:highlight w:val="none"/>
          <w:lang w:eastAsia="zh-CN"/>
        </w:rPr>
      </w:pPr>
    </w:p>
    <w:p w14:paraId="0E48B57C">
      <w:pPr>
        <w:widowControl/>
        <w:spacing w:line="460" w:lineRule="atLeast"/>
        <w:jc w:val="left"/>
        <w:rPr>
          <w:rFonts w:hint="eastAsia" w:ascii="宋体" w:hAnsi="宋体" w:eastAsia="宋体" w:cs="宋体"/>
          <w:color w:val="auto"/>
          <w:highlight w:val="none"/>
          <w:lang w:eastAsia="zh-CN"/>
        </w:rPr>
      </w:pPr>
    </w:p>
    <w:p w14:paraId="7CDCEFDE">
      <w:pPr>
        <w:widowControl/>
        <w:spacing w:line="460" w:lineRule="atLeast"/>
        <w:jc w:val="left"/>
        <w:rPr>
          <w:rFonts w:hint="eastAsia" w:ascii="宋体" w:hAnsi="宋体" w:eastAsia="宋体" w:cs="宋体"/>
          <w:color w:val="auto"/>
          <w:highlight w:val="none"/>
          <w:lang w:eastAsia="zh-CN"/>
        </w:rPr>
      </w:pPr>
    </w:p>
    <w:p w14:paraId="38D6BEB9">
      <w:pPr>
        <w:widowControl/>
        <w:spacing w:line="460" w:lineRule="atLeast"/>
        <w:jc w:val="left"/>
        <w:rPr>
          <w:rFonts w:hint="eastAsia" w:ascii="宋体" w:hAnsi="宋体" w:eastAsia="宋体" w:cs="宋体"/>
          <w:color w:val="auto"/>
          <w:highlight w:val="none"/>
          <w:lang w:eastAsia="zh-CN"/>
        </w:rPr>
      </w:pPr>
    </w:p>
    <w:p w14:paraId="2CE0F393">
      <w:pPr>
        <w:widowControl/>
        <w:spacing w:line="460" w:lineRule="atLeast"/>
        <w:jc w:val="left"/>
        <w:rPr>
          <w:rFonts w:hint="eastAsia" w:ascii="宋体" w:hAnsi="宋体" w:eastAsia="宋体" w:cs="宋体"/>
          <w:color w:val="auto"/>
          <w:highlight w:val="none"/>
          <w:lang w:eastAsia="zh-CN"/>
        </w:rPr>
      </w:pPr>
    </w:p>
    <w:p w14:paraId="674C1F85">
      <w:pPr>
        <w:widowControl/>
        <w:spacing w:line="460" w:lineRule="atLeast"/>
        <w:jc w:val="left"/>
        <w:rPr>
          <w:rFonts w:hint="eastAsia" w:ascii="宋体" w:hAnsi="宋体" w:eastAsia="宋体" w:cs="宋体"/>
          <w:color w:val="auto"/>
          <w:highlight w:val="none"/>
          <w:lang w:eastAsia="zh-CN"/>
        </w:rPr>
      </w:pPr>
    </w:p>
    <w:p w14:paraId="32A067C5">
      <w:pPr>
        <w:widowControl/>
        <w:spacing w:line="460" w:lineRule="atLeast"/>
        <w:jc w:val="left"/>
        <w:rPr>
          <w:rFonts w:hint="eastAsia" w:ascii="宋体" w:hAnsi="宋体" w:eastAsia="宋体" w:cs="宋体"/>
          <w:color w:val="auto"/>
          <w:highlight w:val="none"/>
          <w:lang w:eastAsia="zh-CN"/>
        </w:rPr>
      </w:pPr>
    </w:p>
    <w:p w14:paraId="4082E19E">
      <w:pPr>
        <w:widowControl/>
        <w:spacing w:line="460" w:lineRule="atLeast"/>
        <w:jc w:val="left"/>
        <w:rPr>
          <w:rFonts w:hint="eastAsia" w:ascii="宋体" w:hAnsi="宋体" w:eastAsia="宋体" w:cs="宋体"/>
          <w:color w:val="auto"/>
          <w:highlight w:val="none"/>
          <w:lang w:eastAsia="zh-CN"/>
        </w:rPr>
      </w:pPr>
    </w:p>
    <w:p w14:paraId="4B1F689E">
      <w:pPr>
        <w:widowControl/>
        <w:spacing w:line="460" w:lineRule="atLeast"/>
        <w:jc w:val="left"/>
        <w:rPr>
          <w:rFonts w:hint="eastAsia" w:ascii="宋体" w:hAnsi="宋体" w:eastAsia="宋体" w:cs="宋体"/>
          <w:color w:val="auto"/>
          <w:highlight w:val="none"/>
          <w:lang w:eastAsia="zh-CN"/>
        </w:rPr>
      </w:pPr>
    </w:p>
    <w:p w14:paraId="48A00924">
      <w:pPr>
        <w:widowControl/>
        <w:spacing w:line="460" w:lineRule="atLeast"/>
        <w:jc w:val="left"/>
        <w:rPr>
          <w:rFonts w:hint="eastAsia" w:ascii="宋体" w:hAnsi="宋体" w:eastAsia="宋体" w:cs="宋体"/>
          <w:color w:val="auto"/>
          <w:highlight w:val="none"/>
          <w:lang w:eastAsia="zh-CN"/>
        </w:rPr>
      </w:pPr>
    </w:p>
    <w:p w14:paraId="5B193EBB">
      <w:pPr>
        <w:widowControl/>
        <w:spacing w:line="460" w:lineRule="atLeast"/>
        <w:jc w:val="left"/>
        <w:rPr>
          <w:rFonts w:hint="eastAsia" w:ascii="宋体" w:hAnsi="宋体" w:eastAsia="宋体" w:cs="宋体"/>
          <w:color w:val="auto"/>
          <w:highlight w:val="none"/>
          <w:lang w:eastAsia="zh-CN"/>
        </w:rPr>
      </w:pPr>
    </w:p>
    <w:p w14:paraId="271C7A48">
      <w:pPr>
        <w:widowControl/>
        <w:spacing w:line="460" w:lineRule="atLeast"/>
        <w:jc w:val="left"/>
        <w:rPr>
          <w:rFonts w:hint="eastAsia" w:ascii="宋体" w:hAnsi="宋体" w:eastAsia="宋体" w:cs="宋体"/>
          <w:color w:val="auto"/>
          <w:highlight w:val="none"/>
          <w:lang w:eastAsia="zh-CN"/>
        </w:rPr>
      </w:pPr>
    </w:p>
    <w:p w14:paraId="1777BA16">
      <w:pPr>
        <w:widowControl/>
        <w:spacing w:line="460" w:lineRule="atLeast"/>
        <w:jc w:val="left"/>
        <w:rPr>
          <w:rFonts w:hint="eastAsia" w:ascii="宋体" w:hAnsi="宋体" w:eastAsia="宋体" w:cs="宋体"/>
          <w:color w:val="auto"/>
          <w:highlight w:val="none"/>
          <w:lang w:eastAsia="zh-CN"/>
        </w:rPr>
      </w:pPr>
    </w:p>
    <w:p w14:paraId="02784395">
      <w:pPr>
        <w:widowControl/>
        <w:spacing w:line="460" w:lineRule="atLeast"/>
        <w:jc w:val="left"/>
        <w:rPr>
          <w:rFonts w:hint="eastAsia" w:ascii="宋体" w:hAnsi="宋体" w:eastAsia="宋体" w:cs="宋体"/>
          <w:color w:val="auto"/>
          <w:highlight w:val="none"/>
          <w:lang w:eastAsia="zh-CN"/>
        </w:rPr>
      </w:pPr>
    </w:p>
    <w:p w14:paraId="48E30FDB">
      <w:pPr>
        <w:widowControl/>
        <w:spacing w:line="460" w:lineRule="atLeast"/>
        <w:jc w:val="left"/>
        <w:rPr>
          <w:rFonts w:hint="eastAsia" w:ascii="宋体" w:hAnsi="宋体" w:eastAsia="宋体" w:cs="宋体"/>
          <w:color w:val="auto"/>
          <w:highlight w:val="none"/>
          <w:lang w:eastAsia="zh-CN"/>
        </w:rPr>
      </w:pPr>
    </w:p>
    <w:p w14:paraId="50EEE096">
      <w:pPr>
        <w:widowControl/>
        <w:spacing w:line="460" w:lineRule="atLeast"/>
        <w:jc w:val="left"/>
        <w:rPr>
          <w:rFonts w:hint="eastAsia" w:ascii="宋体" w:hAnsi="宋体" w:eastAsia="宋体" w:cs="宋体"/>
          <w:color w:val="auto"/>
          <w:highlight w:val="none"/>
          <w:lang w:eastAsia="zh-CN"/>
        </w:rPr>
      </w:pPr>
    </w:p>
    <w:p w14:paraId="24D6F95A">
      <w:pPr>
        <w:pStyle w:val="31"/>
        <w:spacing w:before="312" w:after="312" w:line="460" w:lineRule="atLeast"/>
        <w:rPr>
          <w:rFonts w:hint="eastAsia" w:ascii="宋体" w:hAnsi="宋体" w:eastAsia="宋体" w:cs="宋体"/>
          <w:color w:val="auto"/>
          <w:highlight w:val="none"/>
        </w:rPr>
      </w:pPr>
      <w:r>
        <w:rPr>
          <w:rFonts w:hint="eastAsia" w:ascii="宋体" w:hAnsi="宋体" w:eastAsia="宋体" w:cs="宋体"/>
          <w:color w:val="auto"/>
          <w:highlight w:val="none"/>
        </w:rPr>
        <w:t>第五部分 供应商性质</w:t>
      </w:r>
    </w:p>
    <w:p w14:paraId="2D3263D0">
      <w:pPr>
        <w:widowControl w:val="0"/>
        <w:spacing w:line="480" w:lineRule="exact"/>
        <w:ind w:firstLine="480"/>
        <w:jc w:val="both"/>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本项目为专门面向中小企业项目；供应商应为中型企业或小型、微型企业或监狱企业或残疾人福利性单位。供应商为中小企业的，提供《中小企业声明函》；供应商为监狱企业的，应提供监狱企业的证明文件；供应商为残疾人福利性单位的，应提供《残疾人福利性单位声明函》（监狱企业或残疾人福利性单位视同小型、微型企业）。</w:t>
      </w:r>
    </w:p>
    <w:p w14:paraId="42B6BF3D">
      <w:pPr>
        <w:pStyle w:val="34"/>
        <w:spacing w:line="460" w:lineRule="atLeast"/>
        <w:ind w:firstLine="422"/>
        <w:rPr>
          <w:rFonts w:hint="eastAsia" w:ascii="宋体" w:hAnsi="宋体" w:cs="宋体"/>
          <w:color w:val="auto"/>
          <w:sz w:val="21"/>
          <w:szCs w:val="21"/>
          <w:highlight w:val="none"/>
        </w:rPr>
      </w:pPr>
      <w:r>
        <w:rPr>
          <w:rFonts w:hint="eastAsia" w:ascii="宋体" w:hAnsi="宋体" w:cs="宋体"/>
          <w:b/>
          <w:color w:val="auto"/>
          <w:sz w:val="21"/>
          <w:szCs w:val="21"/>
          <w:highlight w:val="none"/>
        </w:rPr>
        <w:t>特别提醒：声明函中的中小企业指的是货物制造商、工程承建商或服务承接商。对于货物类项目，供应商希望获得《政府采购促进中小企业发展管理办法》（以下简称《办法》）规定政策支持的，应从制造商处获得充分、准确的信息。成交供应商享受了《办法》规定的中小企业扶持政策的，其《中小企业声明函》、《残疾人福利性单位声明函》或监狱企业证明文件将随成交结果公告一同公布，接受社会监督。</w:t>
      </w:r>
    </w:p>
    <w:p w14:paraId="77D3693D">
      <w:pPr>
        <w:pStyle w:val="60"/>
        <w:spacing w:before="312" w:after="312" w:line="460" w:lineRule="atLeast"/>
        <w:rPr>
          <w:rFonts w:hint="eastAsia" w:ascii="宋体" w:hAnsi="宋体" w:cs="宋体"/>
          <w:color w:val="auto"/>
          <w:sz w:val="21"/>
          <w:szCs w:val="21"/>
          <w:highlight w:val="none"/>
        </w:rPr>
      </w:pPr>
      <w:r>
        <w:rPr>
          <w:rFonts w:hint="eastAsia" w:ascii="宋体" w:hAnsi="宋体" w:cs="宋体"/>
          <w:color w:val="auto"/>
          <w:sz w:val="21"/>
          <w:szCs w:val="21"/>
          <w:highlight w:val="none"/>
        </w:rPr>
        <w:t>1．中小企业声明函</w:t>
      </w:r>
    </w:p>
    <w:p w14:paraId="04794073">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说明：各供应商可根据企业从业人员、营业收入、资产总额等指标，按照磋商文件约定的采购标的对应的中小企业划分标准所属行业和《中小企业划型标准规定》(工信部联企业〔2011〕300号) 进行自测，判断属于中型、小型还是微型企业。也可登录工业和信息化部的中小企业规模类型自测小程序(http://202.106.120.146/baosong/appweb/orgScale.html)进行测算。</w:t>
      </w:r>
    </w:p>
    <w:p w14:paraId="3AAA35D9">
      <w:pPr>
        <w:widowControl/>
        <w:spacing w:line="460" w:lineRule="atLeast"/>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r>
    </w:p>
    <w:p w14:paraId="2EE096E8">
      <w:pPr>
        <w:pStyle w:val="60"/>
        <w:spacing w:before="312" w:after="312" w:line="460" w:lineRule="atLeast"/>
        <w:rPr>
          <w:rFonts w:hint="eastAsia" w:ascii="宋体" w:hAnsi="宋体" w:cs="宋体"/>
          <w:color w:val="auto"/>
          <w:sz w:val="21"/>
          <w:szCs w:val="21"/>
          <w:highlight w:val="none"/>
        </w:rPr>
      </w:pPr>
      <w:r>
        <w:rPr>
          <w:rFonts w:hint="eastAsia" w:ascii="宋体" w:hAnsi="宋体" w:cs="宋体"/>
          <w:color w:val="auto"/>
          <w:sz w:val="21"/>
          <w:szCs w:val="21"/>
          <w:highlight w:val="none"/>
        </w:rPr>
        <w:t>中小企业声明函（服务）</w:t>
      </w:r>
    </w:p>
    <w:p w14:paraId="790A0A49">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本公司（联合体）郑重声明，根据《政府采购促进中小企业发展管理办法》（财库〔2020〕46号）的规定，本公司（联合体）参加</w:t>
      </w:r>
      <w:r>
        <w:rPr>
          <w:rFonts w:hint="eastAsia" w:ascii="宋体" w:hAnsi="宋体" w:cs="宋体"/>
          <w:color w:val="auto"/>
          <w:sz w:val="21"/>
          <w:szCs w:val="21"/>
          <w:highlight w:val="none"/>
          <w:u w:val="single"/>
        </w:rPr>
        <w:t>〈项目名称</w:t>
      </w:r>
      <w:r>
        <w:rPr>
          <w:rFonts w:hint="eastAsia" w:ascii="宋体" w:hAnsi="宋体" w:cs="宋体"/>
          <w:color w:val="auto"/>
          <w:sz w:val="21"/>
          <w:szCs w:val="21"/>
          <w:highlight w:val="none"/>
          <w:u w:val="single"/>
          <w:lang w:eastAsia="zh-CN"/>
        </w:rPr>
        <w:t>、</w:t>
      </w:r>
      <w:r>
        <w:rPr>
          <w:rFonts w:hint="eastAsia" w:ascii="宋体" w:hAnsi="宋体" w:cs="宋体"/>
          <w:color w:val="auto"/>
          <w:sz w:val="21"/>
          <w:szCs w:val="21"/>
          <w:highlight w:val="none"/>
          <w:u w:val="single"/>
          <w:lang w:val="en-US" w:eastAsia="zh-CN"/>
        </w:rPr>
        <w:t>包号</w:t>
      </w:r>
      <w:r>
        <w:rPr>
          <w:rFonts w:hint="eastAsia" w:ascii="宋体" w:hAnsi="宋体" w:cs="宋体"/>
          <w:color w:val="auto"/>
          <w:sz w:val="21"/>
          <w:szCs w:val="21"/>
          <w:highlight w:val="none"/>
          <w:u w:val="single"/>
        </w:rPr>
        <w:t>〉（项目编号)</w:t>
      </w:r>
      <w:r>
        <w:rPr>
          <w:rFonts w:hint="eastAsia" w:ascii="宋体" w:hAnsi="宋体" w:cs="宋体"/>
          <w:color w:val="auto"/>
          <w:sz w:val="21"/>
          <w:szCs w:val="21"/>
          <w:highlight w:val="none"/>
        </w:rPr>
        <w:t>采购活动，服务全部由符合政策要求的中小企业承接。相关企业（含联合体中的中小企业、签订分包意向协议的中小企业）的具体情况如下：</w:t>
      </w:r>
    </w:p>
    <w:p w14:paraId="113981B7">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1．</w:t>
      </w:r>
      <w:r>
        <w:rPr>
          <w:rFonts w:hint="eastAsia" w:ascii="宋体" w:hAnsi="宋体" w:cs="宋体"/>
          <w:color w:val="auto"/>
          <w:sz w:val="21"/>
          <w:szCs w:val="21"/>
          <w:highlight w:val="none"/>
          <w:u w:val="single"/>
        </w:rPr>
        <w:t>〈项目名称</w:t>
      </w:r>
      <w:r>
        <w:rPr>
          <w:rFonts w:hint="eastAsia" w:ascii="宋体" w:hAnsi="宋体" w:cs="宋体"/>
          <w:color w:val="auto"/>
          <w:sz w:val="21"/>
          <w:szCs w:val="21"/>
          <w:highlight w:val="none"/>
          <w:u w:val="single"/>
          <w:lang w:eastAsia="zh-CN"/>
        </w:rPr>
        <w:t>、</w:t>
      </w:r>
      <w:r>
        <w:rPr>
          <w:rFonts w:hint="eastAsia" w:ascii="宋体" w:hAnsi="宋体" w:cs="宋体"/>
          <w:color w:val="auto"/>
          <w:sz w:val="21"/>
          <w:szCs w:val="21"/>
          <w:highlight w:val="none"/>
          <w:u w:val="single"/>
          <w:lang w:val="en-US" w:eastAsia="zh-CN"/>
        </w:rPr>
        <w:t>包号名称</w:t>
      </w:r>
      <w:r>
        <w:rPr>
          <w:rFonts w:hint="eastAsia" w:ascii="宋体" w:hAnsi="宋体" w:cs="宋体"/>
          <w:color w:val="auto"/>
          <w:sz w:val="21"/>
          <w:szCs w:val="21"/>
          <w:highlight w:val="none"/>
          <w:u w:val="single"/>
        </w:rPr>
        <w:t>〉</w:t>
      </w:r>
      <w:r>
        <w:rPr>
          <w:rFonts w:hint="eastAsia" w:ascii="宋体" w:hAnsi="宋体" w:cs="宋体"/>
          <w:color w:val="auto"/>
          <w:sz w:val="21"/>
          <w:szCs w:val="21"/>
          <w:highlight w:val="none"/>
        </w:rPr>
        <w:t>，属于</w:t>
      </w:r>
      <w:r>
        <w:rPr>
          <w:rFonts w:hint="eastAsia" w:ascii="宋体" w:hAnsi="宋体" w:cs="宋体"/>
          <w:color w:val="auto"/>
          <w:sz w:val="21"/>
          <w:szCs w:val="21"/>
          <w:highlight w:val="none"/>
          <w:u w:val="single"/>
        </w:rPr>
        <w:t>〈采购文件中明确的所属行业〉</w:t>
      </w:r>
      <w:r>
        <w:rPr>
          <w:rFonts w:hint="eastAsia" w:ascii="宋体" w:hAnsi="宋体" w:cs="宋体"/>
          <w:color w:val="auto"/>
          <w:sz w:val="21"/>
          <w:szCs w:val="21"/>
          <w:highlight w:val="none"/>
        </w:rPr>
        <w:t>；承接企业为</w:t>
      </w:r>
      <w:r>
        <w:rPr>
          <w:rFonts w:hint="eastAsia" w:ascii="宋体" w:hAnsi="宋体" w:cs="宋体"/>
          <w:color w:val="auto"/>
          <w:sz w:val="21"/>
          <w:szCs w:val="21"/>
          <w:highlight w:val="none"/>
          <w:u w:val="single"/>
        </w:rPr>
        <w:t>〈企业名称〉</w:t>
      </w:r>
      <w:r>
        <w:rPr>
          <w:rFonts w:hint="eastAsia" w:ascii="宋体" w:hAnsi="宋体" w:cs="宋体"/>
          <w:color w:val="auto"/>
          <w:sz w:val="21"/>
          <w:szCs w:val="21"/>
          <w:highlight w:val="none"/>
        </w:rPr>
        <w:t>，从业人员</w:t>
      </w:r>
      <w:r>
        <w:rPr>
          <w:rFonts w:hint="eastAsia" w:ascii="宋体" w:hAnsi="宋体" w:cs="宋体"/>
          <w:color w:val="auto"/>
          <w:sz w:val="21"/>
          <w:szCs w:val="21"/>
          <w:highlight w:val="none"/>
          <w:u w:val="single"/>
        </w:rPr>
        <w:t>   </w:t>
      </w:r>
      <w:r>
        <w:rPr>
          <w:rFonts w:hint="eastAsia" w:ascii="宋体" w:hAnsi="宋体" w:cs="宋体"/>
          <w:color w:val="auto"/>
          <w:sz w:val="21"/>
          <w:szCs w:val="21"/>
          <w:highlight w:val="none"/>
        </w:rPr>
        <w:t>人，营业收入为</w:t>
      </w:r>
      <w:r>
        <w:rPr>
          <w:rFonts w:hint="eastAsia" w:ascii="宋体" w:hAnsi="宋体" w:cs="宋体"/>
          <w:color w:val="auto"/>
          <w:sz w:val="21"/>
          <w:szCs w:val="21"/>
          <w:highlight w:val="none"/>
          <w:u w:val="single"/>
        </w:rPr>
        <w:t>      </w:t>
      </w:r>
      <w:r>
        <w:rPr>
          <w:rFonts w:hint="eastAsia" w:ascii="宋体" w:hAnsi="宋体" w:cs="宋体"/>
          <w:color w:val="auto"/>
          <w:sz w:val="21"/>
          <w:szCs w:val="21"/>
          <w:highlight w:val="none"/>
        </w:rPr>
        <w:t>万元，资产总额为</w:t>
      </w:r>
      <w:r>
        <w:rPr>
          <w:rFonts w:hint="eastAsia" w:ascii="宋体" w:hAnsi="宋体" w:cs="宋体"/>
          <w:color w:val="auto"/>
          <w:sz w:val="21"/>
          <w:szCs w:val="21"/>
          <w:highlight w:val="none"/>
          <w:u w:val="single"/>
        </w:rPr>
        <w:t>      </w:t>
      </w:r>
      <w:r>
        <w:rPr>
          <w:rFonts w:hint="eastAsia" w:ascii="宋体" w:hAnsi="宋体" w:cs="宋体"/>
          <w:color w:val="auto"/>
          <w:sz w:val="21"/>
          <w:szCs w:val="21"/>
          <w:highlight w:val="none"/>
        </w:rPr>
        <w:t>万元</w:t>
      </w:r>
      <w:r>
        <w:rPr>
          <w:rFonts w:hint="eastAsia" w:ascii="宋体" w:hAnsi="宋体" w:cs="宋体"/>
          <w:color w:val="auto"/>
          <w:sz w:val="21"/>
          <w:szCs w:val="21"/>
          <w:highlight w:val="none"/>
          <w:vertAlign w:val="superscript"/>
        </w:rPr>
        <w:t>[1]</w:t>
      </w:r>
      <w:r>
        <w:rPr>
          <w:rFonts w:hint="eastAsia" w:ascii="宋体" w:hAnsi="宋体" w:cs="宋体"/>
          <w:color w:val="auto"/>
          <w:sz w:val="21"/>
          <w:szCs w:val="21"/>
          <w:highlight w:val="none"/>
        </w:rPr>
        <w:t>，属于</w:t>
      </w:r>
      <w:r>
        <w:rPr>
          <w:rFonts w:hint="eastAsia" w:ascii="宋体" w:hAnsi="宋体" w:cs="宋体"/>
          <w:color w:val="auto"/>
          <w:sz w:val="21"/>
          <w:szCs w:val="21"/>
          <w:highlight w:val="none"/>
          <w:u w:val="single"/>
        </w:rPr>
        <w:t>   </w:t>
      </w:r>
      <w:r>
        <w:rPr>
          <w:rFonts w:hint="eastAsia" w:ascii="宋体" w:hAnsi="宋体" w:cs="宋体"/>
          <w:color w:val="auto"/>
          <w:sz w:val="21"/>
          <w:szCs w:val="21"/>
          <w:highlight w:val="none"/>
        </w:rPr>
        <w:t>企业（选填中型企业、小型企业、微型企业）；</w:t>
      </w:r>
    </w:p>
    <w:p w14:paraId="6632123C">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以上企业，不属于大企业的分支机构，不存在控股股东为大企业的情形，也不存在与大企业的负责人为同一人的情形。</w:t>
      </w:r>
    </w:p>
    <w:p w14:paraId="29F26FF3">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本企业对上述声明内容的真实性负责。如有虚假，将依法承担相应责任。</w:t>
      </w:r>
    </w:p>
    <w:p w14:paraId="54BD832F">
      <w:pPr>
        <w:pStyle w:val="34"/>
        <w:spacing w:line="460" w:lineRule="atLeast"/>
        <w:ind w:firstLine="420"/>
        <w:rPr>
          <w:rFonts w:hint="eastAsia" w:ascii="宋体" w:hAnsi="宋体" w:cs="宋体"/>
          <w:color w:val="auto"/>
          <w:sz w:val="21"/>
          <w:szCs w:val="21"/>
          <w:highlight w:val="none"/>
        </w:rPr>
      </w:pPr>
    </w:p>
    <w:p w14:paraId="055E8DFA">
      <w:pPr>
        <w:pStyle w:val="34"/>
        <w:spacing w:line="460" w:lineRule="atLeast"/>
        <w:ind w:firstLine="420"/>
        <w:jc w:val="right"/>
        <w:rPr>
          <w:rFonts w:hint="eastAsia" w:ascii="宋体" w:hAnsi="宋体" w:cs="宋体"/>
          <w:color w:val="auto"/>
          <w:sz w:val="21"/>
          <w:szCs w:val="21"/>
          <w:highlight w:val="none"/>
        </w:rPr>
      </w:pPr>
      <w:r>
        <w:rPr>
          <w:rFonts w:hint="eastAsia" w:ascii="宋体" w:hAnsi="宋体" w:cs="宋体"/>
          <w:color w:val="auto"/>
          <w:sz w:val="21"/>
          <w:szCs w:val="21"/>
          <w:highlight w:val="none"/>
        </w:rPr>
        <w:t>供应商：（供应商全称并加盖公章）</w:t>
      </w:r>
    </w:p>
    <w:p w14:paraId="17795284">
      <w:pPr>
        <w:pStyle w:val="34"/>
        <w:spacing w:line="460" w:lineRule="atLeast"/>
        <w:ind w:firstLine="420"/>
        <w:jc w:val="right"/>
        <w:rPr>
          <w:rFonts w:hint="eastAsia" w:ascii="宋体" w:hAnsi="宋体" w:cs="宋体"/>
          <w:color w:val="auto"/>
          <w:sz w:val="21"/>
          <w:szCs w:val="21"/>
          <w:highlight w:val="none"/>
        </w:rPr>
      </w:pPr>
    </w:p>
    <w:p w14:paraId="245F4941">
      <w:pPr>
        <w:pStyle w:val="34"/>
        <w:spacing w:line="460" w:lineRule="atLeast"/>
        <w:ind w:firstLine="420"/>
        <w:jc w:val="right"/>
        <w:rPr>
          <w:rFonts w:hint="eastAsia" w:ascii="宋体" w:hAnsi="宋体" w:cs="宋体"/>
          <w:color w:val="auto"/>
          <w:sz w:val="21"/>
          <w:szCs w:val="21"/>
          <w:highlight w:val="none"/>
        </w:rPr>
      </w:pPr>
      <w:r>
        <w:rPr>
          <w:rFonts w:hint="eastAsia" w:ascii="宋体" w:hAnsi="宋体" w:cs="宋体"/>
          <w:color w:val="auto"/>
          <w:sz w:val="21"/>
          <w:szCs w:val="21"/>
          <w:highlight w:val="none"/>
        </w:rPr>
        <w:t>日  期：    年  月  日</w:t>
      </w:r>
    </w:p>
    <w:p w14:paraId="7689F809">
      <w:pPr>
        <w:pStyle w:val="34"/>
        <w:spacing w:line="460" w:lineRule="atLeast"/>
        <w:ind w:firstLine="420"/>
        <w:rPr>
          <w:rFonts w:hint="eastAsia" w:ascii="宋体" w:hAnsi="宋体" w:cs="宋体"/>
          <w:color w:val="auto"/>
          <w:sz w:val="21"/>
          <w:szCs w:val="21"/>
          <w:highlight w:val="none"/>
        </w:rPr>
      </w:pPr>
    </w:p>
    <w:p w14:paraId="59F88BCB">
      <w:pPr>
        <w:spacing w:line="360" w:lineRule="auto"/>
        <w:ind w:firstLine="424" w:firstLineChars="200"/>
        <w:rPr>
          <w:rFonts w:ascii="宋体" w:hAnsi="宋体" w:eastAsia="宋体" w:cs="宋体"/>
          <w:color w:val="auto"/>
          <w:spacing w:val="1"/>
          <w:sz w:val="21"/>
          <w:szCs w:val="21"/>
        </w:rPr>
      </w:pPr>
      <w:r>
        <w:rPr>
          <w:rFonts w:ascii="宋体" w:hAnsi="宋体" w:eastAsia="宋体" w:cs="宋体"/>
          <w:color w:val="auto"/>
          <w:spacing w:val="1"/>
          <w:sz w:val="21"/>
          <w:szCs w:val="21"/>
        </w:rPr>
        <w:t>注：</w:t>
      </w:r>
    </w:p>
    <w:p w14:paraId="2F97AE90">
      <w:pPr>
        <w:spacing w:line="360" w:lineRule="auto"/>
        <w:ind w:firstLine="424" w:firstLineChars="200"/>
        <w:rPr>
          <w:rFonts w:ascii="宋体" w:hAnsi="宋体" w:eastAsia="宋体" w:cs="宋体"/>
          <w:color w:val="auto"/>
          <w:spacing w:val="1"/>
          <w:sz w:val="21"/>
          <w:szCs w:val="21"/>
        </w:rPr>
      </w:pPr>
      <w:r>
        <w:rPr>
          <w:rFonts w:ascii="宋体" w:hAnsi="宋体" w:eastAsia="宋体" w:cs="宋体"/>
          <w:color w:val="auto"/>
          <w:spacing w:val="1"/>
          <w:sz w:val="21"/>
          <w:szCs w:val="21"/>
        </w:rPr>
        <w:t>1、供应商根据《工业和信息化部、国家统计局、国家发展和改革委员会、财政部关于印发中小企业划型标准规定的通知》（工信部联企业〔2011〕300号）规定，结合自身实际，确定对应的中小企业划型。</w:t>
      </w:r>
    </w:p>
    <w:p w14:paraId="230391F8">
      <w:pPr>
        <w:spacing w:line="360" w:lineRule="auto"/>
        <w:ind w:firstLine="424" w:firstLineChars="200"/>
        <w:rPr>
          <w:rFonts w:ascii="宋体" w:hAnsi="宋体" w:eastAsia="宋体" w:cs="宋体"/>
          <w:color w:val="auto"/>
          <w:spacing w:val="1"/>
          <w:sz w:val="21"/>
          <w:szCs w:val="21"/>
        </w:rPr>
      </w:pPr>
      <w:r>
        <w:rPr>
          <w:rFonts w:ascii="宋体" w:hAnsi="宋体" w:eastAsia="宋体" w:cs="宋体"/>
          <w:color w:val="auto"/>
          <w:spacing w:val="1"/>
          <w:sz w:val="21"/>
          <w:szCs w:val="21"/>
        </w:rPr>
        <w:t>2、从业人员、营业收入、资产总额填报上一年度数据，无上一年度数据的新成立企业从业人员、营业收入、资产总额均填0，根据提交投标（响应）文件时的实际情况填写企业类型。</w:t>
      </w:r>
    </w:p>
    <w:p w14:paraId="0825C349">
      <w:pPr>
        <w:spacing w:line="360" w:lineRule="auto"/>
        <w:ind w:firstLine="424" w:firstLineChars="200"/>
        <w:rPr>
          <w:rFonts w:eastAsia="宋体" w:cs="Times New Roman"/>
          <w:color w:val="auto"/>
          <w:sz w:val="21"/>
          <w:szCs w:val="21"/>
        </w:rPr>
      </w:pPr>
      <w:r>
        <w:rPr>
          <w:rFonts w:ascii="宋体" w:hAnsi="宋体" w:eastAsia="宋体" w:cs="宋体"/>
          <w:color w:val="auto"/>
          <w:spacing w:val="1"/>
          <w:sz w:val="21"/>
          <w:szCs w:val="21"/>
        </w:rPr>
        <w:t>3、供应商不属于中小企业的，无需提供此声明。</w:t>
      </w:r>
    </w:p>
    <w:p w14:paraId="3B94B603">
      <w:pPr>
        <w:pStyle w:val="34"/>
        <w:widowControl w:val="0"/>
        <w:numPr>
          <w:ilvl w:val="0"/>
          <w:numId w:val="0"/>
        </w:numPr>
        <w:spacing w:line="460" w:lineRule="atLeast"/>
        <w:jc w:val="left"/>
        <w:rPr>
          <w:rFonts w:hint="eastAsia" w:ascii="宋体" w:hAnsi="宋体" w:cs="宋体"/>
          <w:color w:val="auto"/>
          <w:sz w:val="21"/>
          <w:szCs w:val="21"/>
          <w:highlight w:val="none"/>
        </w:rPr>
      </w:pPr>
    </w:p>
    <w:p w14:paraId="04258118">
      <w:pPr>
        <w:widowControl/>
        <w:spacing w:line="460" w:lineRule="atLeast"/>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r>
    </w:p>
    <w:p w14:paraId="2DD62753">
      <w:pPr>
        <w:pStyle w:val="60"/>
        <w:spacing w:before="312" w:after="312" w:line="460" w:lineRule="atLeast"/>
        <w:rPr>
          <w:rFonts w:hint="eastAsia" w:ascii="宋体" w:hAnsi="宋体" w:cs="宋体"/>
          <w:color w:val="auto"/>
          <w:sz w:val="21"/>
          <w:szCs w:val="21"/>
          <w:highlight w:val="none"/>
        </w:rPr>
      </w:pPr>
      <w:r>
        <w:rPr>
          <w:rFonts w:hint="eastAsia" w:ascii="宋体" w:hAnsi="宋体" w:cs="宋体"/>
          <w:color w:val="auto"/>
          <w:sz w:val="21"/>
          <w:szCs w:val="21"/>
          <w:highlight w:val="none"/>
        </w:rPr>
        <w:t>2．残疾人福利性单位声明函</w:t>
      </w:r>
    </w:p>
    <w:p w14:paraId="0BAF5813">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说明：当且仅当供应商为残疾人福利性单位的，应按下文给定格式填写声明函。未提供或未按给定格式提供声明函的，将不能享受磋商文件规定的价格优惠政策。</w:t>
      </w:r>
    </w:p>
    <w:p w14:paraId="60D277DD">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供应商在填报前请认真阅读《财政部、民政部、中国残疾人联合会关于促进残疾人就业政府采购政策的通知》（财库〔2017〕141号）相关规定。</w:t>
      </w:r>
    </w:p>
    <w:p w14:paraId="054D4483">
      <w:pPr>
        <w:pStyle w:val="34"/>
        <w:spacing w:line="460" w:lineRule="atLeast"/>
        <w:ind w:firstLine="420"/>
        <w:rPr>
          <w:rFonts w:hint="eastAsia" w:ascii="宋体" w:hAnsi="宋体" w:cs="宋体"/>
          <w:color w:val="auto"/>
          <w:sz w:val="21"/>
          <w:szCs w:val="21"/>
          <w:highlight w:val="none"/>
        </w:rPr>
      </w:pPr>
    </w:p>
    <w:p w14:paraId="004A064C">
      <w:pPr>
        <w:pStyle w:val="34"/>
        <w:spacing w:line="460" w:lineRule="atLeast"/>
        <w:ind w:firstLine="420"/>
        <w:rPr>
          <w:rFonts w:hint="eastAsia" w:ascii="宋体" w:hAnsi="宋体" w:cs="宋体"/>
          <w:color w:val="auto"/>
          <w:sz w:val="21"/>
          <w:szCs w:val="21"/>
          <w:highlight w:val="none"/>
        </w:rPr>
      </w:pPr>
    </w:p>
    <w:p w14:paraId="32E047A2">
      <w:pPr>
        <w:pStyle w:val="34"/>
        <w:spacing w:line="460" w:lineRule="atLeast"/>
        <w:ind w:firstLine="422"/>
        <w:jc w:val="center"/>
        <w:rPr>
          <w:rFonts w:hint="eastAsia" w:ascii="宋体" w:hAnsi="宋体" w:cs="宋体"/>
          <w:color w:val="auto"/>
          <w:sz w:val="21"/>
          <w:szCs w:val="21"/>
          <w:highlight w:val="none"/>
        </w:rPr>
      </w:pPr>
      <w:r>
        <w:rPr>
          <w:rFonts w:hint="eastAsia" w:ascii="宋体" w:hAnsi="宋体" w:cs="宋体"/>
          <w:b/>
          <w:color w:val="auto"/>
          <w:sz w:val="21"/>
          <w:szCs w:val="21"/>
          <w:highlight w:val="none"/>
        </w:rPr>
        <w:t>残疾人福利性单位声明函（格式）</w:t>
      </w:r>
    </w:p>
    <w:p w14:paraId="6128EA44">
      <w:pPr>
        <w:pStyle w:val="34"/>
        <w:spacing w:line="460" w:lineRule="atLeast"/>
        <w:ind w:firstLine="420"/>
        <w:rPr>
          <w:rFonts w:hint="eastAsia" w:ascii="宋体" w:hAnsi="宋体" w:cs="宋体"/>
          <w:color w:val="auto"/>
          <w:sz w:val="21"/>
          <w:szCs w:val="21"/>
          <w:highlight w:val="none"/>
        </w:rPr>
      </w:pPr>
    </w:p>
    <w:p w14:paraId="79B027D0">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auto"/>
          <w:sz w:val="21"/>
          <w:szCs w:val="21"/>
          <w:highlight w:val="none"/>
          <w:u w:val="single"/>
        </w:rPr>
        <w:t>〈项目名称〉（项目编号）</w:t>
      </w:r>
      <w:r>
        <w:rPr>
          <w:rFonts w:hint="eastAsia" w:ascii="宋体" w:hAnsi="宋体" w:cs="宋体"/>
          <w:color w:val="auto"/>
          <w:sz w:val="21"/>
          <w:szCs w:val="21"/>
          <w:highlight w:val="none"/>
        </w:rPr>
        <w:t>）采购活动提供本单位制造的货物（由本单位提供服务），或者提供其他残疾人福利性单位制造的货物（不包括使用非残疾人福利性单位注册商标的货物）。</w:t>
      </w:r>
    </w:p>
    <w:p w14:paraId="75F45317">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本单位对上述声明的真实性负责。如有虚假，将依法承担相应责任。</w:t>
      </w:r>
    </w:p>
    <w:p w14:paraId="3924955D">
      <w:pPr>
        <w:pStyle w:val="34"/>
        <w:spacing w:line="460" w:lineRule="atLeast"/>
        <w:ind w:firstLine="420"/>
        <w:rPr>
          <w:rFonts w:hint="eastAsia" w:ascii="宋体" w:hAnsi="宋体" w:cs="宋体"/>
          <w:color w:val="auto"/>
          <w:sz w:val="21"/>
          <w:szCs w:val="21"/>
          <w:highlight w:val="none"/>
        </w:rPr>
      </w:pPr>
    </w:p>
    <w:p w14:paraId="4B82DBF0">
      <w:pPr>
        <w:pStyle w:val="34"/>
        <w:spacing w:line="460" w:lineRule="atLeast"/>
        <w:ind w:firstLine="420"/>
        <w:jc w:val="right"/>
        <w:rPr>
          <w:rFonts w:hint="eastAsia" w:ascii="宋体" w:hAnsi="宋体" w:cs="宋体"/>
          <w:color w:val="auto"/>
          <w:sz w:val="21"/>
          <w:szCs w:val="21"/>
          <w:highlight w:val="none"/>
        </w:rPr>
      </w:pPr>
    </w:p>
    <w:p w14:paraId="763C6724">
      <w:pPr>
        <w:pStyle w:val="34"/>
        <w:spacing w:line="460" w:lineRule="atLeast"/>
        <w:ind w:firstLine="420"/>
        <w:jc w:val="right"/>
        <w:rPr>
          <w:rFonts w:hint="eastAsia" w:ascii="宋体" w:hAnsi="宋体" w:cs="宋体"/>
          <w:color w:val="auto"/>
          <w:sz w:val="21"/>
          <w:szCs w:val="21"/>
          <w:highlight w:val="none"/>
        </w:rPr>
      </w:pPr>
      <w:r>
        <w:rPr>
          <w:rFonts w:hint="eastAsia" w:ascii="宋体" w:hAnsi="宋体" w:cs="宋体"/>
          <w:color w:val="auto"/>
          <w:sz w:val="21"/>
          <w:szCs w:val="21"/>
          <w:highlight w:val="none"/>
        </w:rPr>
        <w:t>供应商：（供应商全称并加盖公章）</w:t>
      </w:r>
    </w:p>
    <w:p w14:paraId="064DD1EF">
      <w:pPr>
        <w:pStyle w:val="34"/>
        <w:spacing w:line="460" w:lineRule="atLeast"/>
        <w:ind w:firstLine="420"/>
        <w:jc w:val="right"/>
        <w:rPr>
          <w:rFonts w:hint="eastAsia" w:ascii="宋体" w:hAnsi="宋体" w:cs="宋体"/>
          <w:color w:val="auto"/>
          <w:sz w:val="21"/>
          <w:szCs w:val="21"/>
          <w:highlight w:val="none"/>
        </w:rPr>
      </w:pPr>
      <w:r>
        <w:rPr>
          <w:rFonts w:hint="eastAsia" w:ascii="宋体" w:hAnsi="宋体" w:cs="宋体"/>
          <w:color w:val="auto"/>
          <w:sz w:val="21"/>
          <w:szCs w:val="21"/>
          <w:highlight w:val="none"/>
        </w:rPr>
        <w:t>日　期：年　月　日</w:t>
      </w:r>
    </w:p>
    <w:p w14:paraId="727B690E">
      <w:pPr>
        <w:widowControl/>
        <w:spacing w:line="460" w:lineRule="atLeast"/>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r>
    </w:p>
    <w:p w14:paraId="037A36E0">
      <w:pPr>
        <w:pStyle w:val="60"/>
        <w:spacing w:before="312" w:after="312" w:line="460" w:lineRule="atLeast"/>
        <w:rPr>
          <w:rFonts w:hint="eastAsia" w:ascii="宋体" w:hAnsi="宋体" w:cs="宋体"/>
          <w:color w:val="auto"/>
          <w:sz w:val="21"/>
          <w:szCs w:val="21"/>
          <w:highlight w:val="none"/>
        </w:rPr>
      </w:pPr>
      <w:r>
        <w:rPr>
          <w:rFonts w:hint="eastAsia" w:ascii="宋体" w:hAnsi="宋体" w:cs="宋体"/>
          <w:color w:val="auto"/>
          <w:sz w:val="21"/>
          <w:szCs w:val="21"/>
          <w:highlight w:val="none"/>
        </w:rPr>
        <w:t>3．监狱企业证明函</w:t>
      </w:r>
    </w:p>
    <w:p w14:paraId="0297DB5D">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说明：供应商在填报前请认真阅读《财政部、民政部、中国残疾人联合会关于促进残疾人就业政府采购政策的通知》。符合条件的供应商未按上述要求提供、填写的，评审时不予认可。</w:t>
      </w:r>
    </w:p>
    <w:p w14:paraId="16C723CD">
      <w:pPr>
        <w:pStyle w:val="60"/>
        <w:spacing w:before="312" w:after="312" w:line="460" w:lineRule="atLeast"/>
        <w:rPr>
          <w:rFonts w:hint="eastAsia" w:ascii="宋体" w:hAnsi="宋体" w:cs="宋体"/>
          <w:color w:val="auto"/>
          <w:sz w:val="21"/>
          <w:szCs w:val="21"/>
          <w:highlight w:val="none"/>
        </w:rPr>
      </w:pPr>
      <w:r>
        <w:rPr>
          <w:rFonts w:hint="eastAsia" w:ascii="宋体" w:hAnsi="宋体" w:cs="宋体"/>
          <w:color w:val="auto"/>
          <w:sz w:val="21"/>
          <w:szCs w:val="21"/>
          <w:highlight w:val="none"/>
        </w:rPr>
        <w:t>监狱企业证明函</w:t>
      </w:r>
    </w:p>
    <w:p w14:paraId="70B53EF9">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根据财政部、司法部《关于政府采购支持监狱企业发展有关问题的通知》（财库〔2014〕68号）的规定，</w:t>
      </w:r>
      <w:r>
        <w:rPr>
          <w:rFonts w:hint="eastAsia" w:ascii="宋体" w:hAnsi="宋体" w:cs="宋体"/>
          <w:b/>
          <w:color w:val="auto"/>
          <w:sz w:val="21"/>
          <w:szCs w:val="21"/>
          <w:highlight w:val="none"/>
        </w:rPr>
        <w:t>监狱企业</w:t>
      </w:r>
      <w:r>
        <w:rPr>
          <w:rFonts w:hint="eastAsia" w:ascii="宋体" w:hAnsi="宋体" w:cs="宋体"/>
          <w:color w:val="auto"/>
          <w:sz w:val="21"/>
          <w:szCs w:val="21"/>
          <w:highlight w:val="none"/>
        </w:rPr>
        <w:t>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43DBC95">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监狱企业参加政府采购活动时，应当提供由省级以上监狱管理局、戒毒管理局（含新疆生产建设兵团）出具的属于监狱企业的证明文件。</w:t>
      </w:r>
    </w:p>
    <w:p w14:paraId="7F789025">
      <w:pPr>
        <w:widowControl/>
        <w:spacing w:line="460" w:lineRule="atLeast"/>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r>
    </w:p>
    <w:p w14:paraId="4F3ECA8F">
      <w:pPr>
        <w:pStyle w:val="31"/>
        <w:spacing w:before="312" w:after="312" w:line="460" w:lineRule="atLeast"/>
        <w:rPr>
          <w:rFonts w:hint="eastAsia" w:ascii="宋体" w:hAnsi="宋体" w:eastAsia="宋体" w:cs="宋体"/>
          <w:color w:val="auto"/>
          <w:highlight w:val="none"/>
        </w:rPr>
      </w:pPr>
      <w:r>
        <w:rPr>
          <w:rFonts w:hint="eastAsia" w:ascii="宋体" w:hAnsi="宋体" w:eastAsia="宋体" w:cs="宋体"/>
          <w:color w:val="auto"/>
          <w:highlight w:val="none"/>
        </w:rPr>
        <w:t>第六部分  供应商参加政府采购活动承诺书</w:t>
      </w:r>
    </w:p>
    <w:p w14:paraId="36EDB82D">
      <w:pPr>
        <w:pStyle w:val="60"/>
        <w:spacing w:before="312" w:after="312" w:line="460" w:lineRule="atLeast"/>
        <w:rPr>
          <w:rFonts w:hint="eastAsia" w:ascii="宋体" w:hAnsi="宋体" w:cs="宋体"/>
          <w:color w:val="auto"/>
          <w:sz w:val="21"/>
          <w:szCs w:val="21"/>
          <w:highlight w:val="none"/>
        </w:rPr>
      </w:pPr>
      <w:r>
        <w:rPr>
          <w:rFonts w:hint="eastAsia" w:ascii="宋体" w:hAnsi="宋体" w:cs="宋体"/>
          <w:color w:val="auto"/>
          <w:sz w:val="21"/>
          <w:szCs w:val="21"/>
          <w:highlight w:val="none"/>
        </w:rPr>
        <w:t>参加政府采购活动行为自律承诺书</w:t>
      </w:r>
    </w:p>
    <w:p w14:paraId="58BF6339">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作为参加本次政府采购项目的供应商，我方郑重承诺在参与政府采购活动中遵纪守法、公平竞争、诚实守信，如有违反愿承担一切责任及后果：</w:t>
      </w:r>
    </w:p>
    <w:p w14:paraId="414E697C">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1、不与采购人、集中采购机构、政府采购评审专家恶意串通，不向其行贿或提供其他不正当利益；</w:t>
      </w:r>
    </w:p>
    <w:p w14:paraId="78318379">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2、不与其他供应商恶意串通，采取“围标、串标、陪标”等商业欺诈手段谋取中 标、成 交；</w:t>
      </w:r>
    </w:p>
    <w:p w14:paraId="1E8DB976">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3、不提供虚假或无效证明文件（包括但不限于资格证明文件、合同及验收文件、检验</w:t>
      </w:r>
      <w:r>
        <w:rPr>
          <w:rFonts w:hint="eastAsia" w:ascii="宋体" w:hAnsi="宋体" w:cs="宋体"/>
          <w:color w:val="auto"/>
          <w:sz w:val="21"/>
          <w:szCs w:val="21"/>
          <w:highlight w:val="none"/>
          <w:lang w:val="en-US" w:eastAsia="zh-CN"/>
        </w:rPr>
        <w:tab/>
      </w:r>
      <w:r>
        <w:rPr>
          <w:rFonts w:hint="eastAsia" w:ascii="宋体" w:hAnsi="宋体" w:cs="宋体"/>
          <w:color w:val="auto"/>
          <w:sz w:val="21"/>
          <w:szCs w:val="21"/>
          <w:highlight w:val="none"/>
        </w:rPr>
        <w:t>报告、从业人员资格证书、机构或所投产品的各类认证证书等）或虚假材料谋取中标、成交；</w:t>
      </w:r>
    </w:p>
    <w:p w14:paraId="3E10AB20">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4、不采取不正当手段诋毁、排挤其他供应商；</w:t>
      </w:r>
    </w:p>
    <w:p w14:paraId="2081BA80">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5、不以不正当理由拒不与采购人签订政府采购合同，或逾期签订政府采购合同，或不按照采购文件确定的事项签订政府采购合同；</w:t>
      </w:r>
    </w:p>
    <w:p w14:paraId="2BDC8C1B">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6、不以不正当理由拒绝履行合同义务，不会擅自变更、中止或者终止政府采购合同或将政府采购合同转包；</w:t>
      </w:r>
    </w:p>
    <w:p w14:paraId="46F7A5D9">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7、不在提供商品、服务或工程施工过程中提供假冒伪劣产品，损害采购人的合法权益或公共利益；</w:t>
      </w:r>
    </w:p>
    <w:p w14:paraId="25A25EF5">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8、不采取捏造事实、提供虚假材料或者以非法手段取得证明材料进行质疑和投诉；</w:t>
      </w:r>
    </w:p>
    <w:p w14:paraId="6121B0C6">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9、不发生其他有悖于政府采购公开、公平、公正和诚信原则的行为。</w:t>
      </w:r>
    </w:p>
    <w:p w14:paraId="6487789D">
      <w:pPr>
        <w:pStyle w:val="34"/>
        <w:spacing w:line="460" w:lineRule="atLeas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10、尊重和接受政府采购监督管理部门的监督和采购人、采购代理机构的政府采购工作要求，愿意承担因违约行为给采购人造成的损失。</w:t>
      </w:r>
    </w:p>
    <w:p w14:paraId="3C2B1353">
      <w:pPr>
        <w:pStyle w:val="34"/>
        <w:spacing w:line="460" w:lineRule="atLeast"/>
        <w:ind w:firstLine="420"/>
        <w:rPr>
          <w:rFonts w:hint="eastAsia" w:ascii="宋体" w:hAnsi="宋体" w:cs="宋体"/>
          <w:color w:val="auto"/>
          <w:sz w:val="21"/>
          <w:szCs w:val="21"/>
          <w:highlight w:val="none"/>
        </w:rPr>
      </w:pPr>
    </w:p>
    <w:p w14:paraId="5B912D65">
      <w:pPr>
        <w:pStyle w:val="34"/>
        <w:spacing w:line="460" w:lineRule="atLeast"/>
        <w:ind w:firstLine="420"/>
        <w:jc w:val="right"/>
        <w:rPr>
          <w:rFonts w:hint="eastAsia" w:ascii="宋体" w:hAnsi="宋体" w:cs="宋体"/>
          <w:color w:val="auto"/>
          <w:sz w:val="21"/>
          <w:szCs w:val="21"/>
          <w:highlight w:val="none"/>
        </w:rPr>
      </w:pPr>
      <w:r>
        <w:rPr>
          <w:rFonts w:hint="eastAsia" w:ascii="宋体" w:hAnsi="宋体" w:cs="宋体"/>
          <w:color w:val="auto"/>
          <w:sz w:val="21"/>
          <w:szCs w:val="21"/>
          <w:highlight w:val="none"/>
        </w:rPr>
        <w:t>供应商：（供应商全称并加盖公章）</w:t>
      </w:r>
    </w:p>
    <w:p w14:paraId="6B875827">
      <w:pPr>
        <w:pStyle w:val="34"/>
        <w:spacing w:line="460" w:lineRule="atLeast"/>
        <w:ind w:firstLine="420"/>
        <w:jc w:val="right"/>
        <w:rPr>
          <w:rFonts w:hint="eastAsia" w:ascii="宋体" w:hAnsi="宋体" w:cs="宋体"/>
          <w:color w:val="auto"/>
          <w:sz w:val="21"/>
          <w:szCs w:val="21"/>
          <w:highlight w:val="none"/>
        </w:rPr>
      </w:pPr>
      <w:r>
        <w:rPr>
          <w:rFonts w:hint="eastAsia" w:ascii="宋体" w:hAnsi="宋体" w:cs="宋体"/>
          <w:color w:val="auto"/>
          <w:sz w:val="21"/>
          <w:szCs w:val="21"/>
          <w:highlight w:val="none"/>
        </w:rPr>
        <w:t>日　期：年　月　日</w:t>
      </w:r>
    </w:p>
    <w:p w14:paraId="424DAF8D">
      <w:pPr>
        <w:widowControl/>
        <w:spacing w:line="460" w:lineRule="atLeast"/>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r>
    </w:p>
    <w:p w14:paraId="395496E7">
      <w:pPr>
        <w:pStyle w:val="31"/>
        <w:spacing w:before="312" w:after="312" w:line="46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第七部分 </w:t>
      </w:r>
      <w:r>
        <w:rPr>
          <w:rFonts w:hint="eastAsia" w:ascii="宋体" w:hAnsi="宋体" w:eastAsia="宋体" w:cs="宋体"/>
          <w:color w:val="auto"/>
          <w:highlight w:val="none"/>
          <w:lang w:val="en-US" w:eastAsia="zh-CN"/>
        </w:rPr>
        <w:t>技术</w:t>
      </w:r>
      <w:r>
        <w:rPr>
          <w:rFonts w:hint="eastAsia" w:ascii="宋体" w:hAnsi="宋体" w:eastAsia="宋体" w:cs="宋体"/>
          <w:color w:val="auto"/>
          <w:highlight w:val="none"/>
        </w:rPr>
        <w:t>方案说明</w:t>
      </w:r>
    </w:p>
    <w:p w14:paraId="7D2DFE38">
      <w:pPr>
        <w:pStyle w:val="32"/>
        <w:spacing w:before="156" w:after="156" w:line="460" w:lineRule="atLeast"/>
        <w:rPr>
          <w:rFonts w:hint="eastAsia" w:ascii="宋体" w:hAnsi="宋体" w:cs="宋体"/>
          <w:color w:val="auto"/>
          <w:highlight w:val="none"/>
        </w:rPr>
      </w:pPr>
      <w:r>
        <w:rPr>
          <w:rFonts w:hint="eastAsia" w:ascii="宋体" w:hAnsi="宋体" w:cs="宋体"/>
          <w:color w:val="auto"/>
          <w:highlight w:val="none"/>
        </w:rPr>
        <w:t>（1）</w:t>
      </w:r>
      <w:r>
        <w:rPr>
          <w:rFonts w:hint="eastAsia" w:ascii="宋体" w:hAnsi="宋体" w:cs="宋体"/>
          <w:color w:val="auto"/>
          <w:highlight w:val="none"/>
          <w:lang w:val="en-US" w:eastAsia="zh-CN"/>
        </w:rPr>
        <w:t>技术</w:t>
      </w:r>
      <w:r>
        <w:rPr>
          <w:rFonts w:hint="eastAsia" w:ascii="宋体" w:hAnsi="宋体" w:cs="宋体"/>
          <w:color w:val="auto"/>
          <w:highlight w:val="none"/>
        </w:rPr>
        <w:t>方案</w:t>
      </w:r>
    </w:p>
    <w:p w14:paraId="687EB688">
      <w:pPr>
        <w:spacing w:line="460" w:lineRule="atLeast"/>
        <w:ind w:firstLine="420" w:firstLineChars="200"/>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1.供应商可结合第五章《磋商内容及采购要求》相关要求及第四章《评标因素及权重分值表》中各评审要素编制对应的技术要求自行编写。</w:t>
      </w:r>
    </w:p>
    <w:p w14:paraId="602D79EA">
      <w:pPr>
        <w:pStyle w:val="7"/>
        <w:spacing w:line="460" w:lineRule="atLeast"/>
        <w:ind w:firstLine="420"/>
        <w:outlineLvl w:val="1"/>
        <w:rPr>
          <w:rFonts w:hint="eastAsia" w:ascii="宋体" w:hAnsi="宋体" w:cs="宋体"/>
          <w:bCs/>
          <w:color w:val="auto"/>
          <w:sz w:val="21"/>
          <w:szCs w:val="21"/>
          <w:highlight w:val="none"/>
        </w:rPr>
      </w:pPr>
      <w:bookmarkStart w:id="85" w:name="_Toc31418"/>
      <w:bookmarkStart w:id="86" w:name="_Toc10067"/>
      <w:bookmarkStart w:id="87" w:name="_Toc27790"/>
      <w:bookmarkStart w:id="88" w:name="_Toc403077656"/>
      <w:bookmarkStart w:id="89" w:name="_Toc363474033"/>
      <w:bookmarkStart w:id="90" w:name="_Toc426457714"/>
      <w:bookmarkStart w:id="91" w:name="OLE_LINK19"/>
      <w:r>
        <w:rPr>
          <w:rFonts w:hint="eastAsia" w:ascii="宋体" w:hAnsi="宋体" w:cs="宋体"/>
          <w:bCs/>
          <w:color w:val="auto"/>
          <w:sz w:val="21"/>
          <w:szCs w:val="21"/>
          <w:highlight w:val="none"/>
        </w:rPr>
        <w:t>2.供应商需要说明的其他问题。</w:t>
      </w:r>
      <w:bookmarkEnd w:id="85"/>
      <w:bookmarkEnd w:id="86"/>
      <w:bookmarkEnd w:id="87"/>
    </w:p>
    <w:bookmarkEnd w:id="88"/>
    <w:bookmarkEnd w:id="89"/>
    <w:bookmarkEnd w:id="90"/>
    <w:bookmarkEnd w:id="91"/>
    <w:p w14:paraId="4BAADF2C">
      <w:pPr>
        <w:pStyle w:val="34"/>
        <w:spacing w:line="460" w:lineRule="atLeast"/>
        <w:ind w:firstLine="480"/>
        <w:rPr>
          <w:rFonts w:hint="eastAsia" w:ascii="宋体" w:hAnsi="宋体" w:cs="宋体"/>
          <w:color w:val="auto"/>
          <w:highlight w:val="none"/>
        </w:rPr>
      </w:pPr>
    </w:p>
    <w:p w14:paraId="75407AAA">
      <w:pPr>
        <w:spacing w:line="460" w:lineRule="atLeast"/>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45AECA3D">
      <w:pPr>
        <w:pStyle w:val="3"/>
        <w:spacing w:line="460" w:lineRule="atLeast"/>
        <w:jc w:val="both"/>
        <w:rPr>
          <w:rFonts w:hint="eastAsia" w:ascii="宋体" w:hAnsi="宋体"/>
          <w:color w:val="auto"/>
          <w:sz w:val="21"/>
          <w:szCs w:val="21"/>
          <w:highlight w:val="none"/>
        </w:rPr>
      </w:pPr>
      <w:bookmarkStart w:id="92" w:name="_Toc6334"/>
      <w:r>
        <w:rPr>
          <w:rFonts w:hint="eastAsia" w:ascii="宋体" w:hAnsi="宋体" w:cs="宋体"/>
          <w:bCs w:val="0"/>
          <w:color w:val="auto"/>
          <w:szCs w:val="22"/>
          <w:highlight w:val="none"/>
        </w:rPr>
        <w:t>（2）技术条款响应偏离表（格式）</w:t>
      </w:r>
      <w:bookmarkEnd w:id="92"/>
    </w:p>
    <w:p w14:paraId="5D915103">
      <w:pPr>
        <w:spacing w:line="460" w:lineRule="atLeast"/>
        <w:ind w:left="210" w:leftChars="100"/>
        <w:jc w:val="center"/>
        <w:rPr>
          <w:rFonts w:hint="eastAsia" w:eastAsia="宋体"/>
          <w:b/>
          <w:bCs/>
          <w:color w:val="auto"/>
          <w:sz w:val="28"/>
          <w:szCs w:val="21"/>
          <w:highlight w:val="none"/>
        </w:rPr>
      </w:pPr>
      <w:bookmarkStart w:id="93" w:name="_Hlk3903054"/>
      <w:r>
        <w:rPr>
          <w:rFonts w:hint="eastAsia" w:eastAsia="宋体"/>
          <w:b/>
          <w:bCs/>
          <w:color w:val="auto"/>
          <w:sz w:val="28"/>
          <w:szCs w:val="21"/>
          <w:highlight w:val="none"/>
        </w:rPr>
        <w:t>技术条款</w:t>
      </w:r>
      <w:r>
        <w:rPr>
          <w:rFonts w:eastAsia="宋体"/>
          <w:b/>
          <w:bCs/>
          <w:color w:val="auto"/>
          <w:sz w:val="28"/>
          <w:szCs w:val="21"/>
          <w:highlight w:val="none"/>
        </w:rPr>
        <w:t>响应偏离表</w:t>
      </w:r>
    </w:p>
    <w:p w14:paraId="2ADDCB8A">
      <w:pPr>
        <w:spacing w:line="460" w:lineRule="atLeast"/>
        <w:ind w:left="210" w:leftChars="100"/>
        <w:jc w:val="left"/>
        <w:rPr>
          <w:rFonts w:hint="eastAsia" w:eastAsia="宋体"/>
          <w:color w:val="auto"/>
          <w:szCs w:val="21"/>
          <w:highlight w:val="none"/>
          <w:u w:val="single"/>
        </w:rPr>
      </w:pPr>
      <w:r>
        <w:rPr>
          <w:rFonts w:eastAsia="宋体"/>
          <w:color w:val="auto"/>
          <w:szCs w:val="21"/>
          <w:highlight w:val="none"/>
        </w:rPr>
        <w:t>供应商名称：</w:t>
      </w:r>
      <w:r>
        <w:rPr>
          <w:rFonts w:eastAsia="宋体"/>
          <w:color w:val="auto"/>
          <w:szCs w:val="21"/>
          <w:highlight w:val="none"/>
          <w:u w:val="single"/>
        </w:rPr>
        <w:t xml:space="preserve">             </w:t>
      </w:r>
      <w:r>
        <w:rPr>
          <w:rFonts w:eastAsia="宋体"/>
          <w:color w:val="auto"/>
          <w:szCs w:val="21"/>
          <w:highlight w:val="none"/>
        </w:rPr>
        <w:t xml:space="preserve">            </w:t>
      </w:r>
    </w:p>
    <w:tbl>
      <w:tblPr>
        <w:tblStyle w:val="23"/>
        <w:tblpPr w:leftFromText="180" w:rightFromText="180" w:vertAnchor="text" w:horzAnchor="margin" w:tblpXSpec="center" w:tblpY="193"/>
        <w:tblOverlap w:val="never"/>
        <w:tblW w:w="9808"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2"/>
        <w:gridCol w:w="3074"/>
        <w:gridCol w:w="2835"/>
        <w:gridCol w:w="1801"/>
        <w:gridCol w:w="1406"/>
      </w:tblGrid>
      <w:tr w14:paraId="39A8DF7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2" w:type="dxa"/>
            <w:tcMar>
              <w:top w:w="57" w:type="dxa"/>
              <w:left w:w="28" w:type="dxa"/>
              <w:bottom w:w="57" w:type="dxa"/>
              <w:right w:w="28" w:type="dxa"/>
            </w:tcMar>
            <w:vAlign w:val="center"/>
          </w:tcPr>
          <w:p w14:paraId="19D632BE">
            <w:pPr>
              <w:spacing w:line="460" w:lineRule="atLeast"/>
              <w:ind w:left="40" w:leftChars="19"/>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序号</w:t>
            </w:r>
          </w:p>
        </w:tc>
        <w:tc>
          <w:tcPr>
            <w:tcW w:w="3074" w:type="dxa"/>
            <w:tcMar>
              <w:top w:w="57" w:type="dxa"/>
              <w:left w:w="28" w:type="dxa"/>
              <w:bottom w:w="57" w:type="dxa"/>
              <w:right w:w="28" w:type="dxa"/>
            </w:tcMar>
            <w:vAlign w:val="center"/>
          </w:tcPr>
          <w:p w14:paraId="4965730C">
            <w:pPr>
              <w:spacing w:line="460" w:lineRule="atLeast"/>
              <w:ind w:left="210" w:leftChars="100"/>
              <w:jc w:val="center"/>
              <w:rPr>
                <w:rFonts w:hint="eastAsia" w:eastAsia="宋体" w:cs="仿宋_GB2312"/>
                <w:b/>
                <w:color w:val="auto"/>
                <w:sz w:val="22"/>
                <w:highlight w:val="none"/>
              </w:rPr>
            </w:pPr>
            <w:r>
              <w:rPr>
                <w:rFonts w:hint="eastAsia" w:eastAsia="宋体" w:cs="仿宋_GB2312"/>
                <w:b/>
                <w:color w:val="auto"/>
                <w:sz w:val="22"/>
                <w:highlight w:val="none"/>
              </w:rPr>
              <w:t>磋商文件</w:t>
            </w:r>
          </w:p>
          <w:p w14:paraId="53FB6CE6">
            <w:pPr>
              <w:spacing w:line="460" w:lineRule="atLeast"/>
              <w:ind w:left="210" w:leftChars="100"/>
              <w:jc w:val="center"/>
              <w:rPr>
                <w:rFonts w:hint="eastAsia" w:ascii="宋体" w:hAnsi="宋体" w:eastAsia="宋体" w:cs="宋体"/>
                <w:b/>
                <w:color w:val="auto"/>
                <w:szCs w:val="21"/>
                <w:highlight w:val="none"/>
              </w:rPr>
            </w:pPr>
            <w:r>
              <w:rPr>
                <w:rFonts w:hint="eastAsia" w:eastAsia="宋体" w:cs="仿宋_GB2312"/>
                <w:b/>
                <w:color w:val="auto"/>
                <w:sz w:val="22"/>
                <w:highlight w:val="none"/>
              </w:rPr>
              <w:t>技术要求</w:t>
            </w:r>
          </w:p>
        </w:tc>
        <w:tc>
          <w:tcPr>
            <w:tcW w:w="2835" w:type="dxa"/>
            <w:tcMar>
              <w:top w:w="57" w:type="dxa"/>
              <w:left w:w="28" w:type="dxa"/>
              <w:bottom w:w="57" w:type="dxa"/>
              <w:right w:w="28" w:type="dxa"/>
            </w:tcMar>
            <w:vAlign w:val="center"/>
          </w:tcPr>
          <w:p w14:paraId="6F8D8FB7">
            <w:pPr>
              <w:spacing w:line="460" w:lineRule="atLeast"/>
              <w:ind w:left="210" w:leftChars="100"/>
              <w:jc w:val="center"/>
              <w:rPr>
                <w:rFonts w:hint="eastAsia" w:eastAsia="宋体" w:cs="仿宋_GB2312"/>
                <w:b/>
                <w:color w:val="auto"/>
                <w:sz w:val="22"/>
                <w:highlight w:val="none"/>
              </w:rPr>
            </w:pPr>
            <w:r>
              <w:rPr>
                <w:rFonts w:hint="eastAsia" w:eastAsia="宋体" w:cs="仿宋_GB2312"/>
                <w:b/>
                <w:color w:val="auto"/>
                <w:sz w:val="22"/>
                <w:highlight w:val="none"/>
              </w:rPr>
              <w:t>响应文件</w:t>
            </w:r>
          </w:p>
          <w:p w14:paraId="24CF495B">
            <w:pPr>
              <w:spacing w:line="460" w:lineRule="atLeast"/>
              <w:ind w:left="210" w:leftChars="100"/>
              <w:jc w:val="center"/>
              <w:rPr>
                <w:rFonts w:hint="eastAsia" w:ascii="宋体" w:hAnsi="宋体" w:eastAsia="宋体" w:cs="宋体"/>
                <w:b/>
                <w:color w:val="auto"/>
                <w:szCs w:val="21"/>
                <w:highlight w:val="none"/>
              </w:rPr>
            </w:pPr>
            <w:r>
              <w:rPr>
                <w:rFonts w:hint="eastAsia" w:eastAsia="宋体" w:cs="仿宋_GB2312"/>
                <w:b/>
                <w:color w:val="auto"/>
                <w:sz w:val="22"/>
                <w:highlight w:val="none"/>
              </w:rPr>
              <w:t>商务响应</w:t>
            </w:r>
          </w:p>
        </w:tc>
        <w:tc>
          <w:tcPr>
            <w:tcW w:w="1801" w:type="dxa"/>
            <w:tcMar>
              <w:top w:w="57" w:type="dxa"/>
              <w:left w:w="28" w:type="dxa"/>
              <w:bottom w:w="57" w:type="dxa"/>
              <w:right w:w="28" w:type="dxa"/>
            </w:tcMar>
            <w:vAlign w:val="center"/>
          </w:tcPr>
          <w:p w14:paraId="3F3DF4DC">
            <w:pPr>
              <w:spacing w:line="460" w:lineRule="atLeast"/>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偏离情况</w:t>
            </w:r>
          </w:p>
        </w:tc>
        <w:tc>
          <w:tcPr>
            <w:tcW w:w="1406" w:type="dxa"/>
            <w:tcMar>
              <w:top w:w="57" w:type="dxa"/>
              <w:left w:w="28" w:type="dxa"/>
              <w:bottom w:w="57" w:type="dxa"/>
              <w:right w:w="28" w:type="dxa"/>
            </w:tcMar>
            <w:vAlign w:val="center"/>
          </w:tcPr>
          <w:p w14:paraId="46E77CBB">
            <w:pPr>
              <w:spacing w:line="460" w:lineRule="atLeast"/>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说 明</w:t>
            </w:r>
          </w:p>
        </w:tc>
      </w:tr>
      <w:tr w14:paraId="7978B51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jc w:val="center"/>
        </w:trPr>
        <w:tc>
          <w:tcPr>
            <w:tcW w:w="692" w:type="dxa"/>
            <w:tcBorders>
              <w:bottom w:val="single" w:color="auto" w:sz="4" w:space="0"/>
            </w:tcBorders>
            <w:tcMar>
              <w:top w:w="57" w:type="dxa"/>
              <w:left w:w="28" w:type="dxa"/>
              <w:bottom w:w="57" w:type="dxa"/>
              <w:right w:w="28" w:type="dxa"/>
            </w:tcMar>
            <w:vAlign w:val="center"/>
          </w:tcPr>
          <w:p w14:paraId="1E9271D0">
            <w:pPr>
              <w:spacing w:line="460" w:lineRule="atLeast"/>
              <w:ind w:left="210" w:leftChars="100"/>
              <w:rPr>
                <w:rFonts w:hint="eastAsia" w:eastAsia="宋体"/>
                <w:color w:val="auto"/>
                <w:szCs w:val="21"/>
                <w:highlight w:val="none"/>
              </w:rPr>
            </w:pPr>
          </w:p>
        </w:tc>
        <w:tc>
          <w:tcPr>
            <w:tcW w:w="3074" w:type="dxa"/>
            <w:tcBorders>
              <w:bottom w:val="single" w:color="auto" w:sz="4" w:space="0"/>
            </w:tcBorders>
            <w:tcMar>
              <w:top w:w="57" w:type="dxa"/>
              <w:left w:w="28" w:type="dxa"/>
              <w:bottom w:w="57" w:type="dxa"/>
              <w:right w:w="28" w:type="dxa"/>
            </w:tcMar>
            <w:vAlign w:val="center"/>
          </w:tcPr>
          <w:p w14:paraId="73250343">
            <w:pPr>
              <w:spacing w:line="460" w:lineRule="atLeast"/>
              <w:ind w:left="210" w:leftChars="100"/>
              <w:rPr>
                <w:rFonts w:hint="eastAsia" w:eastAsia="宋体"/>
                <w:color w:val="auto"/>
                <w:szCs w:val="21"/>
                <w:highlight w:val="none"/>
              </w:rPr>
            </w:pPr>
          </w:p>
        </w:tc>
        <w:tc>
          <w:tcPr>
            <w:tcW w:w="2835" w:type="dxa"/>
            <w:tcBorders>
              <w:bottom w:val="single" w:color="auto" w:sz="4" w:space="0"/>
            </w:tcBorders>
            <w:tcMar>
              <w:top w:w="57" w:type="dxa"/>
              <w:left w:w="28" w:type="dxa"/>
              <w:bottom w:w="57" w:type="dxa"/>
              <w:right w:w="28" w:type="dxa"/>
            </w:tcMar>
            <w:vAlign w:val="center"/>
          </w:tcPr>
          <w:p w14:paraId="6DFB2536">
            <w:pPr>
              <w:spacing w:line="460" w:lineRule="atLeast"/>
              <w:ind w:left="210" w:leftChars="100"/>
              <w:rPr>
                <w:rFonts w:hint="eastAsia" w:eastAsia="宋体"/>
                <w:color w:val="auto"/>
                <w:szCs w:val="21"/>
                <w:highlight w:val="none"/>
              </w:rPr>
            </w:pPr>
          </w:p>
        </w:tc>
        <w:tc>
          <w:tcPr>
            <w:tcW w:w="1801" w:type="dxa"/>
            <w:tcBorders>
              <w:bottom w:val="single" w:color="auto" w:sz="4" w:space="0"/>
            </w:tcBorders>
            <w:tcMar>
              <w:top w:w="57" w:type="dxa"/>
              <w:left w:w="28" w:type="dxa"/>
              <w:bottom w:w="57" w:type="dxa"/>
              <w:right w:w="28" w:type="dxa"/>
            </w:tcMar>
            <w:vAlign w:val="center"/>
          </w:tcPr>
          <w:p w14:paraId="56CF7CD4">
            <w:pPr>
              <w:spacing w:line="460" w:lineRule="atLeast"/>
              <w:rPr>
                <w:rFonts w:hint="eastAsia" w:eastAsia="宋体"/>
                <w:color w:val="auto"/>
                <w:szCs w:val="21"/>
                <w:highlight w:val="none"/>
              </w:rPr>
            </w:pPr>
          </w:p>
        </w:tc>
        <w:tc>
          <w:tcPr>
            <w:tcW w:w="1406" w:type="dxa"/>
            <w:tcBorders>
              <w:bottom w:val="single" w:color="auto" w:sz="4" w:space="0"/>
            </w:tcBorders>
            <w:tcMar>
              <w:top w:w="57" w:type="dxa"/>
              <w:left w:w="28" w:type="dxa"/>
              <w:bottom w:w="57" w:type="dxa"/>
              <w:right w:w="28" w:type="dxa"/>
            </w:tcMar>
            <w:vAlign w:val="center"/>
          </w:tcPr>
          <w:p w14:paraId="70F4C6BA">
            <w:pPr>
              <w:spacing w:line="460" w:lineRule="atLeast"/>
              <w:ind w:left="210" w:leftChars="100"/>
              <w:rPr>
                <w:rFonts w:hint="eastAsia" w:eastAsia="宋体"/>
                <w:color w:val="auto"/>
                <w:szCs w:val="21"/>
                <w:highlight w:val="none"/>
              </w:rPr>
            </w:pPr>
          </w:p>
        </w:tc>
      </w:tr>
      <w:tr w14:paraId="49706AF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2" w:type="dxa"/>
            <w:tcMar>
              <w:top w:w="57" w:type="dxa"/>
              <w:left w:w="28" w:type="dxa"/>
              <w:bottom w:w="57" w:type="dxa"/>
              <w:right w:w="28" w:type="dxa"/>
            </w:tcMar>
            <w:vAlign w:val="center"/>
          </w:tcPr>
          <w:p w14:paraId="26C9414D">
            <w:pPr>
              <w:spacing w:line="460" w:lineRule="atLeast"/>
              <w:ind w:left="210" w:leftChars="100"/>
              <w:rPr>
                <w:rFonts w:hint="eastAsia" w:eastAsia="宋体"/>
                <w:color w:val="auto"/>
                <w:szCs w:val="21"/>
                <w:highlight w:val="none"/>
              </w:rPr>
            </w:pPr>
          </w:p>
        </w:tc>
        <w:tc>
          <w:tcPr>
            <w:tcW w:w="3074" w:type="dxa"/>
            <w:tcMar>
              <w:top w:w="57" w:type="dxa"/>
              <w:left w:w="28" w:type="dxa"/>
              <w:bottom w:w="57" w:type="dxa"/>
              <w:right w:w="28" w:type="dxa"/>
            </w:tcMar>
            <w:vAlign w:val="center"/>
          </w:tcPr>
          <w:p w14:paraId="11DAF520">
            <w:pPr>
              <w:spacing w:line="460" w:lineRule="atLeast"/>
              <w:ind w:left="210" w:leftChars="100"/>
              <w:rPr>
                <w:rFonts w:hint="eastAsia" w:eastAsia="宋体"/>
                <w:color w:val="auto"/>
                <w:szCs w:val="21"/>
                <w:highlight w:val="none"/>
              </w:rPr>
            </w:pPr>
          </w:p>
        </w:tc>
        <w:tc>
          <w:tcPr>
            <w:tcW w:w="2835" w:type="dxa"/>
            <w:tcMar>
              <w:top w:w="57" w:type="dxa"/>
              <w:left w:w="28" w:type="dxa"/>
              <w:bottom w:w="57" w:type="dxa"/>
              <w:right w:w="28" w:type="dxa"/>
            </w:tcMar>
            <w:vAlign w:val="center"/>
          </w:tcPr>
          <w:p w14:paraId="17FA9169">
            <w:pPr>
              <w:spacing w:line="460" w:lineRule="atLeast"/>
              <w:ind w:left="210" w:leftChars="100"/>
              <w:rPr>
                <w:rFonts w:hint="eastAsia" w:eastAsia="宋体"/>
                <w:color w:val="auto"/>
                <w:szCs w:val="21"/>
                <w:highlight w:val="none"/>
              </w:rPr>
            </w:pPr>
          </w:p>
        </w:tc>
        <w:tc>
          <w:tcPr>
            <w:tcW w:w="1801" w:type="dxa"/>
            <w:tcMar>
              <w:top w:w="57" w:type="dxa"/>
              <w:left w:w="28" w:type="dxa"/>
              <w:bottom w:w="57" w:type="dxa"/>
              <w:right w:w="28" w:type="dxa"/>
            </w:tcMar>
            <w:vAlign w:val="center"/>
          </w:tcPr>
          <w:p w14:paraId="02A9393F">
            <w:pPr>
              <w:spacing w:line="460" w:lineRule="atLeast"/>
              <w:rPr>
                <w:rFonts w:hint="eastAsia" w:eastAsia="宋体"/>
                <w:color w:val="auto"/>
                <w:szCs w:val="21"/>
                <w:highlight w:val="none"/>
              </w:rPr>
            </w:pPr>
          </w:p>
        </w:tc>
        <w:tc>
          <w:tcPr>
            <w:tcW w:w="1406" w:type="dxa"/>
            <w:tcMar>
              <w:top w:w="57" w:type="dxa"/>
              <w:left w:w="28" w:type="dxa"/>
              <w:bottom w:w="57" w:type="dxa"/>
              <w:right w:w="28" w:type="dxa"/>
            </w:tcMar>
            <w:vAlign w:val="center"/>
          </w:tcPr>
          <w:p w14:paraId="3105E008">
            <w:pPr>
              <w:spacing w:line="460" w:lineRule="atLeast"/>
              <w:ind w:left="210" w:leftChars="100"/>
              <w:rPr>
                <w:rFonts w:hint="eastAsia" w:eastAsia="宋体"/>
                <w:color w:val="auto"/>
                <w:szCs w:val="21"/>
                <w:highlight w:val="none"/>
              </w:rPr>
            </w:pPr>
          </w:p>
        </w:tc>
      </w:tr>
      <w:tr w14:paraId="2C140F7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2" w:type="dxa"/>
            <w:tcMar>
              <w:top w:w="57" w:type="dxa"/>
              <w:left w:w="28" w:type="dxa"/>
              <w:bottom w:w="57" w:type="dxa"/>
              <w:right w:w="28" w:type="dxa"/>
            </w:tcMar>
            <w:vAlign w:val="center"/>
          </w:tcPr>
          <w:p w14:paraId="78C3C72A">
            <w:pPr>
              <w:spacing w:line="460" w:lineRule="atLeast"/>
              <w:ind w:left="210" w:leftChars="100"/>
              <w:rPr>
                <w:rFonts w:hint="eastAsia" w:eastAsia="宋体"/>
                <w:color w:val="auto"/>
                <w:szCs w:val="21"/>
                <w:highlight w:val="none"/>
              </w:rPr>
            </w:pPr>
          </w:p>
        </w:tc>
        <w:tc>
          <w:tcPr>
            <w:tcW w:w="3074" w:type="dxa"/>
            <w:tcMar>
              <w:top w:w="57" w:type="dxa"/>
              <w:left w:w="28" w:type="dxa"/>
              <w:bottom w:w="57" w:type="dxa"/>
              <w:right w:w="28" w:type="dxa"/>
            </w:tcMar>
            <w:vAlign w:val="center"/>
          </w:tcPr>
          <w:p w14:paraId="09BC7CC3">
            <w:pPr>
              <w:spacing w:line="460" w:lineRule="atLeast"/>
              <w:ind w:left="210" w:leftChars="100"/>
              <w:rPr>
                <w:rFonts w:hint="eastAsia" w:eastAsia="宋体"/>
                <w:color w:val="auto"/>
                <w:szCs w:val="21"/>
                <w:highlight w:val="none"/>
              </w:rPr>
            </w:pPr>
          </w:p>
        </w:tc>
        <w:tc>
          <w:tcPr>
            <w:tcW w:w="2835" w:type="dxa"/>
            <w:tcMar>
              <w:top w:w="57" w:type="dxa"/>
              <w:left w:w="28" w:type="dxa"/>
              <w:bottom w:w="57" w:type="dxa"/>
              <w:right w:w="28" w:type="dxa"/>
            </w:tcMar>
            <w:vAlign w:val="center"/>
          </w:tcPr>
          <w:p w14:paraId="1F0B0AE6">
            <w:pPr>
              <w:spacing w:line="460" w:lineRule="atLeast"/>
              <w:ind w:left="210" w:leftChars="100"/>
              <w:rPr>
                <w:rFonts w:hint="eastAsia" w:eastAsia="宋体"/>
                <w:color w:val="auto"/>
                <w:szCs w:val="21"/>
                <w:highlight w:val="none"/>
              </w:rPr>
            </w:pPr>
          </w:p>
        </w:tc>
        <w:tc>
          <w:tcPr>
            <w:tcW w:w="1801" w:type="dxa"/>
            <w:tcMar>
              <w:top w:w="57" w:type="dxa"/>
              <w:left w:w="28" w:type="dxa"/>
              <w:bottom w:w="57" w:type="dxa"/>
              <w:right w:w="28" w:type="dxa"/>
            </w:tcMar>
            <w:vAlign w:val="center"/>
          </w:tcPr>
          <w:p w14:paraId="05ADED07">
            <w:pPr>
              <w:spacing w:line="460" w:lineRule="atLeast"/>
              <w:rPr>
                <w:rFonts w:hint="eastAsia" w:eastAsia="宋体"/>
                <w:color w:val="auto"/>
                <w:szCs w:val="21"/>
                <w:highlight w:val="none"/>
              </w:rPr>
            </w:pPr>
          </w:p>
        </w:tc>
        <w:tc>
          <w:tcPr>
            <w:tcW w:w="1406" w:type="dxa"/>
            <w:tcMar>
              <w:top w:w="57" w:type="dxa"/>
              <w:left w:w="28" w:type="dxa"/>
              <w:bottom w:w="57" w:type="dxa"/>
              <w:right w:w="28" w:type="dxa"/>
            </w:tcMar>
            <w:vAlign w:val="center"/>
          </w:tcPr>
          <w:p w14:paraId="7C6AE65A">
            <w:pPr>
              <w:spacing w:line="460" w:lineRule="atLeast"/>
              <w:ind w:left="210" w:leftChars="100"/>
              <w:rPr>
                <w:rFonts w:hint="eastAsia" w:eastAsia="宋体"/>
                <w:color w:val="auto"/>
                <w:szCs w:val="21"/>
                <w:highlight w:val="none"/>
              </w:rPr>
            </w:pPr>
          </w:p>
        </w:tc>
      </w:tr>
      <w:tr w14:paraId="0812C22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2" w:type="dxa"/>
            <w:tcMar>
              <w:top w:w="57" w:type="dxa"/>
              <w:left w:w="28" w:type="dxa"/>
              <w:bottom w:w="57" w:type="dxa"/>
              <w:right w:w="28" w:type="dxa"/>
            </w:tcMar>
            <w:vAlign w:val="center"/>
          </w:tcPr>
          <w:p w14:paraId="18A24357">
            <w:pPr>
              <w:spacing w:line="460" w:lineRule="atLeast"/>
              <w:ind w:left="210" w:leftChars="100"/>
              <w:rPr>
                <w:rFonts w:hint="eastAsia" w:eastAsia="宋体"/>
                <w:color w:val="auto"/>
                <w:szCs w:val="21"/>
                <w:highlight w:val="none"/>
              </w:rPr>
            </w:pPr>
          </w:p>
        </w:tc>
        <w:tc>
          <w:tcPr>
            <w:tcW w:w="3074" w:type="dxa"/>
            <w:tcMar>
              <w:top w:w="57" w:type="dxa"/>
              <w:left w:w="28" w:type="dxa"/>
              <w:bottom w:w="57" w:type="dxa"/>
              <w:right w:w="28" w:type="dxa"/>
            </w:tcMar>
            <w:vAlign w:val="center"/>
          </w:tcPr>
          <w:p w14:paraId="23FE24CB">
            <w:pPr>
              <w:spacing w:line="460" w:lineRule="atLeast"/>
              <w:ind w:left="210" w:leftChars="100"/>
              <w:rPr>
                <w:rFonts w:hint="eastAsia" w:eastAsia="宋体"/>
                <w:color w:val="auto"/>
                <w:szCs w:val="21"/>
                <w:highlight w:val="none"/>
              </w:rPr>
            </w:pPr>
          </w:p>
        </w:tc>
        <w:tc>
          <w:tcPr>
            <w:tcW w:w="2835" w:type="dxa"/>
            <w:tcMar>
              <w:top w:w="57" w:type="dxa"/>
              <w:left w:w="28" w:type="dxa"/>
              <w:bottom w:w="57" w:type="dxa"/>
              <w:right w:w="28" w:type="dxa"/>
            </w:tcMar>
            <w:vAlign w:val="center"/>
          </w:tcPr>
          <w:p w14:paraId="67D63E75">
            <w:pPr>
              <w:spacing w:line="460" w:lineRule="atLeast"/>
              <w:ind w:left="210" w:leftChars="100"/>
              <w:rPr>
                <w:rFonts w:hint="eastAsia" w:eastAsia="宋体"/>
                <w:color w:val="auto"/>
                <w:szCs w:val="21"/>
                <w:highlight w:val="none"/>
              </w:rPr>
            </w:pPr>
          </w:p>
        </w:tc>
        <w:tc>
          <w:tcPr>
            <w:tcW w:w="1801" w:type="dxa"/>
            <w:tcMar>
              <w:top w:w="57" w:type="dxa"/>
              <w:left w:w="28" w:type="dxa"/>
              <w:bottom w:w="57" w:type="dxa"/>
              <w:right w:w="28" w:type="dxa"/>
            </w:tcMar>
            <w:vAlign w:val="center"/>
          </w:tcPr>
          <w:p w14:paraId="21270FFB">
            <w:pPr>
              <w:spacing w:line="460" w:lineRule="atLeast"/>
              <w:rPr>
                <w:rFonts w:hint="eastAsia" w:eastAsia="宋体"/>
                <w:color w:val="auto"/>
                <w:szCs w:val="21"/>
                <w:highlight w:val="none"/>
              </w:rPr>
            </w:pPr>
          </w:p>
        </w:tc>
        <w:tc>
          <w:tcPr>
            <w:tcW w:w="1406" w:type="dxa"/>
            <w:tcMar>
              <w:top w:w="57" w:type="dxa"/>
              <w:left w:w="28" w:type="dxa"/>
              <w:bottom w:w="57" w:type="dxa"/>
              <w:right w:w="28" w:type="dxa"/>
            </w:tcMar>
            <w:vAlign w:val="center"/>
          </w:tcPr>
          <w:p w14:paraId="729CE539">
            <w:pPr>
              <w:spacing w:line="460" w:lineRule="atLeast"/>
              <w:ind w:left="210" w:leftChars="100"/>
              <w:rPr>
                <w:rFonts w:hint="eastAsia" w:eastAsia="宋体"/>
                <w:color w:val="auto"/>
                <w:szCs w:val="21"/>
                <w:highlight w:val="none"/>
              </w:rPr>
            </w:pPr>
          </w:p>
        </w:tc>
      </w:tr>
      <w:tr w14:paraId="765AFCE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2" w:type="dxa"/>
            <w:tcMar>
              <w:top w:w="57" w:type="dxa"/>
              <w:left w:w="28" w:type="dxa"/>
              <w:bottom w:w="57" w:type="dxa"/>
              <w:right w:w="28" w:type="dxa"/>
            </w:tcMar>
            <w:vAlign w:val="center"/>
          </w:tcPr>
          <w:p w14:paraId="52AE40BB">
            <w:pPr>
              <w:spacing w:line="460" w:lineRule="atLeast"/>
              <w:ind w:left="210" w:leftChars="100"/>
              <w:rPr>
                <w:rFonts w:hint="eastAsia" w:eastAsia="宋体"/>
                <w:color w:val="auto"/>
                <w:szCs w:val="21"/>
                <w:highlight w:val="none"/>
              </w:rPr>
            </w:pPr>
          </w:p>
        </w:tc>
        <w:tc>
          <w:tcPr>
            <w:tcW w:w="3074" w:type="dxa"/>
            <w:tcMar>
              <w:top w:w="57" w:type="dxa"/>
              <w:left w:w="28" w:type="dxa"/>
              <w:bottom w:w="57" w:type="dxa"/>
              <w:right w:w="28" w:type="dxa"/>
            </w:tcMar>
            <w:vAlign w:val="center"/>
          </w:tcPr>
          <w:p w14:paraId="01F6307C">
            <w:pPr>
              <w:spacing w:line="460" w:lineRule="atLeast"/>
              <w:ind w:left="210" w:leftChars="100"/>
              <w:rPr>
                <w:rFonts w:hint="eastAsia" w:eastAsia="宋体"/>
                <w:color w:val="auto"/>
                <w:szCs w:val="21"/>
                <w:highlight w:val="none"/>
              </w:rPr>
            </w:pPr>
          </w:p>
        </w:tc>
        <w:tc>
          <w:tcPr>
            <w:tcW w:w="2835" w:type="dxa"/>
            <w:tcMar>
              <w:top w:w="57" w:type="dxa"/>
              <w:left w:w="28" w:type="dxa"/>
              <w:bottom w:w="57" w:type="dxa"/>
              <w:right w:w="28" w:type="dxa"/>
            </w:tcMar>
            <w:vAlign w:val="center"/>
          </w:tcPr>
          <w:p w14:paraId="5CAEC3C3">
            <w:pPr>
              <w:spacing w:line="460" w:lineRule="atLeast"/>
              <w:ind w:left="210" w:leftChars="100"/>
              <w:rPr>
                <w:rFonts w:hint="eastAsia" w:eastAsia="宋体"/>
                <w:color w:val="auto"/>
                <w:szCs w:val="21"/>
                <w:highlight w:val="none"/>
              </w:rPr>
            </w:pPr>
          </w:p>
        </w:tc>
        <w:tc>
          <w:tcPr>
            <w:tcW w:w="1801" w:type="dxa"/>
            <w:tcMar>
              <w:top w:w="57" w:type="dxa"/>
              <w:left w:w="28" w:type="dxa"/>
              <w:bottom w:w="57" w:type="dxa"/>
              <w:right w:w="28" w:type="dxa"/>
            </w:tcMar>
            <w:vAlign w:val="center"/>
          </w:tcPr>
          <w:p w14:paraId="3798EAF5">
            <w:pPr>
              <w:spacing w:line="460" w:lineRule="atLeast"/>
              <w:rPr>
                <w:rFonts w:hint="eastAsia" w:eastAsia="宋体"/>
                <w:color w:val="auto"/>
                <w:szCs w:val="21"/>
                <w:highlight w:val="none"/>
              </w:rPr>
            </w:pPr>
          </w:p>
        </w:tc>
        <w:tc>
          <w:tcPr>
            <w:tcW w:w="1406" w:type="dxa"/>
            <w:tcMar>
              <w:top w:w="57" w:type="dxa"/>
              <w:left w:w="28" w:type="dxa"/>
              <w:bottom w:w="57" w:type="dxa"/>
              <w:right w:w="28" w:type="dxa"/>
            </w:tcMar>
            <w:vAlign w:val="center"/>
          </w:tcPr>
          <w:p w14:paraId="007A7EB1">
            <w:pPr>
              <w:spacing w:line="460" w:lineRule="atLeast"/>
              <w:ind w:left="210" w:leftChars="100"/>
              <w:rPr>
                <w:rFonts w:hint="eastAsia" w:eastAsia="宋体"/>
                <w:color w:val="auto"/>
                <w:szCs w:val="21"/>
                <w:highlight w:val="none"/>
              </w:rPr>
            </w:pPr>
          </w:p>
        </w:tc>
      </w:tr>
      <w:tr w14:paraId="5897BBA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2" w:type="dxa"/>
            <w:tcMar>
              <w:top w:w="57" w:type="dxa"/>
              <w:left w:w="28" w:type="dxa"/>
              <w:bottom w:w="57" w:type="dxa"/>
              <w:right w:w="28" w:type="dxa"/>
            </w:tcMar>
            <w:vAlign w:val="center"/>
          </w:tcPr>
          <w:p w14:paraId="1BA60BE2">
            <w:pPr>
              <w:spacing w:line="460" w:lineRule="atLeast"/>
              <w:ind w:left="210" w:leftChars="100"/>
              <w:rPr>
                <w:rFonts w:hint="eastAsia" w:eastAsia="宋体"/>
                <w:color w:val="auto"/>
                <w:szCs w:val="21"/>
                <w:highlight w:val="none"/>
              </w:rPr>
            </w:pPr>
          </w:p>
        </w:tc>
        <w:tc>
          <w:tcPr>
            <w:tcW w:w="3074" w:type="dxa"/>
            <w:tcMar>
              <w:top w:w="57" w:type="dxa"/>
              <w:left w:w="28" w:type="dxa"/>
              <w:bottom w:w="57" w:type="dxa"/>
              <w:right w:w="28" w:type="dxa"/>
            </w:tcMar>
            <w:vAlign w:val="center"/>
          </w:tcPr>
          <w:p w14:paraId="4C229ED0">
            <w:pPr>
              <w:spacing w:line="460" w:lineRule="atLeast"/>
              <w:ind w:left="210" w:leftChars="100"/>
              <w:rPr>
                <w:rFonts w:hint="eastAsia" w:eastAsia="宋体"/>
                <w:color w:val="auto"/>
                <w:szCs w:val="21"/>
                <w:highlight w:val="none"/>
              </w:rPr>
            </w:pPr>
          </w:p>
        </w:tc>
        <w:tc>
          <w:tcPr>
            <w:tcW w:w="2835" w:type="dxa"/>
            <w:tcMar>
              <w:top w:w="57" w:type="dxa"/>
              <w:left w:w="28" w:type="dxa"/>
              <w:bottom w:w="57" w:type="dxa"/>
              <w:right w:w="28" w:type="dxa"/>
            </w:tcMar>
            <w:vAlign w:val="center"/>
          </w:tcPr>
          <w:p w14:paraId="673376DD">
            <w:pPr>
              <w:spacing w:line="460" w:lineRule="atLeast"/>
              <w:ind w:left="210" w:leftChars="100"/>
              <w:rPr>
                <w:rFonts w:hint="eastAsia" w:eastAsia="宋体"/>
                <w:color w:val="auto"/>
                <w:szCs w:val="21"/>
                <w:highlight w:val="none"/>
              </w:rPr>
            </w:pPr>
          </w:p>
        </w:tc>
        <w:tc>
          <w:tcPr>
            <w:tcW w:w="1801" w:type="dxa"/>
            <w:tcMar>
              <w:top w:w="57" w:type="dxa"/>
              <w:left w:w="28" w:type="dxa"/>
              <w:bottom w:w="57" w:type="dxa"/>
              <w:right w:w="28" w:type="dxa"/>
            </w:tcMar>
            <w:vAlign w:val="center"/>
          </w:tcPr>
          <w:p w14:paraId="3C63EC4E">
            <w:pPr>
              <w:spacing w:line="460" w:lineRule="atLeast"/>
              <w:rPr>
                <w:rFonts w:hint="eastAsia" w:eastAsia="宋体"/>
                <w:color w:val="auto"/>
                <w:szCs w:val="21"/>
                <w:highlight w:val="none"/>
              </w:rPr>
            </w:pPr>
          </w:p>
        </w:tc>
        <w:tc>
          <w:tcPr>
            <w:tcW w:w="1406" w:type="dxa"/>
            <w:tcMar>
              <w:top w:w="57" w:type="dxa"/>
              <w:left w:w="28" w:type="dxa"/>
              <w:bottom w:w="57" w:type="dxa"/>
              <w:right w:w="28" w:type="dxa"/>
            </w:tcMar>
            <w:vAlign w:val="center"/>
          </w:tcPr>
          <w:p w14:paraId="606D3504">
            <w:pPr>
              <w:spacing w:line="460" w:lineRule="atLeast"/>
              <w:ind w:left="210" w:leftChars="100"/>
              <w:rPr>
                <w:rFonts w:hint="eastAsia" w:eastAsia="宋体"/>
                <w:color w:val="auto"/>
                <w:szCs w:val="21"/>
                <w:highlight w:val="none"/>
              </w:rPr>
            </w:pPr>
          </w:p>
        </w:tc>
      </w:tr>
      <w:tr w14:paraId="220C029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2" w:type="dxa"/>
            <w:tcMar>
              <w:top w:w="57" w:type="dxa"/>
              <w:left w:w="28" w:type="dxa"/>
              <w:bottom w:w="57" w:type="dxa"/>
              <w:right w:w="28" w:type="dxa"/>
            </w:tcMar>
            <w:vAlign w:val="center"/>
          </w:tcPr>
          <w:p w14:paraId="5006263E">
            <w:pPr>
              <w:spacing w:line="460" w:lineRule="atLeast"/>
              <w:ind w:left="210" w:leftChars="100"/>
              <w:rPr>
                <w:rFonts w:hint="eastAsia" w:eastAsia="宋体"/>
                <w:color w:val="auto"/>
                <w:szCs w:val="21"/>
                <w:highlight w:val="none"/>
              </w:rPr>
            </w:pPr>
          </w:p>
        </w:tc>
        <w:tc>
          <w:tcPr>
            <w:tcW w:w="3074" w:type="dxa"/>
            <w:tcMar>
              <w:top w:w="57" w:type="dxa"/>
              <w:left w:w="28" w:type="dxa"/>
              <w:bottom w:w="57" w:type="dxa"/>
              <w:right w:w="28" w:type="dxa"/>
            </w:tcMar>
            <w:vAlign w:val="center"/>
          </w:tcPr>
          <w:p w14:paraId="16F6040C">
            <w:pPr>
              <w:spacing w:line="460" w:lineRule="atLeast"/>
              <w:ind w:left="210" w:leftChars="100"/>
              <w:rPr>
                <w:rFonts w:hint="eastAsia" w:eastAsia="宋体"/>
                <w:color w:val="auto"/>
                <w:szCs w:val="21"/>
                <w:highlight w:val="none"/>
              </w:rPr>
            </w:pPr>
          </w:p>
        </w:tc>
        <w:tc>
          <w:tcPr>
            <w:tcW w:w="2835" w:type="dxa"/>
            <w:tcMar>
              <w:top w:w="57" w:type="dxa"/>
              <w:left w:w="28" w:type="dxa"/>
              <w:bottom w:w="57" w:type="dxa"/>
              <w:right w:w="28" w:type="dxa"/>
            </w:tcMar>
            <w:vAlign w:val="center"/>
          </w:tcPr>
          <w:p w14:paraId="77060CEF">
            <w:pPr>
              <w:spacing w:line="460" w:lineRule="atLeast"/>
              <w:ind w:left="210" w:leftChars="100"/>
              <w:rPr>
                <w:rFonts w:hint="eastAsia" w:eastAsia="宋体"/>
                <w:color w:val="auto"/>
                <w:szCs w:val="21"/>
                <w:highlight w:val="none"/>
              </w:rPr>
            </w:pPr>
          </w:p>
        </w:tc>
        <w:tc>
          <w:tcPr>
            <w:tcW w:w="1801" w:type="dxa"/>
            <w:tcMar>
              <w:top w:w="57" w:type="dxa"/>
              <w:left w:w="28" w:type="dxa"/>
              <w:bottom w:w="57" w:type="dxa"/>
              <w:right w:w="28" w:type="dxa"/>
            </w:tcMar>
            <w:vAlign w:val="center"/>
          </w:tcPr>
          <w:p w14:paraId="3E2B1F17">
            <w:pPr>
              <w:spacing w:line="460" w:lineRule="atLeast"/>
              <w:rPr>
                <w:rFonts w:hint="eastAsia" w:eastAsia="宋体"/>
                <w:color w:val="auto"/>
                <w:szCs w:val="21"/>
                <w:highlight w:val="none"/>
              </w:rPr>
            </w:pPr>
          </w:p>
        </w:tc>
        <w:tc>
          <w:tcPr>
            <w:tcW w:w="1406" w:type="dxa"/>
            <w:tcMar>
              <w:top w:w="57" w:type="dxa"/>
              <w:left w:w="28" w:type="dxa"/>
              <w:bottom w:w="57" w:type="dxa"/>
              <w:right w:w="28" w:type="dxa"/>
            </w:tcMar>
            <w:vAlign w:val="center"/>
          </w:tcPr>
          <w:p w14:paraId="17548F59">
            <w:pPr>
              <w:spacing w:line="460" w:lineRule="atLeast"/>
              <w:ind w:left="210" w:leftChars="100"/>
              <w:rPr>
                <w:rFonts w:hint="eastAsia" w:eastAsia="宋体"/>
                <w:color w:val="auto"/>
                <w:szCs w:val="21"/>
                <w:highlight w:val="none"/>
              </w:rPr>
            </w:pPr>
          </w:p>
        </w:tc>
      </w:tr>
      <w:tr w14:paraId="0D2FB45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692" w:type="dxa"/>
            <w:tcBorders>
              <w:bottom w:val="single" w:color="auto" w:sz="4" w:space="0"/>
            </w:tcBorders>
            <w:tcMar>
              <w:top w:w="57" w:type="dxa"/>
              <w:left w:w="28" w:type="dxa"/>
              <w:bottom w:w="57" w:type="dxa"/>
              <w:right w:w="28" w:type="dxa"/>
            </w:tcMar>
            <w:vAlign w:val="center"/>
          </w:tcPr>
          <w:p w14:paraId="41CBB8EA">
            <w:pPr>
              <w:spacing w:line="460" w:lineRule="atLeast"/>
              <w:ind w:left="210" w:leftChars="100"/>
              <w:rPr>
                <w:rFonts w:hint="eastAsia" w:eastAsia="宋体"/>
                <w:color w:val="auto"/>
                <w:szCs w:val="21"/>
                <w:highlight w:val="none"/>
              </w:rPr>
            </w:pPr>
          </w:p>
        </w:tc>
        <w:tc>
          <w:tcPr>
            <w:tcW w:w="3074" w:type="dxa"/>
            <w:tcBorders>
              <w:bottom w:val="single" w:color="auto" w:sz="4" w:space="0"/>
            </w:tcBorders>
            <w:tcMar>
              <w:top w:w="57" w:type="dxa"/>
              <w:left w:w="28" w:type="dxa"/>
              <w:bottom w:w="57" w:type="dxa"/>
              <w:right w:w="28" w:type="dxa"/>
            </w:tcMar>
            <w:vAlign w:val="center"/>
          </w:tcPr>
          <w:p w14:paraId="3F81B7FC">
            <w:pPr>
              <w:spacing w:line="460" w:lineRule="atLeast"/>
              <w:ind w:left="210" w:leftChars="100"/>
              <w:rPr>
                <w:rFonts w:hint="eastAsia" w:eastAsia="宋体"/>
                <w:color w:val="auto"/>
                <w:szCs w:val="21"/>
                <w:highlight w:val="none"/>
              </w:rPr>
            </w:pPr>
          </w:p>
        </w:tc>
        <w:tc>
          <w:tcPr>
            <w:tcW w:w="2835" w:type="dxa"/>
            <w:tcBorders>
              <w:bottom w:val="single" w:color="auto" w:sz="4" w:space="0"/>
            </w:tcBorders>
            <w:tcMar>
              <w:top w:w="57" w:type="dxa"/>
              <w:left w:w="28" w:type="dxa"/>
              <w:bottom w:w="57" w:type="dxa"/>
              <w:right w:w="28" w:type="dxa"/>
            </w:tcMar>
            <w:vAlign w:val="center"/>
          </w:tcPr>
          <w:p w14:paraId="6E7C0341">
            <w:pPr>
              <w:spacing w:line="460" w:lineRule="atLeast"/>
              <w:ind w:left="210" w:leftChars="100"/>
              <w:rPr>
                <w:rFonts w:hint="eastAsia" w:eastAsia="宋体"/>
                <w:color w:val="auto"/>
                <w:szCs w:val="21"/>
                <w:highlight w:val="none"/>
              </w:rPr>
            </w:pPr>
          </w:p>
        </w:tc>
        <w:tc>
          <w:tcPr>
            <w:tcW w:w="1801" w:type="dxa"/>
            <w:tcBorders>
              <w:bottom w:val="single" w:color="auto" w:sz="4" w:space="0"/>
            </w:tcBorders>
            <w:tcMar>
              <w:top w:w="57" w:type="dxa"/>
              <w:left w:w="28" w:type="dxa"/>
              <w:bottom w:w="57" w:type="dxa"/>
              <w:right w:w="28" w:type="dxa"/>
            </w:tcMar>
            <w:vAlign w:val="center"/>
          </w:tcPr>
          <w:p w14:paraId="2695C41C">
            <w:pPr>
              <w:spacing w:line="460" w:lineRule="atLeast"/>
              <w:rPr>
                <w:rFonts w:hint="eastAsia" w:eastAsia="宋体"/>
                <w:color w:val="auto"/>
                <w:szCs w:val="21"/>
                <w:highlight w:val="none"/>
              </w:rPr>
            </w:pPr>
          </w:p>
        </w:tc>
        <w:tc>
          <w:tcPr>
            <w:tcW w:w="1406" w:type="dxa"/>
            <w:tcBorders>
              <w:bottom w:val="single" w:color="auto" w:sz="4" w:space="0"/>
            </w:tcBorders>
            <w:tcMar>
              <w:top w:w="57" w:type="dxa"/>
              <w:left w:w="28" w:type="dxa"/>
              <w:bottom w:w="57" w:type="dxa"/>
              <w:right w:w="28" w:type="dxa"/>
            </w:tcMar>
            <w:vAlign w:val="center"/>
          </w:tcPr>
          <w:p w14:paraId="5A912470">
            <w:pPr>
              <w:spacing w:line="460" w:lineRule="atLeast"/>
              <w:ind w:left="210" w:leftChars="100"/>
              <w:rPr>
                <w:rFonts w:hint="eastAsia" w:eastAsia="宋体"/>
                <w:color w:val="auto"/>
                <w:szCs w:val="21"/>
                <w:highlight w:val="none"/>
              </w:rPr>
            </w:pPr>
          </w:p>
        </w:tc>
      </w:tr>
      <w:tr w14:paraId="3092C6F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2" w:type="dxa"/>
            <w:tcMar>
              <w:top w:w="57" w:type="dxa"/>
              <w:left w:w="28" w:type="dxa"/>
              <w:bottom w:w="57" w:type="dxa"/>
              <w:right w:w="28" w:type="dxa"/>
            </w:tcMar>
            <w:vAlign w:val="center"/>
          </w:tcPr>
          <w:p w14:paraId="7A26CE76">
            <w:pPr>
              <w:spacing w:line="460" w:lineRule="atLeast"/>
              <w:ind w:left="210" w:leftChars="100"/>
              <w:rPr>
                <w:rFonts w:hint="eastAsia" w:eastAsia="宋体"/>
                <w:color w:val="auto"/>
                <w:szCs w:val="21"/>
                <w:highlight w:val="none"/>
              </w:rPr>
            </w:pPr>
          </w:p>
        </w:tc>
        <w:tc>
          <w:tcPr>
            <w:tcW w:w="3074" w:type="dxa"/>
            <w:tcMar>
              <w:top w:w="57" w:type="dxa"/>
              <w:left w:w="28" w:type="dxa"/>
              <w:bottom w:w="57" w:type="dxa"/>
              <w:right w:w="28" w:type="dxa"/>
            </w:tcMar>
            <w:vAlign w:val="center"/>
          </w:tcPr>
          <w:p w14:paraId="3DCB890B">
            <w:pPr>
              <w:spacing w:line="460" w:lineRule="atLeast"/>
              <w:ind w:left="210" w:leftChars="100"/>
              <w:rPr>
                <w:rFonts w:hint="eastAsia" w:eastAsia="宋体"/>
                <w:color w:val="auto"/>
                <w:szCs w:val="21"/>
                <w:highlight w:val="none"/>
              </w:rPr>
            </w:pPr>
          </w:p>
        </w:tc>
        <w:tc>
          <w:tcPr>
            <w:tcW w:w="2835" w:type="dxa"/>
            <w:tcMar>
              <w:top w:w="57" w:type="dxa"/>
              <w:left w:w="28" w:type="dxa"/>
              <w:bottom w:w="57" w:type="dxa"/>
              <w:right w:w="28" w:type="dxa"/>
            </w:tcMar>
            <w:vAlign w:val="center"/>
          </w:tcPr>
          <w:p w14:paraId="44552E5B">
            <w:pPr>
              <w:spacing w:line="460" w:lineRule="atLeast"/>
              <w:ind w:left="210" w:leftChars="100"/>
              <w:rPr>
                <w:rFonts w:hint="eastAsia" w:eastAsia="宋体"/>
                <w:color w:val="auto"/>
                <w:szCs w:val="21"/>
                <w:highlight w:val="none"/>
              </w:rPr>
            </w:pPr>
          </w:p>
        </w:tc>
        <w:tc>
          <w:tcPr>
            <w:tcW w:w="1801" w:type="dxa"/>
            <w:tcMar>
              <w:top w:w="57" w:type="dxa"/>
              <w:left w:w="28" w:type="dxa"/>
              <w:bottom w:w="57" w:type="dxa"/>
              <w:right w:w="28" w:type="dxa"/>
            </w:tcMar>
            <w:vAlign w:val="center"/>
          </w:tcPr>
          <w:p w14:paraId="12E03E37">
            <w:pPr>
              <w:spacing w:line="460" w:lineRule="atLeast"/>
              <w:rPr>
                <w:rFonts w:hint="eastAsia" w:eastAsia="宋体"/>
                <w:color w:val="auto"/>
                <w:szCs w:val="21"/>
                <w:highlight w:val="none"/>
              </w:rPr>
            </w:pPr>
          </w:p>
        </w:tc>
        <w:tc>
          <w:tcPr>
            <w:tcW w:w="1406" w:type="dxa"/>
            <w:tcMar>
              <w:top w:w="57" w:type="dxa"/>
              <w:left w:w="28" w:type="dxa"/>
              <w:bottom w:w="57" w:type="dxa"/>
              <w:right w:w="28" w:type="dxa"/>
            </w:tcMar>
            <w:vAlign w:val="center"/>
          </w:tcPr>
          <w:p w14:paraId="3FBF7FB3">
            <w:pPr>
              <w:spacing w:line="460" w:lineRule="atLeast"/>
              <w:ind w:left="210" w:leftChars="100"/>
              <w:rPr>
                <w:rFonts w:hint="eastAsia" w:eastAsia="宋体"/>
                <w:color w:val="auto"/>
                <w:szCs w:val="21"/>
                <w:highlight w:val="none"/>
              </w:rPr>
            </w:pPr>
          </w:p>
        </w:tc>
      </w:tr>
    </w:tbl>
    <w:p w14:paraId="09E738B7">
      <w:pPr>
        <w:spacing w:line="46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说明：请按对应磋商文件的“第五章 磋商内容及采购要求”中的技术要求认真填写本表。偏离情况填写：“优于、等于或低于”。如有优于请在说明栏写明“优于”的详细情况。</w:t>
      </w:r>
    </w:p>
    <w:p w14:paraId="06776F32">
      <w:pPr>
        <w:spacing w:line="460" w:lineRule="atLeast"/>
        <w:ind w:firstLine="422" w:firstLineChars="20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如供应商完全响应磋商文件中规定的技术要求和条件，上栏可不填写，但本页必须满足签字或盖章要求。</w:t>
      </w:r>
    </w:p>
    <w:p w14:paraId="2EF172CF">
      <w:pPr>
        <w:spacing w:line="460" w:lineRule="atLeast"/>
        <w:ind w:firstLine="420" w:firstLineChars="200"/>
        <w:rPr>
          <w:rFonts w:hint="eastAsia" w:eastAsia="宋体"/>
          <w:color w:val="auto"/>
          <w:szCs w:val="21"/>
          <w:highlight w:val="none"/>
        </w:rPr>
      </w:pPr>
    </w:p>
    <w:p w14:paraId="7FCE3807">
      <w:pPr>
        <w:spacing w:line="460" w:lineRule="atLeast"/>
        <w:ind w:firstLine="420" w:firstLineChars="200"/>
        <w:rPr>
          <w:rFonts w:hint="eastAsia" w:eastAsia="宋体"/>
          <w:color w:val="auto"/>
          <w:szCs w:val="21"/>
          <w:highlight w:val="none"/>
        </w:rPr>
      </w:pPr>
      <w:r>
        <w:rPr>
          <w:rFonts w:eastAsia="宋体"/>
          <w:color w:val="auto"/>
          <w:szCs w:val="21"/>
          <w:highlight w:val="none"/>
        </w:rPr>
        <w:t>供应商（盖章）：</w:t>
      </w:r>
    </w:p>
    <w:p w14:paraId="254853AA">
      <w:pPr>
        <w:spacing w:line="460" w:lineRule="atLeast"/>
        <w:ind w:firstLine="420" w:firstLineChars="200"/>
        <w:rPr>
          <w:rFonts w:hint="eastAsia" w:eastAsia="宋体"/>
          <w:color w:val="auto"/>
          <w:szCs w:val="21"/>
          <w:highlight w:val="none"/>
        </w:rPr>
      </w:pPr>
      <w:r>
        <w:rPr>
          <w:rFonts w:eastAsia="宋体"/>
          <w:color w:val="auto"/>
          <w:szCs w:val="21"/>
          <w:highlight w:val="none"/>
        </w:rPr>
        <w:t>法人代表或委托代理人（签字或盖章）：</w:t>
      </w:r>
    </w:p>
    <w:p w14:paraId="62BE629E">
      <w:pPr>
        <w:spacing w:line="460" w:lineRule="atLeast"/>
        <w:ind w:firstLine="420" w:firstLineChars="200"/>
        <w:rPr>
          <w:rFonts w:hint="eastAsia" w:eastAsia="宋体"/>
          <w:color w:val="auto"/>
          <w:szCs w:val="21"/>
          <w:highlight w:val="none"/>
        </w:rPr>
      </w:pPr>
      <w:r>
        <w:rPr>
          <w:rFonts w:eastAsia="宋体"/>
          <w:color w:val="auto"/>
          <w:szCs w:val="21"/>
          <w:highlight w:val="none"/>
        </w:rPr>
        <w:t>日期：       年      月      日</w:t>
      </w:r>
    </w:p>
    <w:p w14:paraId="3CDA3AA3">
      <w:pPr>
        <w:spacing w:line="460" w:lineRule="atLeast"/>
        <w:ind w:firstLine="420" w:firstLineChars="200"/>
        <w:rPr>
          <w:rFonts w:hint="eastAsia" w:eastAsia="宋体"/>
          <w:color w:val="auto"/>
          <w:szCs w:val="21"/>
          <w:highlight w:val="none"/>
          <w:u w:val="single"/>
        </w:rPr>
      </w:pPr>
    </w:p>
    <w:p w14:paraId="1B0866FE">
      <w:pPr>
        <w:spacing w:line="460" w:lineRule="atLeast"/>
        <w:ind w:firstLine="420" w:firstLineChars="200"/>
        <w:rPr>
          <w:rFonts w:hint="eastAsia" w:eastAsia="宋体"/>
          <w:color w:val="auto"/>
          <w:szCs w:val="21"/>
          <w:highlight w:val="none"/>
          <w:u w:val="single"/>
        </w:rPr>
      </w:pPr>
    </w:p>
    <w:p w14:paraId="2C63E7B4">
      <w:pPr>
        <w:spacing w:line="460" w:lineRule="atLeast"/>
        <w:ind w:firstLine="420" w:firstLineChars="200"/>
        <w:rPr>
          <w:rFonts w:hint="eastAsia" w:eastAsia="宋体"/>
          <w:color w:val="auto"/>
          <w:szCs w:val="21"/>
          <w:highlight w:val="none"/>
          <w:u w:val="single"/>
        </w:rPr>
      </w:pPr>
    </w:p>
    <w:bookmarkEnd w:id="93"/>
    <w:p w14:paraId="56E62E96">
      <w:pPr>
        <w:pStyle w:val="3"/>
        <w:spacing w:line="460" w:lineRule="atLeast"/>
        <w:jc w:val="both"/>
        <w:rPr>
          <w:rFonts w:hint="eastAsia" w:ascii="宋体" w:hAnsi="宋体" w:cs="宋体"/>
          <w:bCs w:val="0"/>
          <w:color w:val="auto"/>
          <w:szCs w:val="22"/>
          <w:highlight w:val="none"/>
        </w:rPr>
      </w:pPr>
      <w:bookmarkStart w:id="94" w:name="_Toc13947"/>
      <w:bookmarkStart w:id="95" w:name="_Toc12096"/>
      <w:bookmarkStart w:id="96" w:name="_Toc519191550"/>
      <w:bookmarkStart w:id="97" w:name="_Toc98250307"/>
      <w:bookmarkStart w:id="98" w:name="_Toc500142217"/>
      <w:bookmarkStart w:id="99" w:name="_Toc17456612"/>
      <w:bookmarkStart w:id="100" w:name="_Toc458437949"/>
      <w:bookmarkStart w:id="101" w:name="_Toc1927"/>
      <w:bookmarkStart w:id="102" w:name="_Toc522110439"/>
      <w:bookmarkStart w:id="103" w:name="_Toc47418938"/>
      <w:bookmarkStart w:id="104" w:name="_Toc47418731"/>
      <w:bookmarkStart w:id="105" w:name="_Toc194663925"/>
      <w:bookmarkStart w:id="106" w:name="_Toc193187104"/>
      <w:bookmarkStart w:id="107" w:name="_Toc458437950"/>
      <w:bookmarkStart w:id="108" w:name="_Toc49019236"/>
      <w:bookmarkStart w:id="109" w:name="_Toc193126888"/>
      <w:bookmarkStart w:id="110" w:name="_Hlk6831997"/>
      <w:bookmarkStart w:id="111" w:name="_Toc47261690"/>
      <w:bookmarkStart w:id="112" w:name="_Toc47418255"/>
      <w:bookmarkStart w:id="113" w:name="_Toc49019497"/>
      <w:bookmarkStart w:id="114" w:name="_Toc48995851"/>
      <w:bookmarkStart w:id="115" w:name="_Toc47261885"/>
      <w:bookmarkStart w:id="116" w:name="_Toc48791235"/>
      <w:bookmarkStart w:id="117" w:name="_Toc188808839"/>
      <w:bookmarkStart w:id="118" w:name="_Toc47262069"/>
      <w:bookmarkStart w:id="119" w:name="_Hlk35544149"/>
      <w:r>
        <w:rPr>
          <w:rFonts w:hint="eastAsia" w:ascii="宋体" w:hAnsi="宋体" w:cs="宋体"/>
          <w:bCs w:val="0"/>
          <w:color w:val="auto"/>
          <w:szCs w:val="22"/>
          <w:highlight w:val="none"/>
        </w:rPr>
        <w:t>（3）商务条款响应偏离表（格式）</w:t>
      </w:r>
      <w:bookmarkEnd w:id="94"/>
      <w:bookmarkEnd w:id="95"/>
      <w:bookmarkEnd w:id="96"/>
      <w:bookmarkEnd w:id="97"/>
      <w:bookmarkEnd w:id="98"/>
      <w:bookmarkEnd w:id="99"/>
      <w:bookmarkEnd w:id="100"/>
      <w:bookmarkEnd w:id="101"/>
      <w:bookmarkEnd w:id="102"/>
    </w:p>
    <w:p w14:paraId="57961FC2">
      <w:pPr>
        <w:spacing w:line="460" w:lineRule="atLeast"/>
        <w:ind w:left="210" w:leftChars="100"/>
        <w:rPr>
          <w:rFonts w:hint="eastAsia" w:eastAsia="宋体"/>
          <w:b/>
          <w:bCs/>
          <w:color w:val="auto"/>
          <w:szCs w:val="21"/>
          <w:highlight w:val="none"/>
        </w:rPr>
      </w:pPr>
    </w:p>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p w14:paraId="354D4B91">
      <w:pPr>
        <w:spacing w:line="460" w:lineRule="atLeast"/>
        <w:ind w:left="210" w:leftChars="100"/>
        <w:jc w:val="center"/>
        <w:rPr>
          <w:rFonts w:hint="eastAsia" w:eastAsia="宋体" w:cs="仿宋_GB2312"/>
          <w:b/>
          <w:bCs/>
          <w:color w:val="auto"/>
          <w:sz w:val="36"/>
          <w:szCs w:val="21"/>
          <w:highlight w:val="none"/>
        </w:rPr>
      </w:pPr>
      <w:r>
        <w:rPr>
          <w:rFonts w:hint="eastAsia" w:eastAsia="宋体" w:cs="仿宋_GB2312"/>
          <w:b/>
          <w:bCs/>
          <w:color w:val="auto"/>
          <w:sz w:val="36"/>
          <w:szCs w:val="21"/>
          <w:highlight w:val="none"/>
        </w:rPr>
        <w:t>商务条款响应偏离表</w:t>
      </w:r>
    </w:p>
    <w:p w14:paraId="7158B757">
      <w:pPr>
        <w:spacing w:line="460" w:lineRule="atLeast"/>
        <w:jc w:val="left"/>
        <w:rPr>
          <w:rFonts w:hint="eastAsia" w:eastAsia="宋体" w:cs="仿宋_GB2312"/>
          <w:color w:val="auto"/>
          <w:sz w:val="28"/>
          <w:szCs w:val="28"/>
          <w:highlight w:val="none"/>
        </w:rPr>
      </w:pPr>
      <w:r>
        <w:rPr>
          <w:rFonts w:eastAsia="宋体"/>
          <w:color w:val="auto"/>
          <w:szCs w:val="21"/>
          <w:highlight w:val="none"/>
        </w:rPr>
        <w:t>供应商名称：</w:t>
      </w:r>
      <w:r>
        <w:rPr>
          <w:rFonts w:eastAsia="宋体"/>
          <w:color w:val="auto"/>
          <w:szCs w:val="21"/>
          <w:highlight w:val="none"/>
          <w:u w:val="single"/>
        </w:rPr>
        <w:t xml:space="preserve">             </w:t>
      </w:r>
      <w:r>
        <w:rPr>
          <w:rFonts w:eastAsia="宋体"/>
          <w:color w:val="auto"/>
          <w:szCs w:val="21"/>
          <w:highlight w:val="none"/>
        </w:rPr>
        <w:t xml:space="preserve">            </w:t>
      </w:r>
    </w:p>
    <w:tbl>
      <w:tblPr>
        <w:tblStyle w:val="23"/>
        <w:tblW w:w="9605"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9"/>
        <w:gridCol w:w="3066"/>
        <w:gridCol w:w="2472"/>
        <w:gridCol w:w="1715"/>
        <w:gridCol w:w="1493"/>
      </w:tblGrid>
      <w:tr w14:paraId="246169A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9" w:type="dxa"/>
            <w:tcMar>
              <w:top w:w="57" w:type="dxa"/>
              <w:left w:w="28" w:type="dxa"/>
              <w:bottom w:w="57" w:type="dxa"/>
              <w:right w:w="28" w:type="dxa"/>
            </w:tcMar>
            <w:vAlign w:val="center"/>
          </w:tcPr>
          <w:p w14:paraId="737E7140">
            <w:pPr>
              <w:spacing w:line="460" w:lineRule="atLeast"/>
              <w:ind w:left="-97" w:leftChars="-46"/>
              <w:jc w:val="center"/>
              <w:rPr>
                <w:rFonts w:hint="eastAsia" w:eastAsia="宋体" w:cs="仿宋_GB2312"/>
                <w:b/>
                <w:color w:val="auto"/>
                <w:sz w:val="22"/>
                <w:highlight w:val="none"/>
              </w:rPr>
            </w:pPr>
            <w:r>
              <w:rPr>
                <w:rFonts w:hint="eastAsia" w:eastAsia="宋体" w:cs="仿宋_GB2312"/>
                <w:b/>
                <w:color w:val="auto"/>
                <w:sz w:val="22"/>
                <w:highlight w:val="none"/>
              </w:rPr>
              <w:t xml:space="preserve"> 序号</w:t>
            </w:r>
          </w:p>
        </w:tc>
        <w:tc>
          <w:tcPr>
            <w:tcW w:w="3066" w:type="dxa"/>
            <w:tcMar>
              <w:top w:w="57" w:type="dxa"/>
              <w:left w:w="28" w:type="dxa"/>
              <w:bottom w:w="57" w:type="dxa"/>
              <w:right w:w="28" w:type="dxa"/>
            </w:tcMar>
            <w:vAlign w:val="center"/>
          </w:tcPr>
          <w:p w14:paraId="54CB8CC6">
            <w:pPr>
              <w:spacing w:line="460" w:lineRule="atLeast"/>
              <w:ind w:left="210" w:leftChars="100"/>
              <w:jc w:val="center"/>
              <w:rPr>
                <w:rFonts w:hint="eastAsia" w:eastAsia="宋体" w:cs="仿宋_GB2312"/>
                <w:b/>
                <w:color w:val="auto"/>
                <w:sz w:val="22"/>
                <w:highlight w:val="none"/>
              </w:rPr>
            </w:pPr>
            <w:r>
              <w:rPr>
                <w:rFonts w:hint="eastAsia" w:eastAsia="宋体" w:cs="仿宋_GB2312"/>
                <w:b/>
                <w:color w:val="auto"/>
                <w:sz w:val="22"/>
                <w:highlight w:val="none"/>
              </w:rPr>
              <w:t>磋商文件</w:t>
            </w:r>
          </w:p>
          <w:p w14:paraId="1FE470C2">
            <w:pPr>
              <w:spacing w:line="460" w:lineRule="atLeast"/>
              <w:ind w:left="210" w:leftChars="100"/>
              <w:jc w:val="center"/>
              <w:rPr>
                <w:rFonts w:hint="eastAsia" w:eastAsia="宋体" w:cs="仿宋_GB2312"/>
                <w:b/>
                <w:color w:val="auto"/>
                <w:sz w:val="22"/>
                <w:highlight w:val="none"/>
              </w:rPr>
            </w:pPr>
            <w:r>
              <w:rPr>
                <w:rFonts w:hint="eastAsia" w:eastAsia="宋体" w:cs="仿宋_GB2312"/>
                <w:b/>
                <w:color w:val="auto"/>
                <w:sz w:val="22"/>
                <w:highlight w:val="none"/>
              </w:rPr>
              <w:t>商务要求</w:t>
            </w:r>
          </w:p>
        </w:tc>
        <w:tc>
          <w:tcPr>
            <w:tcW w:w="2472" w:type="dxa"/>
            <w:tcMar>
              <w:top w:w="57" w:type="dxa"/>
              <w:left w:w="28" w:type="dxa"/>
              <w:bottom w:w="57" w:type="dxa"/>
              <w:right w:w="28" w:type="dxa"/>
            </w:tcMar>
            <w:vAlign w:val="center"/>
          </w:tcPr>
          <w:p w14:paraId="19C67A60">
            <w:pPr>
              <w:spacing w:line="460" w:lineRule="atLeast"/>
              <w:ind w:left="210" w:leftChars="100"/>
              <w:jc w:val="center"/>
              <w:rPr>
                <w:rFonts w:hint="eastAsia" w:eastAsia="宋体" w:cs="仿宋_GB2312"/>
                <w:b/>
                <w:color w:val="auto"/>
                <w:sz w:val="22"/>
                <w:highlight w:val="none"/>
              </w:rPr>
            </w:pPr>
            <w:r>
              <w:rPr>
                <w:rFonts w:hint="eastAsia" w:eastAsia="宋体" w:cs="仿宋_GB2312"/>
                <w:b/>
                <w:color w:val="auto"/>
                <w:sz w:val="22"/>
                <w:highlight w:val="none"/>
              </w:rPr>
              <w:t>响应文件</w:t>
            </w:r>
          </w:p>
          <w:p w14:paraId="6E517BAE">
            <w:pPr>
              <w:spacing w:line="460" w:lineRule="atLeast"/>
              <w:ind w:left="210" w:leftChars="100"/>
              <w:jc w:val="center"/>
              <w:rPr>
                <w:rFonts w:hint="eastAsia" w:eastAsia="宋体" w:cs="仿宋_GB2312"/>
                <w:b/>
                <w:color w:val="auto"/>
                <w:sz w:val="22"/>
                <w:highlight w:val="none"/>
              </w:rPr>
            </w:pPr>
            <w:r>
              <w:rPr>
                <w:rFonts w:hint="eastAsia" w:eastAsia="宋体" w:cs="仿宋_GB2312"/>
                <w:b/>
                <w:color w:val="auto"/>
                <w:sz w:val="22"/>
                <w:highlight w:val="none"/>
              </w:rPr>
              <w:t>商务响应</w:t>
            </w:r>
          </w:p>
        </w:tc>
        <w:tc>
          <w:tcPr>
            <w:tcW w:w="1715" w:type="dxa"/>
            <w:tcMar>
              <w:top w:w="57" w:type="dxa"/>
              <w:left w:w="28" w:type="dxa"/>
              <w:bottom w:w="57" w:type="dxa"/>
              <w:right w:w="28" w:type="dxa"/>
            </w:tcMar>
            <w:vAlign w:val="center"/>
          </w:tcPr>
          <w:p w14:paraId="4702B500">
            <w:pPr>
              <w:spacing w:line="460" w:lineRule="atLeast"/>
              <w:ind w:left="210" w:leftChars="100"/>
              <w:jc w:val="center"/>
              <w:rPr>
                <w:rFonts w:hint="eastAsia" w:eastAsia="宋体" w:cs="仿宋_GB2312"/>
                <w:b/>
                <w:color w:val="auto"/>
                <w:sz w:val="22"/>
                <w:highlight w:val="none"/>
              </w:rPr>
            </w:pPr>
            <w:r>
              <w:rPr>
                <w:rFonts w:hint="eastAsia" w:eastAsia="宋体" w:cs="仿宋_GB2312"/>
                <w:b/>
                <w:color w:val="auto"/>
                <w:sz w:val="22"/>
                <w:highlight w:val="none"/>
              </w:rPr>
              <w:t>偏离情况</w:t>
            </w:r>
          </w:p>
        </w:tc>
        <w:tc>
          <w:tcPr>
            <w:tcW w:w="1493" w:type="dxa"/>
            <w:vAlign w:val="center"/>
          </w:tcPr>
          <w:p w14:paraId="4DE6A554">
            <w:pPr>
              <w:spacing w:line="460" w:lineRule="atLeast"/>
              <w:ind w:left="210" w:leftChars="100"/>
              <w:jc w:val="center"/>
              <w:rPr>
                <w:rFonts w:hint="eastAsia" w:eastAsia="宋体" w:cs="仿宋_GB2312"/>
                <w:b/>
                <w:color w:val="auto"/>
                <w:sz w:val="22"/>
                <w:highlight w:val="none"/>
              </w:rPr>
            </w:pPr>
            <w:r>
              <w:rPr>
                <w:rFonts w:hint="eastAsia" w:eastAsia="宋体" w:cs="仿宋_GB2312"/>
                <w:b/>
                <w:color w:val="auto"/>
                <w:sz w:val="22"/>
                <w:highlight w:val="none"/>
              </w:rPr>
              <w:t>说明</w:t>
            </w:r>
          </w:p>
        </w:tc>
      </w:tr>
      <w:tr w14:paraId="4EB5CB4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859" w:type="dxa"/>
            <w:tcBorders>
              <w:bottom w:val="single" w:color="auto" w:sz="4" w:space="0"/>
            </w:tcBorders>
            <w:tcMar>
              <w:top w:w="57" w:type="dxa"/>
              <w:left w:w="28" w:type="dxa"/>
              <w:bottom w:w="57" w:type="dxa"/>
              <w:right w:w="28" w:type="dxa"/>
            </w:tcMar>
            <w:vAlign w:val="center"/>
          </w:tcPr>
          <w:p w14:paraId="481FC360">
            <w:pPr>
              <w:spacing w:line="460" w:lineRule="atLeast"/>
              <w:ind w:left="210" w:leftChars="100"/>
              <w:rPr>
                <w:rFonts w:hint="eastAsia" w:eastAsia="宋体" w:cs="仿宋_GB2312"/>
                <w:color w:val="auto"/>
                <w:sz w:val="28"/>
                <w:szCs w:val="28"/>
                <w:highlight w:val="none"/>
              </w:rPr>
            </w:pPr>
          </w:p>
        </w:tc>
        <w:tc>
          <w:tcPr>
            <w:tcW w:w="3066" w:type="dxa"/>
            <w:tcBorders>
              <w:bottom w:val="single" w:color="auto" w:sz="4" w:space="0"/>
            </w:tcBorders>
            <w:tcMar>
              <w:top w:w="57" w:type="dxa"/>
              <w:left w:w="28" w:type="dxa"/>
              <w:bottom w:w="57" w:type="dxa"/>
              <w:right w:w="28" w:type="dxa"/>
            </w:tcMar>
            <w:vAlign w:val="center"/>
          </w:tcPr>
          <w:p w14:paraId="05971631">
            <w:pPr>
              <w:adjustRightInd w:val="0"/>
              <w:snapToGrid w:val="0"/>
              <w:spacing w:line="460" w:lineRule="atLeast"/>
              <w:rPr>
                <w:rFonts w:hint="eastAsia" w:eastAsia="宋体"/>
                <w:color w:val="auto"/>
                <w:szCs w:val="21"/>
                <w:highlight w:val="none"/>
              </w:rPr>
            </w:pPr>
          </w:p>
        </w:tc>
        <w:tc>
          <w:tcPr>
            <w:tcW w:w="2472" w:type="dxa"/>
            <w:tcBorders>
              <w:bottom w:val="single" w:color="auto" w:sz="4" w:space="0"/>
            </w:tcBorders>
            <w:tcMar>
              <w:top w:w="57" w:type="dxa"/>
              <w:left w:w="28" w:type="dxa"/>
              <w:bottom w:w="57" w:type="dxa"/>
              <w:right w:w="28" w:type="dxa"/>
            </w:tcMar>
            <w:vAlign w:val="center"/>
          </w:tcPr>
          <w:p w14:paraId="103B00E3">
            <w:pPr>
              <w:spacing w:line="460" w:lineRule="atLeast"/>
              <w:ind w:left="210" w:leftChars="100"/>
              <w:rPr>
                <w:rFonts w:hint="eastAsia" w:eastAsia="宋体" w:cs="仿宋_GB2312"/>
                <w:color w:val="auto"/>
                <w:sz w:val="28"/>
                <w:szCs w:val="28"/>
                <w:highlight w:val="none"/>
              </w:rPr>
            </w:pPr>
          </w:p>
        </w:tc>
        <w:tc>
          <w:tcPr>
            <w:tcW w:w="1715" w:type="dxa"/>
            <w:tcBorders>
              <w:bottom w:val="single" w:color="auto" w:sz="4" w:space="0"/>
            </w:tcBorders>
            <w:tcMar>
              <w:top w:w="57" w:type="dxa"/>
              <w:left w:w="28" w:type="dxa"/>
              <w:bottom w:w="57" w:type="dxa"/>
              <w:right w:w="28" w:type="dxa"/>
            </w:tcMar>
            <w:vAlign w:val="center"/>
          </w:tcPr>
          <w:p w14:paraId="429DC8F3">
            <w:pPr>
              <w:spacing w:line="460" w:lineRule="atLeast"/>
              <w:ind w:left="210" w:leftChars="100"/>
              <w:rPr>
                <w:rFonts w:hint="eastAsia" w:eastAsia="宋体" w:cs="仿宋_GB2312"/>
                <w:color w:val="auto"/>
                <w:sz w:val="28"/>
                <w:szCs w:val="28"/>
                <w:highlight w:val="none"/>
              </w:rPr>
            </w:pPr>
          </w:p>
        </w:tc>
        <w:tc>
          <w:tcPr>
            <w:tcW w:w="1493" w:type="dxa"/>
            <w:tcBorders>
              <w:bottom w:val="single" w:color="auto" w:sz="4" w:space="0"/>
            </w:tcBorders>
            <w:vAlign w:val="center"/>
          </w:tcPr>
          <w:p w14:paraId="3A32ECDE">
            <w:pPr>
              <w:spacing w:line="460" w:lineRule="atLeast"/>
              <w:ind w:left="210" w:leftChars="100"/>
              <w:rPr>
                <w:rFonts w:hint="eastAsia" w:eastAsia="宋体" w:cs="仿宋_GB2312"/>
                <w:color w:val="auto"/>
                <w:sz w:val="28"/>
                <w:szCs w:val="28"/>
                <w:highlight w:val="none"/>
              </w:rPr>
            </w:pPr>
          </w:p>
        </w:tc>
      </w:tr>
      <w:tr w14:paraId="22978F1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859" w:type="dxa"/>
            <w:tcBorders>
              <w:bottom w:val="single" w:color="auto" w:sz="4" w:space="0"/>
            </w:tcBorders>
            <w:tcMar>
              <w:top w:w="57" w:type="dxa"/>
              <w:left w:w="28" w:type="dxa"/>
              <w:bottom w:w="57" w:type="dxa"/>
              <w:right w:w="28" w:type="dxa"/>
            </w:tcMar>
            <w:vAlign w:val="center"/>
          </w:tcPr>
          <w:p w14:paraId="2F443956">
            <w:pPr>
              <w:spacing w:line="460" w:lineRule="atLeast"/>
              <w:ind w:left="210" w:leftChars="100"/>
              <w:rPr>
                <w:rFonts w:hint="eastAsia" w:eastAsia="宋体" w:cs="仿宋_GB2312"/>
                <w:color w:val="auto"/>
                <w:sz w:val="28"/>
                <w:szCs w:val="28"/>
                <w:highlight w:val="none"/>
              </w:rPr>
            </w:pPr>
          </w:p>
        </w:tc>
        <w:tc>
          <w:tcPr>
            <w:tcW w:w="3066" w:type="dxa"/>
            <w:tcBorders>
              <w:bottom w:val="single" w:color="auto" w:sz="4" w:space="0"/>
            </w:tcBorders>
            <w:tcMar>
              <w:top w:w="57" w:type="dxa"/>
              <w:left w:w="28" w:type="dxa"/>
              <w:bottom w:w="57" w:type="dxa"/>
              <w:right w:w="28" w:type="dxa"/>
            </w:tcMar>
            <w:vAlign w:val="center"/>
          </w:tcPr>
          <w:p w14:paraId="67586A36">
            <w:pPr>
              <w:adjustRightInd w:val="0"/>
              <w:snapToGrid w:val="0"/>
              <w:spacing w:line="460" w:lineRule="atLeast"/>
              <w:ind w:left="1"/>
              <w:rPr>
                <w:rFonts w:hint="eastAsia" w:eastAsia="宋体" w:cs="仿宋_GB2312"/>
                <w:color w:val="auto"/>
                <w:sz w:val="28"/>
                <w:szCs w:val="28"/>
                <w:highlight w:val="none"/>
              </w:rPr>
            </w:pPr>
          </w:p>
        </w:tc>
        <w:tc>
          <w:tcPr>
            <w:tcW w:w="2472" w:type="dxa"/>
            <w:tcBorders>
              <w:bottom w:val="single" w:color="auto" w:sz="4" w:space="0"/>
            </w:tcBorders>
            <w:tcMar>
              <w:top w:w="57" w:type="dxa"/>
              <w:left w:w="28" w:type="dxa"/>
              <w:bottom w:w="57" w:type="dxa"/>
              <w:right w:w="28" w:type="dxa"/>
            </w:tcMar>
            <w:vAlign w:val="center"/>
          </w:tcPr>
          <w:p w14:paraId="45EF8EE1">
            <w:pPr>
              <w:spacing w:line="460" w:lineRule="atLeast"/>
              <w:ind w:left="210" w:leftChars="100"/>
              <w:rPr>
                <w:rFonts w:hint="eastAsia" w:eastAsia="宋体" w:cs="仿宋_GB2312"/>
                <w:color w:val="auto"/>
                <w:sz w:val="28"/>
                <w:szCs w:val="28"/>
                <w:highlight w:val="none"/>
              </w:rPr>
            </w:pPr>
          </w:p>
        </w:tc>
        <w:tc>
          <w:tcPr>
            <w:tcW w:w="1715" w:type="dxa"/>
            <w:tcBorders>
              <w:bottom w:val="single" w:color="auto" w:sz="4" w:space="0"/>
            </w:tcBorders>
            <w:tcMar>
              <w:top w:w="57" w:type="dxa"/>
              <w:left w:w="28" w:type="dxa"/>
              <w:bottom w:w="57" w:type="dxa"/>
              <w:right w:w="28" w:type="dxa"/>
            </w:tcMar>
            <w:vAlign w:val="center"/>
          </w:tcPr>
          <w:p w14:paraId="124931D8">
            <w:pPr>
              <w:spacing w:line="460" w:lineRule="atLeast"/>
              <w:ind w:left="210" w:leftChars="100"/>
              <w:rPr>
                <w:rFonts w:hint="eastAsia" w:eastAsia="宋体" w:cs="仿宋_GB2312"/>
                <w:color w:val="auto"/>
                <w:sz w:val="28"/>
                <w:szCs w:val="28"/>
                <w:highlight w:val="none"/>
              </w:rPr>
            </w:pPr>
          </w:p>
        </w:tc>
        <w:tc>
          <w:tcPr>
            <w:tcW w:w="1493" w:type="dxa"/>
            <w:tcBorders>
              <w:bottom w:val="single" w:color="auto" w:sz="4" w:space="0"/>
            </w:tcBorders>
            <w:vAlign w:val="center"/>
          </w:tcPr>
          <w:p w14:paraId="1D09F8B9">
            <w:pPr>
              <w:spacing w:line="460" w:lineRule="atLeast"/>
              <w:ind w:left="210" w:leftChars="100"/>
              <w:rPr>
                <w:rFonts w:hint="eastAsia" w:eastAsia="宋体" w:cs="仿宋_GB2312"/>
                <w:color w:val="auto"/>
                <w:sz w:val="28"/>
                <w:szCs w:val="28"/>
                <w:highlight w:val="none"/>
              </w:rPr>
            </w:pPr>
          </w:p>
        </w:tc>
      </w:tr>
      <w:tr w14:paraId="5F9C82C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9" w:type="dxa"/>
            <w:tcMar>
              <w:top w:w="57" w:type="dxa"/>
              <w:left w:w="28" w:type="dxa"/>
              <w:bottom w:w="57" w:type="dxa"/>
              <w:right w:w="28" w:type="dxa"/>
            </w:tcMar>
            <w:vAlign w:val="center"/>
          </w:tcPr>
          <w:p w14:paraId="2B598D45">
            <w:pPr>
              <w:spacing w:line="460" w:lineRule="atLeast"/>
              <w:ind w:left="210" w:leftChars="100"/>
              <w:rPr>
                <w:rFonts w:hint="eastAsia" w:eastAsia="宋体" w:cs="仿宋_GB2312"/>
                <w:color w:val="auto"/>
                <w:sz w:val="28"/>
                <w:szCs w:val="28"/>
                <w:highlight w:val="none"/>
              </w:rPr>
            </w:pPr>
          </w:p>
        </w:tc>
        <w:tc>
          <w:tcPr>
            <w:tcW w:w="3066" w:type="dxa"/>
            <w:tcMar>
              <w:top w:w="57" w:type="dxa"/>
              <w:left w:w="28" w:type="dxa"/>
              <w:bottom w:w="57" w:type="dxa"/>
              <w:right w:w="28" w:type="dxa"/>
            </w:tcMar>
            <w:vAlign w:val="center"/>
          </w:tcPr>
          <w:p w14:paraId="258D6C15">
            <w:pPr>
              <w:adjustRightInd w:val="0"/>
              <w:snapToGrid w:val="0"/>
              <w:spacing w:line="460" w:lineRule="atLeast"/>
              <w:rPr>
                <w:rFonts w:hint="eastAsia" w:eastAsia="宋体" w:cs="仿宋_GB2312"/>
                <w:color w:val="auto"/>
                <w:sz w:val="28"/>
                <w:szCs w:val="28"/>
                <w:highlight w:val="none"/>
              </w:rPr>
            </w:pPr>
          </w:p>
        </w:tc>
        <w:tc>
          <w:tcPr>
            <w:tcW w:w="2472" w:type="dxa"/>
            <w:tcMar>
              <w:top w:w="57" w:type="dxa"/>
              <w:left w:w="28" w:type="dxa"/>
              <w:bottom w:w="57" w:type="dxa"/>
              <w:right w:w="28" w:type="dxa"/>
            </w:tcMar>
            <w:vAlign w:val="center"/>
          </w:tcPr>
          <w:p w14:paraId="3D781734">
            <w:pPr>
              <w:spacing w:line="460" w:lineRule="atLeast"/>
              <w:ind w:left="210" w:leftChars="100"/>
              <w:rPr>
                <w:rFonts w:hint="eastAsia" w:eastAsia="宋体" w:cs="仿宋_GB2312"/>
                <w:color w:val="auto"/>
                <w:sz w:val="28"/>
                <w:szCs w:val="28"/>
                <w:highlight w:val="none"/>
              </w:rPr>
            </w:pPr>
          </w:p>
        </w:tc>
        <w:tc>
          <w:tcPr>
            <w:tcW w:w="1715" w:type="dxa"/>
            <w:tcMar>
              <w:top w:w="57" w:type="dxa"/>
              <w:left w:w="28" w:type="dxa"/>
              <w:bottom w:w="57" w:type="dxa"/>
              <w:right w:w="28" w:type="dxa"/>
            </w:tcMar>
            <w:vAlign w:val="center"/>
          </w:tcPr>
          <w:p w14:paraId="431EFADC">
            <w:pPr>
              <w:spacing w:line="460" w:lineRule="atLeast"/>
              <w:ind w:left="210" w:leftChars="100"/>
              <w:rPr>
                <w:rFonts w:hint="eastAsia" w:eastAsia="宋体" w:cs="仿宋_GB2312"/>
                <w:color w:val="auto"/>
                <w:sz w:val="28"/>
                <w:szCs w:val="28"/>
                <w:highlight w:val="none"/>
              </w:rPr>
            </w:pPr>
          </w:p>
        </w:tc>
        <w:tc>
          <w:tcPr>
            <w:tcW w:w="1493" w:type="dxa"/>
            <w:vAlign w:val="center"/>
          </w:tcPr>
          <w:p w14:paraId="168AA304">
            <w:pPr>
              <w:spacing w:line="460" w:lineRule="atLeast"/>
              <w:ind w:left="210" w:leftChars="100"/>
              <w:rPr>
                <w:rFonts w:hint="eastAsia" w:eastAsia="宋体" w:cs="仿宋_GB2312"/>
                <w:color w:val="auto"/>
                <w:sz w:val="28"/>
                <w:szCs w:val="28"/>
                <w:highlight w:val="none"/>
              </w:rPr>
            </w:pPr>
          </w:p>
        </w:tc>
      </w:tr>
      <w:tr w14:paraId="29BC082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9" w:type="dxa"/>
            <w:tcMar>
              <w:top w:w="57" w:type="dxa"/>
              <w:left w:w="28" w:type="dxa"/>
              <w:bottom w:w="57" w:type="dxa"/>
              <w:right w:w="28" w:type="dxa"/>
            </w:tcMar>
            <w:vAlign w:val="center"/>
          </w:tcPr>
          <w:p w14:paraId="1252F513">
            <w:pPr>
              <w:spacing w:line="460" w:lineRule="atLeast"/>
              <w:ind w:left="210" w:leftChars="100"/>
              <w:rPr>
                <w:rFonts w:hint="eastAsia" w:eastAsia="宋体" w:cs="仿宋_GB2312"/>
                <w:color w:val="auto"/>
                <w:sz w:val="28"/>
                <w:szCs w:val="28"/>
                <w:highlight w:val="none"/>
              </w:rPr>
            </w:pPr>
          </w:p>
        </w:tc>
        <w:tc>
          <w:tcPr>
            <w:tcW w:w="3066" w:type="dxa"/>
            <w:tcMar>
              <w:top w:w="57" w:type="dxa"/>
              <w:left w:w="28" w:type="dxa"/>
              <w:bottom w:w="57" w:type="dxa"/>
              <w:right w:w="28" w:type="dxa"/>
            </w:tcMar>
            <w:vAlign w:val="center"/>
          </w:tcPr>
          <w:p w14:paraId="1390A462">
            <w:pPr>
              <w:adjustRightInd w:val="0"/>
              <w:snapToGrid w:val="0"/>
              <w:spacing w:line="460" w:lineRule="atLeast"/>
              <w:rPr>
                <w:rFonts w:hint="eastAsia" w:eastAsia="宋体"/>
                <w:color w:val="auto"/>
                <w:szCs w:val="21"/>
                <w:highlight w:val="none"/>
              </w:rPr>
            </w:pPr>
          </w:p>
        </w:tc>
        <w:tc>
          <w:tcPr>
            <w:tcW w:w="2472" w:type="dxa"/>
            <w:tcMar>
              <w:top w:w="57" w:type="dxa"/>
              <w:left w:w="28" w:type="dxa"/>
              <w:bottom w:w="57" w:type="dxa"/>
              <w:right w:w="28" w:type="dxa"/>
            </w:tcMar>
            <w:vAlign w:val="center"/>
          </w:tcPr>
          <w:p w14:paraId="2EFF0C35">
            <w:pPr>
              <w:spacing w:line="460" w:lineRule="atLeast"/>
              <w:ind w:left="210" w:leftChars="100"/>
              <w:rPr>
                <w:rFonts w:hint="eastAsia" w:eastAsia="宋体" w:cs="仿宋_GB2312"/>
                <w:color w:val="auto"/>
                <w:sz w:val="28"/>
                <w:szCs w:val="28"/>
                <w:highlight w:val="none"/>
              </w:rPr>
            </w:pPr>
          </w:p>
        </w:tc>
        <w:tc>
          <w:tcPr>
            <w:tcW w:w="1715" w:type="dxa"/>
            <w:tcMar>
              <w:top w:w="57" w:type="dxa"/>
              <w:left w:w="28" w:type="dxa"/>
              <w:bottom w:w="57" w:type="dxa"/>
              <w:right w:w="28" w:type="dxa"/>
            </w:tcMar>
            <w:vAlign w:val="center"/>
          </w:tcPr>
          <w:p w14:paraId="09842779">
            <w:pPr>
              <w:spacing w:line="460" w:lineRule="atLeast"/>
              <w:ind w:left="210" w:leftChars="100"/>
              <w:rPr>
                <w:rFonts w:hint="eastAsia" w:eastAsia="宋体" w:cs="仿宋_GB2312"/>
                <w:color w:val="auto"/>
                <w:sz w:val="28"/>
                <w:szCs w:val="28"/>
                <w:highlight w:val="none"/>
              </w:rPr>
            </w:pPr>
          </w:p>
        </w:tc>
        <w:tc>
          <w:tcPr>
            <w:tcW w:w="1493" w:type="dxa"/>
            <w:vAlign w:val="center"/>
          </w:tcPr>
          <w:p w14:paraId="2DEAF4BF">
            <w:pPr>
              <w:spacing w:line="460" w:lineRule="atLeast"/>
              <w:ind w:left="210" w:leftChars="100"/>
              <w:rPr>
                <w:rFonts w:hint="eastAsia" w:eastAsia="宋体" w:cs="仿宋_GB2312"/>
                <w:color w:val="auto"/>
                <w:sz w:val="28"/>
                <w:szCs w:val="28"/>
                <w:highlight w:val="none"/>
              </w:rPr>
            </w:pPr>
          </w:p>
        </w:tc>
      </w:tr>
      <w:tr w14:paraId="644C178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9" w:type="dxa"/>
            <w:tcMar>
              <w:top w:w="57" w:type="dxa"/>
              <w:left w:w="28" w:type="dxa"/>
              <w:bottom w:w="57" w:type="dxa"/>
              <w:right w:w="28" w:type="dxa"/>
            </w:tcMar>
            <w:vAlign w:val="center"/>
          </w:tcPr>
          <w:p w14:paraId="2D925016">
            <w:pPr>
              <w:spacing w:line="460" w:lineRule="atLeast"/>
              <w:ind w:left="210" w:leftChars="100"/>
              <w:rPr>
                <w:rFonts w:hint="eastAsia" w:eastAsia="宋体" w:cs="仿宋_GB2312"/>
                <w:color w:val="auto"/>
                <w:sz w:val="28"/>
                <w:szCs w:val="28"/>
                <w:highlight w:val="none"/>
              </w:rPr>
            </w:pPr>
          </w:p>
        </w:tc>
        <w:tc>
          <w:tcPr>
            <w:tcW w:w="3066" w:type="dxa"/>
            <w:tcMar>
              <w:top w:w="57" w:type="dxa"/>
              <w:left w:w="28" w:type="dxa"/>
              <w:bottom w:w="57" w:type="dxa"/>
              <w:right w:w="28" w:type="dxa"/>
            </w:tcMar>
            <w:vAlign w:val="center"/>
          </w:tcPr>
          <w:p w14:paraId="61171623">
            <w:pPr>
              <w:adjustRightInd w:val="0"/>
              <w:snapToGrid w:val="0"/>
              <w:spacing w:line="460" w:lineRule="atLeast"/>
              <w:rPr>
                <w:rFonts w:hint="eastAsia" w:eastAsia="宋体"/>
                <w:color w:val="auto"/>
                <w:szCs w:val="21"/>
                <w:highlight w:val="none"/>
              </w:rPr>
            </w:pPr>
          </w:p>
        </w:tc>
        <w:tc>
          <w:tcPr>
            <w:tcW w:w="2472" w:type="dxa"/>
            <w:tcMar>
              <w:top w:w="57" w:type="dxa"/>
              <w:left w:w="28" w:type="dxa"/>
              <w:bottom w:w="57" w:type="dxa"/>
              <w:right w:w="28" w:type="dxa"/>
            </w:tcMar>
            <w:vAlign w:val="center"/>
          </w:tcPr>
          <w:p w14:paraId="4DB914C1">
            <w:pPr>
              <w:spacing w:line="460" w:lineRule="atLeast"/>
              <w:ind w:left="210" w:leftChars="100"/>
              <w:rPr>
                <w:rFonts w:hint="eastAsia" w:eastAsia="宋体" w:cs="仿宋_GB2312"/>
                <w:color w:val="auto"/>
                <w:sz w:val="28"/>
                <w:szCs w:val="28"/>
                <w:highlight w:val="none"/>
              </w:rPr>
            </w:pPr>
          </w:p>
        </w:tc>
        <w:tc>
          <w:tcPr>
            <w:tcW w:w="1715" w:type="dxa"/>
            <w:tcMar>
              <w:top w:w="57" w:type="dxa"/>
              <w:left w:w="28" w:type="dxa"/>
              <w:bottom w:w="57" w:type="dxa"/>
              <w:right w:w="28" w:type="dxa"/>
            </w:tcMar>
            <w:vAlign w:val="center"/>
          </w:tcPr>
          <w:p w14:paraId="505E1A5C">
            <w:pPr>
              <w:spacing w:line="460" w:lineRule="atLeast"/>
              <w:ind w:left="210" w:leftChars="100"/>
              <w:rPr>
                <w:rFonts w:hint="eastAsia" w:eastAsia="宋体" w:cs="仿宋_GB2312"/>
                <w:color w:val="auto"/>
                <w:sz w:val="28"/>
                <w:szCs w:val="28"/>
                <w:highlight w:val="none"/>
              </w:rPr>
            </w:pPr>
          </w:p>
        </w:tc>
        <w:tc>
          <w:tcPr>
            <w:tcW w:w="1493" w:type="dxa"/>
            <w:vAlign w:val="center"/>
          </w:tcPr>
          <w:p w14:paraId="45262AFD">
            <w:pPr>
              <w:spacing w:line="460" w:lineRule="atLeast"/>
              <w:ind w:left="210" w:leftChars="100"/>
              <w:rPr>
                <w:rFonts w:hint="eastAsia" w:eastAsia="宋体" w:cs="仿宋_GB2312"/>
                <w:color w:val="auto"/>
                <w:sz w:val="28"/>
                <w:szCs w:val="28"/>
                <w:highlight w:val="none"/>
              </w:rPr>
            </w:pPr>
          </w:p>
        </w:tc>
      </w:tr>
      <w:tr w14:paraId="2AE17C9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9" w:type="dxa"/>
            <w:tcMar>
              <w:top w:w="57" w:type="dxa"/>
              <w:left w:w="28" w:type="dxa"/>
              <w:bottom w:w="57" w:type="dxa"/>
              <w:right w:w="28" w:type="dxa"/>
            </w:tcMar>
            <w:vAlign w:val="center"/>
          </w:tcPr>
          <w:p w14:paraId="562EA9C5">
            <w:pPr>
              <w:spacing w:line="460" w:lineRule="atLeast"/>
              <w:ind w:left="210" w:leftChars="100"/>
              <w:rPr>
                <w:rFonts w:hint="eastAsia" w:eastAsia="宋体" w:cs="仿宋_GB2312"/>
                <w:color w:val="auto"/>
                <w:sz w:val="28"/>
                <w:szCs w:val="28"/>
                <w:highlight w:val="none"/>
              </w:rPr>
            </w:pPr>
          </w:p>
        </w:tc>
        <w:tc>
          <w:tcPr>
            <w:tcW w:w="3066" w:type="dxa"/>
            <w:tcMar>
              <w:top w:w="57" w:type="dxa"/>
              <w:left w:w="28" w:type="dxa"/>
              <w:bottom w:w="57" w:type="dxa"/>
              <w:right w:w="28" w:type="dxa"/>
            </w:tcMar>
            <w:vAlign w:val="center"/>
          </w:tcPr>
          <w:p w14:paraId="5733D8B6">
            <w:pPr>
              <w:spacing w:line="460" w:lineRule="atLeast"/>
              <w:rPr>
                <w:rFonts w:hint="eastAsia" w:eastAsia="宋体" w:cs="仿宋_GB2312"/>
                <w:color w:val="auto"/>
                <w:sz w:val="28"/>
                <w:szCs w:val="28"/>
                <w:highlight w:val="none"/>
              </w:rPr>
            </w:pPr>
          </w:p>
        </w:tc>
        <w:tc>
          <w:tcPr>
            <w:tcW w:w="2472" w:type="dxa"/>
            <w:tcMar>
              <w:top w:w="57" w:type="dxa"/>
              <w:left w:w="28" w:type="dxa"/>
              <w:bottom w:w="57" w:type="dxa"/>
              <w:right w:w="28" w:type="dxa"/>
            </w:tcMar>
            <w:vAlign w:val="center"/>
          </w:tcPr>
          <w:p w14:paraId="7B0D9867">
            <w:pPr>
              <w:spacing w:line="460" w:lineRule="atLeast"/>
              <w:ind w:left="210" w:leftChars="100"/>
              <w:rPr>
                <w:rFonts w:hint="eastAsia" w:eastAsia="宋体" w:cs="仿宋_GB2312"/>
                <w:color w:val="auto"/>
                <w:sz w:val="28"/>
                <w:szCs w:val="28"/>
                <w:highlight w:val="none"/>
              </w:rPr>
            </w:pPr>
          </w:p>
        </w:tc>
        <w:tc>
          <w:tcPr>
            <w:tcW w:w="1715" w:type="dxa"/>
            <w:tcMar>
              <w:top w:w="57" w:type="dxa"/>
              <w:left w:w="28" w:type="dxa"/>
              <w:bottom w:w="57" w:type="dxa"/>
              <w:right w:w="28" w:type="dxa"/>
            </w:tcMar>
            <w:vAlign w:val="center"/>
          </w:tcPr>
          <w:p w14:paraId="539CA2E6">
            <w:pPr>
              <w:spacing w:line="460" w:lineRule="atLeast"/>
              <w:ind w:left="210" w:leftChars="100"/>
              <w:rPr>
                <w:rFonts w:hint="eastAsia" w:eastAsia="宋体" w:cs="仿宋_GB2312"/>
                <w:color w:val="auto"/>
                <w:sz w:val="28"/>
                <w:szCs w:val="28"/>
                <w:highlight w:val="none"/>
              </w:rPr>
            </w:pPr>
          </w:p>
        </w:tc>
        <w:tc>
          <w:tcPr>
            <w:tcW w:w="1493" w:type="dxa"/>
            <w:vAlign w:val="center"/>
          </w:tcPr>
          <w:p w14:paraId="3B223895">
            <w:pPr>
              <w:spacing w:line="460" w:lineRule="atLeast"/>
              <w:ind w:left="210" w:leftChars="100"/>
              <w:rPr>
                <w:rFonts w:hint="eastAsia" w:eastAsia="宋体" w:cs="仿宋_GB2312"/>
                <w:color w:val="auto"/>
                <w:sz w:val="28"/>
                <w:szCs w:val="28"/>
                <w:highlight w:val="none"/>
              </w:rPr>
            </w:pPr>
          </w:p>
        </w:tc>
      </w:tr>
      <w:tr w14:paraId="39357B9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9" w:type="dxa"/>
            <w:tcMar>
              <w:top w:w="57" w:type="dxa"/>
              <w:left w:w="28" w:type="dxa"/>
              <w:bottom w:w="57" w:type="dxa"/>
              <w:right w:w="28" w:type="dxa"/>
            </w:tcMar>
            <w:vAlign w:val="center"/>
          </w:tcPr>
          <w:p w14:paraId="53580EE2">
            <w:pPr>
              <w:spacing w:line="460" w:lineRule="atLeast"/>
              <w:ind w:left="210" w:leftChars="100"/>
              <w:rPr>
                <w:rFonts w:hint="eastAsia" w:eastAsia="宋体" w:cs="仿宋_GB2312"/>
                <w:color w:val="auto"/>
                <w:sz w:val="28"/>
                <w:szCs w:val="28"/>
                <w:highlight w:val="none"/>
              </w:rPr>
            </w:pPr>
          </w:p>
        </w:tc>
        <w:tc>
          <w:tcPr>
            <w:tcW w:w="3066" w:type="dxa"/>
            <w:tcMar>
              <w:top w:w="57" w:type="dxa"/>
              <w:left w:w="28" w:type="dxa"/>
              <w:bottom w:w="57" w:type="dxa"/>
              <w:right w:w="28" w:type="dxa"/>
            </w:tcMar>
            <w:vAlign w:val="center"/>
          </w:tcPr>
          <w:p w14:paraId="743FC612">
            <w:pPr>
              <w:spacing w:line="460" w:lineRule="atLeast"/>
              <w:ind w:left="210" w:leftChars="100"/>
              <w:rPr>
                <w:rFonts w:hint="eastAsia" w:eastAsia="宋体" w:cs="仿宋_GB2312"/>
                <w:color w:val="auto"/>
                <w:sz w:val="28"/>
                <w:szCs w:val="28"/>
                <w:highlight w:val="none"/>
              </w:rPr>
            </w:pPr>
          </w:p>
        </w:tc>
        <w:tc>
          <w:tcPr>
            <w:tcW w:w="2472" w:type="dxa"/>
            <w:tcMar>
              <w:top w:w="57" w:type="dxa"/>
              <w:left w:w="28" w:type="dxa"/>
              <w:bottom w:w="57" w:type="dxa"/>
              <w:right w:w="28" w:type="dxa"/>
            </w:tcMar>
            <w:vAlign w:val="center"/>
          </w:tcPr>
          <w:p w14:paraId="4D9E95CD">
            <w:pPr>
              <w:spacing w:line="460" w:lineRule="atLeast"/>
              <w:ind w:left="210" w:leftChars="100"/>
              <w:rPr>
                <w:rFonts w:hint="eastAsia" w:eastAsia="宋体" w:cs="仿宋_GB2312"/>
                <w:color w:val="auto"/>
                <w:sz w:val="28"/>
                <w:szCs w:val="28"/>
                <w:highlight w:val="none"/>
              </w:rPr>
            </w:pPr>
          </w:p>
        </w:tc>
        <w:tc>
          <w:tcPr>
            <w:tcW w:w="1715" w:type="dxa"/>
            <w:tcMar>
              <w:top w:w="57" w:type="dxa"/>
              <w:left w:w="28" w:type="dxa"/>
              <w:bottom w:w="57" w:type="dxa"/>
              <w:right w:w="28" w:type="dxa"/>
            </w:tcMar>
            <w:vAlign w:val="center"/>
          </w:tcPr>
          <w:p w14:paraId="57E5BDA7">
            <w:pPr>
              <w:spacing w:line="460" w:lineRule="atLeast"/>
              <w:ind w:left="210" w:leftChars="100"/>
              <w:rPr>
                <w:rFonts w:hint="eastAsia" w:eastAsia="宋体" w:cs="仿宋_GB2312"/>
                <w:color w:val="auto"/>
                <w:sz w:val="28"/>
                <w:szCs w:val="28"/>
                <w:highlight w:val="none"/>
              </w:rPr>
            </w:pPr>
          </w:p>
        </w:tc>
        <w:tc>
          <w:tcPr>
            <w:tcW w:w="1493" w:type="dxa"/>
            <w:vAlign w:val="center"/>
          </w:tcPr>
          <w:p w14:paraId="23A983E4">
            <w:pPr>
              <w:spacing w:line="460" w:lineRule="atLeast"/>
              <w:ind w:left="210" w:leftChars="100"/>
              <w:rPr>
                <w:rFonts w:hint="eastAsia" w:eastAsia="宋体" w:cs="仿宋_GB2312"/>
                <w:color w:val="auto"/>
                <w:sz w:val="28"/>
                <w:szCs w:val="28"/>
                <w:highlight w:val="none"/>
              </w:rPr>
            </w:pPr>
          </w:p>
        </w:tc>
      </w:tr>
    </w:tbl>
    <w:p w14:paraId="53D37825">
      <w:pPr>
        <w:spacing w:line="460" w:lineRule="atLeast"/>
        <w:rPr>
          <w:rFonts w:hint="eastAsia" w:eastAsia="宋体"/>
          <w:color w:val="auto"/>
          <w:szCs w:val="21"/>
          <w:highlight w:val="none"/>
        </w:rPr>
      </w:pPr>
      <w:r>
        <w:rPr>
          <w:rFonts w:hint="eastAsia" w:eastAsia="宋体"/>
          <w:color w:val="auto"/>
          <w:szCs w:val="21"/>
          <w:highlight w:val="none"/>
        </w:rPr>
        <w:t>说明：请按对应磋商文件的“第五章 招标内容及采购要求”中的商务要求及“第</w:t>
      </w:r>
      <w:r>
        <w:rPr>
          <w:rFonts w:hint="eastAsia"/>
          <w:color w:val="auto"/>
          <w:szCs w:val="21"/>
          <w:highlight w:val="none"/>
        </w:rPr>
        <w:t>六章 合同草案条款</w:t>
      </w:r>
      <w:r>
        <w:rPr>
          <w:rFonts w:hint="eastAsia" w:eastAsia="宋体"/>
          <w:color w:val="auto"/>
          <w:szCs w:val="21"/>
          <w:highlight w:val="none"/>
        </w:rPr>
        <w:t>”认真填写本表。偏离情况填写：“优于、等于或低于”。如有优于请在说明栏写明“优于”的详细情况。</w:t>
      </w:r>
    </w:p>
    <w:p w14:paraId="72B4FBEE">
      <w:pPr>
        <w:spacing w:line="460" w:lineRule="atLeast"/>
        <w:ind w:firstLine="422" w:firstLineChars="200"/>
        <w:rPr>
          <w:rFonts w:hint="eastAsia" w:eastAsia="宋体"/>
          <w:b/>
          <w:bCs/>
          <w:color w:val="auto"/>
          <w:szCs w:val="21"/>
          <w:highlight w:val="none"/>
        </w:rPr>
      </w:pPr>
      <w:r>
        <w:rPr>
          <w:rFonts w:eastAsia="宋体"/>
          <w:b/>
          <w:bCs/>
          <w:color w:val="auto"/>
          <w:szCs w:val="21"/>
          <w:highlight w:val="none"/>
        </w:rPr>
        <w:t>如供应商</w:t>
      </w:r>
      <w:r>
        <w:rPr>
          <w:rFonts w:hint="eastAsia" w:eastAsia="宋体"/>
          <w:b/>
          <w:bCs/>
          <w:color w:val="auto"/>
          <w:szCs w:val="21"/>
          <w:highlight w:val="none"/>
        </w:rPr>
        <w:t>完全</w:t>
      </w:r>
      <w:r>
        <w:rPr>
          <w:rFonts w:eastAsia="宋体"/>
          <w:b/>
          <w:bCs/>
          <w:color w:val="auto"/>
          <w:szCs w:val="21"/>
          <w:highlight w:val="none"/>
        </w:rPr>
        <w:t>响应</w:t>
      </w:r>
      <w:r>
        <w:rPr>
          <w:rFonts w:hint="eastAsia" w:eastAsia="宋体"/>
          <w:b/>
          <w:bCs/>
          <w:color w:val="auto"/>
          <w:szCs w:val="21"/>
          <w:highlight w:val="none"/>
        </w:rPr>
        <w:t>磋商</w:t>
      </w:r>
      <w:r>
        <w:rPr>
          <w:rFonts w:eastAsia="宋体"/>
          <w:b/>
          <w:bCs/>
          <w:color w:val="auto"/>
          <w:szCs w:val="21"/>
          <w:highlight w:val="none"/>
        </w:rPr>
        <w:t>文件中规定的</w:t>
      </w:r>
      <w:r>
        <w:rPr>
          <w:rFonts w:hint="eastAsia" w:eastAsia="宋体"/>
          <w:b/>
          <w:bCs/>
          <w:color w:val="auto"/>
          <w:szCs w:val="21"/>
          <w:highlight w:val="none"/>
        </w:rPr>
        <w:t>商务</w:t>
      </w:r>
      <w:r>
        <w:rPr>
          <w:rFonts w:eastAsia="宋体"/>
          <w:b/>
          <w:bCs/>
          <w:color w:val="auto"/>
          <w:szCs w:val="21"/>
          <w:highlight w:val="none"/>
        </w:rPr>
        <w:t>要求和条件，上栏可不填写，但本页必须满足签字或盖章要求</w:t>
      </w:r>
      <w:r>
        <w:rPr>
          <w:rFonts w:hint="eastAsia"/>
          <w:b/>
          <w:bCs/>
          <w:color w:val="auto"/>
          <w:szCs w:val="21"/>
          <w:highlight w:val="none"/>
        </w:rPr>
        <w:t>。</w:t>
      </w:r>
    </w:p>
    <w:p w14:paraId="2431C728">
      <w:pPr>
        <w:spacing w:line="460" w:lineRule="atLeast"/>
        <w:rPr>
          <w:rFonts w:hint="eastAsia" w:eastAsia="宋体"/>
          <w:b/>
          <w:bCs/>
          <w:color w:val="auto"/>
          <w:szCs w:val="21"/>
          <w:highlight w:val="none"/>
        </w:rPr>
      </w:pPr>
    </w:p>
    <w:p w14:paraId="24B22060">
      <w:pPr>
        <w:spacing w:line="460" w:lineRule="atLeast"/>
        <w:ind w:firstLine="420" w:firstLineChars="200"/>
        <w:rPr>
          <w:rFonts w:hint="eastAsia" w:eastAsia="宋体"/>
          <w:color w:val="auto"/>
          <w:szCs w:val="21"/>
          <w:highlight w:val="none"/>
        </w:rPr>
      </w:pPr>
      <w:r>
        <w:rPr>
          <w:rFonts w:eastAsia="宋体"/>
          <w:color w:val="auto"/>
          <w:szCs w:val="21"/>
          <w:highlight w:val="none"/>
        </w:rPr>
        <w:t>供应商（盖章）：</w:t>
      </w:r>
    </w:p>
    <w:p w14:paraId="6090CA5B">
      <w:pPr>
        <w:spacing w:line="460" w:lineRule="atLeast"/>
        <w:ind w:firstLine="420" w:firstLineChars="200"/>
        <w:rPr>
          <w:rFonts w:hint="eastAsia" w:eastAsia="宋体"/>
          <w:color w:val="auto"/>
          <w:szCs w:val="21"/>
          <w:highlight w:val="none"/>
        </w:rPr>
      </w:pPr>
      <w:r>
        <w:rPr>
          <w:rFonts w:eastAsia="宋体"/>
          <w:color w:val="auto"/>
          <w:szCs w:val="21"/>
          <w:highlight w:val="none"/>
        </w:rPr>
        <w:t>法人代表或委托代理人（签字或盖章）：</w:t>
      </w:r>
    </w:p>
    <w:p w14:paraId="2DAFE9D7">
      <w:pPr>
        <w:spacing w:line="460" w:lineRule="atLeast"/>
        <w:ind w:firstLine="420" w:firstLineChars="200"/>
        <w:rPr>
          <w:rFonts w:hint="eastAsia" w:eastAsia="宋体"/>
          <w:color w:val="auto"/>
          <w:szCs w:val="21"/>
          <w:highlight w:val="none"/>
        </w:rPr>
      </w:pPr>
      <w:r>
        <w:rPr>
          <w:rFonts w:eastAsia="宋体"/>
          <w:color w:val="auto"/>
          <w:szCs w:val="21"/>
          <w:highlight w:val="none"/>
        </w:rPr>
        <w:t>日期：       年      月      日</w:t>
      </w:r>
    </w:p>
    <w:p w14:paraId="50AA9C58">
      <w:pPr>
        <w:spacing w:line="460" w:lineRule="atLeast"/>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3C3CC17F">
      <w:pPr>
        <w:pStyle w:val="3"/>
        <w:spacing w:line="460" w:lineRule="atLeast"/>
        <w:jc w:val="both"/>
        <w:rPr>
          <w:rFonts w:hint="eastAsia" w:ascii="宋体" w:hAnsi="宋体" w:cs="宋体"/>
          <w:bCs w:val="0"/>
          <w:color w:val="auto"/>
          <w:szCs w:val="22"/>
          <w:highlight w:val="none"/>
        </w:rPr>
      </w:pPr>
      <w:bookmarkStart w:id="120" w:name="_Toc15199"/>
      <w:r>
        <w:rPr>
          <w:rFonts w:hint="eastAsia" w:ascii="宋体" w:hAnsi="宋体" w:cs="宋体"/>
          <w:bCs w:val="0"/>
          <w:color w:val="auto"/>
          <w:szCs w:val="22"/>
          <w:highlight w:val="none"/>
        </w:rPr>
        <w:t>（4）供应商认为有利于本次磋商的其他情况说明</w:t>
      </w:r>
      <w:bookmarkEnd w:id="120"/>
    </w:p>
    <w:p w14:paraId="01D803B3">
      <w:pPr>
        <w:pStyle w:val="34"/>
        <w:spacing w:line="460" w:lineRule="atLeast"/>
        <w:ind w:firstLine="480"/>
        <w:rPr>
          <w:rFonts w:hint="eastAsia" w:ascii="宋体" w:hAnsi="宋体" w:cs="宋体"/>
          <w:color w:val="auto"/>
          <w:highlight w:val="none"/>
        </w:rPr>
      </w:pPr>
    </w:p>
    <w:sectPr>
      <w:pgSz w:w="11906" w:h="16838"/>
      <w:pgMar w:top="1440" w:right="1440" w:bottom="1440" w:left="144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Tahoma">
    <w:panose1 w:val="020B0604030504040204"/>
    <w:charset w:val="00"/>
    <w:family w:val="swiss"/>
    <w:pitch w:val="default"/>
    <w:sig w:usb0="E1002EFF" w:usb1="C000605B" w:usb2="00000029" w:usb3="00000000" w:csb0="200101FF" w:csb1="20280000"/>
  </w:font>
  <w:font w:name="Calibri Light">
    <w:panose1 w:val="020F03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华文仿宋">
    <w:altName w:val="仿宋"/>
    <w:panose1 w:val="02010600040101010101"/>
    <w:charset w:val="86"/>
    <w:family w:val="auto"/>
    <w:pitch w:val="default"/>
    <w:sig w:usb0="00000000" w:usb1="00000000" w:usb2="00000000" w:usb3="00000000" w:csb0="0004009F" w:csb1="DFD70000"/>
  </w:font>
  <w:font w:name="方正小标宋_GBK">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modern"/>
    <w:pitch w:val="default"/>
    <w:sig w:usb0="800002BF" w:usb1="38CF7CFA" w:usb2="00000016" w:usb3="00000000" w:csb0="00040001" w:csb1="00000000"/>
  </w:font>
  <w:font w:name="等线 Light">
    <w:panose1 w:val="02010600030101010101"/>
    <w:charset w:val="86"/>
    <w:family w:val="auto"/>
    <w:pitch w:val="default"/>
    <w:sig w:usb0="A00002BF" w:usb1="38CF7CFA" w:usb2="00000016" w:usb3="00000000" w:csb0="0004000F" w:csb1="00000000"/>
  </w:font>
  <w:font w:name="??">
    <w:altName w:val="Times New Roman"/>
    <w:panose1 w:val="00000000000000000000"/>
    <w:charset w:val="00"/>
    <w:family w:val="auto"/>
    <w:pitch w:val="default"/>
    <w:sig w:usb0="00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833D81">
    <w:pPr>
      <w:pStyle w:val="16"/>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04CC61">
                          <w:pPr>
                            <w:pStyle w:val="1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3C04CC61">
                    <w:pPr>
                      <w:pStyle w:val="1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5C5AF7">
    <w:pPr>
      <w:pStyle w:val="16"/>
      <w:tabs>
        <w:tab w:val="center" w:pos="4535"/>
        <w:tab w:val="right" w:pos="9070"/>
        <w:tab w:val="clear" w:pos="4153"/>
        <w:tab w:val="clear" w:pos="8306"/>
      </w:tabs>
      <w:rPr>
        <w:sz w:val="21"/>
        <w:szCs w:val="21"/>
      </w:rPr>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E62D2E">
                          <w:pPr>
                            <w:pStyle w:val="16"/>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06E62D2E">
                    <w:pPr>
                      <w:pStyle w:val="16"/>
                    </w:pPr>
                    <w:r>
                      <w:fldChar w:fldCharType="begin"/>
                    </w:r>
                    <w:r>
                      <w:instrText xml:space="preserve"> PAGE  \* MERGEFORMAT </w:instrText>
                    </w:r>
                    <w:r>
                      <w:fldChar w:fldCharType="separate"/>
                    </w:r>
                    <w:r>
                      <w:t>54</w:t>
                    </w:r>
                    <w:r>
                      <w:fldChar w:fldCharType="end"/>
                    </w:r>
                  </w:p>
                </w:txbxContent>
              </v:textbox>
            </v:shape>
          </w:pict>
        </mc:Fallback>
      </mc:AlternateContent>
    </w: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0A2C8A90">
                          <w:pPr>
                            <w:pStyle w:val="16"/>
                            <w:tabs>
                              <w:tab w:val="center" w:pos="4535"/>
                              <w:tab w:val="right" w:pos="9070"/>
                              <w:tab w:val="clear" w:pos="4153"/>
                              <w:tab w:val="clear" w:pos="8306"/>
                            </w:tabs>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dYBIgyAgAAZQQAAA4AAABkcnMvZTJvRG9jLnhtbK1UzY7TMBC+I/EO&#10;lu80aYFV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1gEiDICAABlBAAADgAAAAAAAAABACAAAAAfAQAAZHJzL2Uyb0RvYy54bWxQSwUG&#10;AAAAAAYABgBZAQAAwwUAAAAA&#10;">
              <v:fill on="f" focussize="0,0"/>
              <v:stroke on="f" weight="0.5pt"/>
              <v:imagedata o:title=""/>
              <o:lock v:ext="edit" aspectratio="f"/>
              <v:textbox inset="0mm,0mm,0mm,0mm" style="mso-fit-shape-to-text:t;">
                <w:txbxContent>
                  <w:p w14:paraId="0A2C8A90">
                    <w:pPr>
                      <w:pStyle w:val="16"/>
                      <w:tabs>
                        <w:tab w:val="center" w:pos="4535"/>
                        <w:tab w:val="right" w:pos="9070"/>
                        <w:tab w:val="clear" w:pos="4153"/>
                        <w:tab w:val="clear" w:pos="8306"/>
                      </w:tabs>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3FFC85">
    <w:pPr>
      <w:pStyle w:val="1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2D55BE">
    <w:pPr>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46669E3"/>
    <w:multiLevelType w:val="singleLevel"/>
    <w:tmpl w:val="B46669E3"/>
    <w:lvl w:ilvl="0" w:tentative="0">
      <w:start w:val="9"/>
      <w:numFmt w:val="chineseCounting"/>
      <w:suff w:val="nothing"/>
      <w:lvlText w:val="%1、"/>
      <w:lvlJc w:val="left"/>
      <w:rPr>
        <w:rFonts w:hint="eastAsia"/>
      </w:rPr>
    </w:lvl>
  </w:abstractNum>
  <w:abstractNum w:abstractNumId="1">
    <w:nsid w:val="DD7AA26A"/>
    <w:multiLevelType w:val="singleLevel"/>
    <w:tmpl w:val="DD7AA26A"/>
    <w:lvl w:ilvl="0" w:tentative="0">
      <w:start w:val="1"/>
      <w:numFmt w:val="decimal"/>
      <w:suff w:val="nothing"/>
      <w:lvlText w:val="%1、"/>
      <w:lvlJc w:val="left"/>
    </w:lvl>
  </w:abstractNum>
  <w:abstractNum w:abstractNumId="2">
    <w:nsid w:val="EA6A7C4E"/>
    <w:multiLevelType w:val="singleLevel"/>
    <w:tmpl w:val="EA6A7C4E"/>
    <w:lvl w:ilvl="0" w:tentative="0">
      <w:start w:val="2"/>
      <w:numFmt w:val="decimal"/>
      <w:suff w:val="nothing"/>
      <w:lvlText w:val="%1、"/>
      <w:lvlJc w:val="left"/>
    </w:lvl>
  </w:abstractNum>
  <w:abstractNum w:abstractNumId="3">
    <w:nsid w:val="2C2C4B8D"/>
    <w:multiLevelType w:val="singleLevel"/>
    <w:tmpl w:val="2C2C4B8D"/>
    <w:lvl w:ilvl="0" w:tentative="0">
      <w:start w:val="1"/>
      <w:numFmt w:val="japaneseCounting"/>
      <w:lvlText w:val="第%1条"/>
      <w:lvlJc w:val="left"/>
      <w:pPr>
        <w:tabs>
          <w:tab w:val="left" w:pos="1521"/>
        </w:tabs>
        <w:ind w:left="1521" w:hanging="1095"/>
      </w:pPr>
      <w:rPr>
        <w:rFonts w:hint="eastAsia"/>
      </w:rPr>
    </w:lvl>
  </w:abstractNum>
  <w:abstractNum w:abstractNumId="4">
    <w:nsid w:val="6E8CEE7E"/>
    <w:multiLevelType w:val="singleLevel"/>
    <w:tmpl w:val="6E8CEE7E"/>
    <w:lvl w:ilvl="0" w:tentative="0">
      <w:start w:val="4"/>
      <w:numFmt w:val="decimal"/>
      <w:lvlText w:val="%1."/>
      <w:lvlJc w:val="left"/>
      <w:pPr>
        <w:tabs>
          <w:tab w:val="left" w:pos="312"/>
        </w:tabs>
      </w:pPr>
    </w:lvl>
  </w:abstractNum>
  <w:num w:numId="1">
    <w:abstractNumId w:val="4"/>
  </w:num>
  <w:num w:numId="2">
    <w:abstractNumId w:val="3"/>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213"/>
  <w:drawingGridVerticalSpacing w:val="381"/>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WUxOTViMGY2MDJkODhlMGEyMTZkNGEyNDMyMzA1ODkifQ=="/>
  </w:docVars>
  <w:rsids>
    <w:rsidRoot w:val="0047139F"/>
    <w:rsid w:val="000B1AAB"/>
    <w:rsid w:val="001D048C"/>
    <w:rsid w:val="002B52DA"/>
    <w:rsid w:val="002E2A27"/>
    <w:rsid w:val="00317260"/>
    <w:rsid w:val="003440CB"/>
    <w:rsid w:val="003A041B"/>
    <w:rsid w:val="003E6A07"/>
    <w:rsid w:val="00427BC5"/>
    <w:rsid w:val="00443C04"/>
    <w:rsid w:val="00455A76"/>
    <w:rsid w:val="0047139F"/>
    <w:rsid w:val="00476063"/>
    <w:rsid w:val="004A10FD"/>
    <w:rsid w:val="004B3C6A"/>
    <w:rsid w:val="00503777"/>
    <w:rsid w:val="005319D6"/>
    <w:rsid w:val="005C4D2F"/>
    <w:rsid w:val="006066AC"/>
    <w:rsid w:val="0066398E"/>
    <w:rsid w:val="00670B15"/>
    <w:rsid w:val="006B7733"/>
    <w:rsid w:val="006D6F3B"/>
    <w:rsid w:val="006F7876"/>
    <w:rsid w:val="0073319C"/>
    <w:rsid w:val="00734931"/>
    <w:rsid w:val="00744D99"/>
    <w:rsid w:val="00746154"/>
    <w:rsid w:val="0079679C"/>
    <w:rsid w:val="007B0AAF"/>
    <w:rsid w:val="00877B55"/>
    <w:rsid w:val="008C061F"/>
    <w:rsid w:val="008D138C"/>
    <w:rsid w:val="00904255"/>
    <w:rsid w:val="00A80E96"/>
    <w:rsid w:val="00B56044"/>
    <w:rsid w:val="00B61FFA"/>
    <w:rsid w:val="00BD0A4C"/>
    <w:rsid w:val="00BD2831"/>
    <w:rsid w:val="00C218B4"/>
    <w:rsid w:val="00C513E0"/>
    <w:rsid w:val="00C80DCD"/>
    <w:rsid w:val="00CB22B0"/>
    <w:rsid w:val="00CE2DE4"/>
    <w:rsid w:val="00CF6B6F"/>
    <w:rsid w:val="00D0591D"/>
    <w:rsid w:val="00D1336F"/>
    <w:rsid w:val="00D61807"/>
    <w:rsid w:val="00D8378B"/>
    <w:rsid w:val="00DA6868"/>
    <w:rsid w:val="00DE219A"/>
    <w:rsid w:val="00DF1DCC"/>
    <w:rsid w:val="00E04E4B"/>
    <w:rsid w:val="00E64A36"/>
    <w:rsid w:val="00E70CCD"/>
    <w:rsid w:val="00F0025B"/>
    <w:rsid w:val="00F37A60"/>
    <w:rsid w:val="00FE05EE"/>
    <w:rsid w:val="00FF2F22"/>
    <w:rsid w:val="01260E98"/>
    <w:rsid w:val="01375107"/>
    <w:rsid w:val="01891ADB"/>
    <w:rsid w:val="020D1C4E"/>
    <w:rsid w:val="021813BE"/>
    <w:rsid w:val="02ED6112"/>
    <w:rsid w:val="046773AA"/>
    <w:rsid w:val="04836265"/>
    <w:rsid w:val="050842EA"/>
    <w:rsid w:val="05204DDB"/>
    <w:rsid w:val="05205E6A"/>
    <w:rsid w:val="06151B15"/>
    <w:rsid w:val="069F1E7E"/>
    <w:rsid w:val="075A189C"/>
    <w:rsid w:val="07871193"/>
    <w:rsid w:val="07CD02C0"/>
    <w:rsid w:val="07D23B28"/>
    <w:rsid w:val="08566507"/>
    <w:rsid w:val="08953C7D"/>
    <w:rsid w:val="09095327"/>
    <w:rsid w:val="09554A11"/>
    <w:rsid w:val="09CE0FE1"/>
    <w:rsid w:val="0AB47E36"/>
    <w:rsid w:val="0B2E72C7"/>
    <w:rsid w:val="0B861A32"/>
    <w:rsid w:val="0BB43C70"/>
    <w:rsid w:val="0BDB744F"/>
    <w:rsid w:val="0BE502CE"/>
    <w:rsid w:val="0CFD33F5"/>
    <w:rsid w:val="0D277019"/>
    <w:rsid w:val="0D2C5A88"/>
    <w:rsid w:val="0D665ED0"/>
    <w:rsid w:val="0D6F7F65"/>
    <w:rsid w:val="0DD856C5"/>
    <w:rsid w:val="0E407693"/>
    <w:rsid w:val="0EF00C4B"/>
    <w:rsid w:val="0F0F7410"/>
    <w:rsid w:val="0F2B060B"/>
    <w:rsid w:val="0F44355D"/>
    <w:rsid w:val="0F9E3888"/>
    <w:rsid w:val="100F4162"/>
    <w:rsid w:val="103709CC"/>
    <w:rsid w:val="10881228"/>
    <w:rsid w:val="10961B97"/>
    <w:rsid w:val="10B97633"/>
    <w:rsid w:val="10BB7AE5"/>
    <w:rsid w:val="10EC7A09"/>
    <w:rsid w:val="114F435D"/>
    <w:rsid w:val="11857DE7"/>
    <w:rsid w:val="118C4D48"/>
    <w:rsid w:val="12051461"/>
    <w:rsid w:val="12B26A30"/>
    <w:rsid w:val="12BF57F1"/>
    <w:rsid w:val="12DE7A1E"/>
    <w:rsid w:val="12E968F6"/>
    <w:rsid w:val="135A334F"/>
    <w:rsid w:val="13A50343"/>
    <w:rsid w:val="13B134B3"/>
    <w:rsid w:val="13B32A60"/>
    <w:rsid w:val="13F1741E"/>
    <w:rsid w:val="14BD72BC"/>
    <w:rsid w:val="158703BA"/>
    <w:rsid w:val="16C56E64"/>
    <w:rsid w:val="16D72F09"/>
    <w:rsid w:val="171A209E"/>
    <w:rsid w:val="172E13B6"/>
    <w:rsid w:val="17712A16"/>
    <w:rsid w:val="180B10BC"/>
    <w:rsid w:val="1816639E"/>
    <w:rsid w:val="18376DD6"/>
    <w:rsid w:val="1888270D"/>
    <w:rsid w:val="18C461BD"/>
    <w:rsid w:val="18D34820"/>
    <w:rsid w:val="18E63A9B"/>
    <w:rsid w:val="1935521D"/>
    <w:rsid w:val="1A725422"/>
    <w:rsid w:val="1A9A5A41"/>
    <w:rsid w:val="1B26620D"/>
    <w:rsid w:val="1C2F0E3F"/>
    <w:rsid w:val="1C3726D9"/>
    <w:rsid w:val="1C535F4A"/>
    <w:rsid w:val="1D990F18"/>
    <w:rsid w:val="1E04324C"/>
    <w:rsid w:val="1E0565AE"/>
    <w:rsid w:val="1E227493"/>
    <w:rsid w:val="1E636E30"/>
    <w:rsid w:val="1E890D2C"/>
    <w:rsid w:val="1E911BEF"/>
    <w:rsid w:val="1E96253F"/>
    <w:rsid w:val="1E9D0594"/>
    <w:rsid w:val="1F205133"/>
    <w:rsid w:val="1F76742A"/>
    <w:rsid w:val="1F7A49C1"/>
    <w:rsid w:val="1F7E5E72"/>
    <w:rsid w:val="1FB21E1D"/>
    <w:rsid w:val="1FB658A3"/>
    <w:rsid w:val="1FC67038"/>
    <w:rsid w:val="202B1BD0"/>
    <w:rsid w:val="20484413"/>
    <w:rsid w:val="2064313B"/>
    <w:rsid w:val="21042B4C"/>
    <w:rsid w:val="21113E74"/>
    <w:rsid w:val="213D605E"/>
    <w:rsid w:val="221A0A42"/>
    <w:rsid w:val="224613D3"/>
    <w:rsid w:val="23272B22"/>
    <w:rsid w:val="23526470"/>
    <w:rsid w:val="2393640A"/>
    <w:rsid w:val="241338CA"/>
    <w:rsid w:val="241574B2"/>
    <w:rsid w:val="24174EFF"/>
    <w:rsid w:val="24811EE6"/>
    <w:rsid w:val="24F829C8"/>
    <w:rsid w:val="25094024"/>
    <w:rsid w:val="26086C3B"/>
    <w:rsid w:val="264F6618"/>
    <w:rsid w:val="273D0B66"/>
    <w:rsid w:val="27E93662"/>
    <w:rsid w:val="290A31F3"/>
    <w:rsid w:val="2947642C"/>
    <w:rsid w:val="294A1318"/>
    <w:rsid w:val="2A8B2C4B"/>
    <w:rsid w:val="2B2362C5"/>
    <w:rsid w:val="2B4C581C"/>
    <w:rsid w:val="2C2F4C3B"/>
    <w:rsid w:val="2C54037A"/>
    <w:rsid w:val="2C66290D"/>
    <w:rsid w:val="2CB74F17"/>
    <w:rsid w:val="2E220AB6"/>
    <w:rsid w:val="2EA25753"/>
    <w:rsid w:val="2ED6361B"/>
    <w:rsid w:val="2EE47B19"/>
    <w:rsid w:val="2F132A17"/>
    <w:rsid w:val="2F4713D0"/>
    <w:rsid w:val="2F4B1946"/>
    <w:rsid w:val="2F6557AF"/>
    <w:rsid w:val="30165EC9"/>
    <w:rsid w:val="30556F21"/>
    <w:rsid w:val="306A04C0"/>
    <w:rsid w:val="30862A3C"/>
    <w:rsid w:val="30CE6CD3"/>
    <w:rsid w:val="30D81900"/>
    <w:rsid w:val="30F6234C"/>
    <w:rsid w:val="31556AAC"/>
    <w:rsid w:val="31C4236C"/>
    <w:rsid w:val="325636E5"/>
    <w:rsid w:val="32BA282A"/>
    <w:rsid w:val="32F00FEE"/>
    <w:rsid w:val="34094592"/>
    <w:rsid w:val="34237336"/>
    <w:rsid w:val="34CD074A"/>
    <w:rsid w:val="34ED24C6"/>
    <w:rsid w:val="352C6075"/>
    <w:rsid w:val="35C43BAB"/>
    <w:rsid w:val="35E46651"/>
    <w:rsid w:val="35F97E9F"/>
    <w:rsid w:val="362A675A"/>
    <w:rsid w:val="36D00D9E"/>
    <w:rsid w:val="36FD7351"/>
    <w:rsid w:val="379F56C3"/>
    <w:rsid w:val="381C20D2"/>
    <w:rsid w:val="38207E14"/>
    <w:rsid w:val="38211761"/>
    <w:rsid w:val="383516CD"/>
    <w:rsid w:val="38AC3779"/>
    <w:rsid w:val="38E359C7"/>
    <w:rsid w:val="38E76B84"/>
    <w:rsid w:val="3950297B"/>
    <w:rsid w:val="397D3044"/>
    <w:rsid w:val="399D5928"/>
    <w:rsid w:val="3A287454"/>
    <w:rsid w:val="3A3132BA"/>
    <w:rsid w:val="3A940C46"/>
    <w:rsid w:val="3ABB2049"/>
    <w:rsid w:val="3AED5FA8"/>
    <w:rsid w:val="3B1F0857"/>
    <w:rsid w:val="3B5F50F7"/>
    <w:rsid w:val="3B6B3A9C"/>
    <w:rsid w:val="3B6F63BD"/>
    <w:rsid w:val="3BD46626"/>
    <w:rsid w:val="3C221193"/>
    <w:rsid w:val="3C42532F"/>
    <w:rsid w:val="3C526A0A"/>
    <w:rsid w:val="3C554A99"/>
    <w:rsid w:val="3CCB0068"/>
    <w:rsid w:val="3CD63197"/>
    <w:rsid w:val="3CEA1360"/>
    <w:rsid w:val="3D1578E3"/>
    <w:rsid w:val="3D295CF8"/>
    <w:rsid w:val="3D354268"/>
    <w:rsid w:val="3D3805DF"/>
    <w:rsid w:val="3F634A8A"/>
    <w:rsid w:val="3F827606"/>
    <w:rsid w:val="3FAB2262"/>
    <w:rsid w:val="400C6ED0"/>
    <w:rsid w:val="40E821C5"/>
    <w:rsid w:val="411C75E7"/>
    <w:rsid w:val="41FC772F"/>
    <w:rsid w:val="428C02B6"/>
    <w:rsid w:val="42AC70FD"/>
    <w:rsid w:val="437F2030"/>
    <w:rsid w:val="449C4CC6"/>
    <w:rsid w:val="44BA3A41"/>
    <w:rsid w:val="44F13144"/>
    <w:rsid w:val="45B27966"/>
    <w:rsid w:val="46115240"/>
    <w:rsid w:val="461E170B"/>
    <w:rsid w:val="46895848"/>
    <w:rsid w:val="469B2D5C"/>
    <w:rsid w:val="46A02C0E"/>
    <w:rsid w:val="46E22136"/>
    <w:rsid w:val="47820827"/>
    <w:rsid w:val="478B4B7E"/>
    <w:rsid w:val="4835535A"/>
    <w:rsid w:val="48DD3AFF"/>
    <w:rsid w:val="497E0E3E"/>
    <w:rsid w:val="49E14F29"/>
    <w:rsid w:val="4A2F038B"/>
    <w:rsid w:val="4A8B461F"/>
    <w:rsid w:val="4ADC550E"/>
    <w:rsid w:val="4B054C48"/>
    <w:rsid w:val="4B09497B"/>
    <w:rsid w:val="4B7F49FA"/>
    <w:rsid w:val="4BA426B2"/>
    <w:rsid w:val="4BD034A7"/>
    <w:rsid w:val="4CAB037B"/>
    <w:rsid w:val="4D0E3C72"/>
    <w:rsid w:val="4D2770F7"/>
    <w:rsid w:val="4D9C7AE5"/>
    <w:rsid w:val="4DBE3EFF"/>
    <w:rsid w:val="4E380444"/>
    <w:rsid w:val="4E756BD2"/>
    <w:rsid w:val="4E772300"/>
    <w:rsid w:val="4F1375CB"/>
    <w:rsid w:val="4F2D0C0B"/>
    <w:rsid w:val="4F895E47"/>
    <w:rsid w:val="4FC935F2"/>
    <w:rsid w:val="4FE17A31"/>
    <w:rsid w:val="502A762A"/>
    <w:rsid w:val="50467750"/>
    <w:rsid w:val="50B96B93"/>
    <w:rsid w:val="5123036B"/>
    <w:rsid w:val="514A5AAA"/>
    <w:rsid w:val="51AA7A5C"/>
    <w:rsid w:val="51C615D4"/>
    <w:rsid w:val="51F74482"/>
    <w:rsid w:val="51FD1D80"/>
    <w:rsid w:val="5248427D"/>
    <w:rsid w:val="524E024D"/>
    <w:rsid w:val="52AF02BB"/>
    <w:rsid w:val="5366468F"/>
    <w:rsid w:val="53CA2BD7"/>
    <w:rsid w:val="54324CFF"/>
    <w:rsid w:val="54363F38"/>
    <w:rsid w:val="547075D6"/>
    <w:rsid w:val="54D264E2"/>
    <w:rsid w:val="55A3444E"/>
    <w:rsid w:val="56951575"/>
    <w:rsid w:val="56B539C6"/>
    <w:rsid w:val="573D4249"/>
    <w:rsid w:val="581806B0"/>
    <w:rsid w:val="584119B5"/>
    <w:rsid w:val="586E6522"/>
    <w:rsid w:val="58BD1535"/>
    <w:rsid w:val="58C16652"/>
    <w:rsid w:val="58C802AF"/>
    <w:rsid w:val="58FC1D80"/>
    <w:rsid w:val="59147F2A"/>
    <w:rsid w:val="59285014"/>
    <w:rsid w:val="593F3679"/>
    <w:rsid w:val="59826579"/>
    <w:rsid w:val="5A426E5F"/>
    <w:rsid w:val="5A8063FD"/>
    <w:rsid w:val="5AE34FA5"/>
    <w:rsid w:val="5AE42ACB"/>
    <w:rsid w:val="5B804C18"/>
    <w:rsid w:val="5C74377D"/>
    <w:rsid w:val="5CD2277D"/>
    <w:rsid w:val="5DC80482"/>
    <w:rsid w:val="5E160A09"/>
    <w:rsid w:val="5E6D7AC2"/>
    <w:rsid w:val="5E765A5C"/>
    <w:rsid w:val="5E7B67FA"/>
    <w:rsid w:val="5E7D0605"/>
    <w:rsid w:val="5E7D74BF"/>
    <w:rsid w:val="5EBA601D"/>
    <w:rsid w:val="5EEC1F4F"/>
    <w:rsid w:val="6045380F"/>
    <w:rsid w:val="60EA102B"/>
    <w:rsid w:val="618E5D64"/>
    <w:rsid w:val="61AE798F"/>
    <w:rsid w:val="61D52D33"/>
    <w:rsid w:val="623B7065"/>
    <w:rsid w:val="624808EC"/>
    <w:rsid w:val="62AE5B3C"/>
    <w:rsid w:val="63224191"/>
    <w:rsid w:val="632779F9"/>
    <w:rsid w:val="63BA45E6"/>
    <w:rsid w:val="63C67212"/>
    <w:rsid w:val="642F4DB7"/>
    <w:rsid w:val="64CC0858"/>
    <w:rsid w:val="65A13A93"/>
    <w:rsid w:val="65D04378"/>
    <w:rsid w:val="65DD0843"/>
    <w:rsid w:val="6635294A"/>
    <w:rsid w:val="66E36FA6"/>
    <w:rsid w:val="675863D3"/>
    <w:rsid w:val="67620BA2"/>
    <w:rsid w:val="67753EF0"/>
    <w:rsid w:val="67A05FCC"/>
    <w:rsid w:val="67A94E81"/>
    <w:rsid w:val="67CB06C5"/>
    <w:rsid w:val="67FE0CC9"/>
    <w:rsid w:val="681C38A5"/>
    <w:rsid w:val="687070AD"/>
    <w:rsid w:val="69561721"/>
    <w:rsid w:val="69896929"/>
    <w:rsid w:val="699F06D0"/>
    <w:rsid w:val="69B9376E"/>
    <w:rsid w:val="6A301889"/>
    <w:rsid w:val="6ACF3458"/>
    <w:rsid w:val="6AF40A64"/>
    <w:rsid w:val="6B056872"/>
    <w:rsid w:val="6B1112DC"/>
    <w:rsid w:val="6B120F8F"/>
    <w:rsid w:val="6B725F9F"/>
    <w:rsid w:val="6B9F764D"/>
    <w:rsid w:val="6BE4292B"/>
    <w:rsid w:val="6BEC17E0"/>
    <w:rsid w:val="6C054650"/>
    <w:rsid w:val="6C3D64DF"/>
    <w:rsid w:val="6C507FC1"/>
    <w:rsid w:val="6C84054B"/>
    <w:rsid w:val="6C924135"/>
    <w:rsid w:val="6CC966E2"/>
    <w:rsid w:val="6D383AFA"/>
    <w:rsid w:val="6D763BE8"/>
    <w:rsid w:val="6DC76061"/>
    <w:rsid w:val="6E076DA5"/>
    <w:rsid w:val="6E906D9A"/>
    <w:rsid w:val="6E9F13AA"/>
    <w:rsid w:val="6FA34A20"/>
    <w:rsid w:val="6FBB4455"/>
    <w:rsid w:val="70590A69"/>
    <w:rsid w:val="70912956"/>
    <w:rsid w:val="70E153A3"/>
    <w:rsid w:val="71A1274A"/>
    <w:rsid w:val="71C1726B"/>
    <w:rsid w:val="721C0563"/>
    <w:rsid w:val="722A12B4"/>
    <w:rsid w:val="722F68CA"/>
    <w:rsid w:val="73532145"/>
    <w:rsid w:val="737722D7"/>
    <w:rsid w:val="7399224D"/>
    <w:rsid w:val="73ED4347"/>
    <w:rsid w:val="745E6A05"/>
    <w:rsid w:val="74850A24"/>
    <w:rsid w:val="74AA048A"/>
    <w:rsid w:val="74D94979"/>
    <w:rsid w:val="75297601"/>
    <w:rsid w:val="75336B00"/>
    <w:rsid w:val="75864A53"/>
    <w:rsid w:val="75F75A9A"/>
    <w:rsid w:val="76402E54"/>
    <w:rsid w:val="76D57A40"/>
    <w:rsid w:val="76DD68F5"/>
    <w:rsid w:val="77354FB9"/>
    <w:rsid w:val="7750356B"/>
    <w:rsid w:val="77A55161"/>
    <w:rsid w:val="77B04009"/>
    <w:rsid w:val="77FC71CE"/>
    <w:rsid w:val="78207B78"/>
    <w:rsid w:val="78364546"/>
    <w:rsid w:val="784B5AE0"/>
    <w:rsid w:val="7883171E"/>
    <w:rsid w:val="7889127D"/>
    <w:rsid w:val="788C0F3B"/>
    <w:rsid w:val="78B4093A"/>
    <w:rsid w:val="78F67CAA"/>
    <w:rsid w:val="78FC76E4"/>
    <w:rsid w:val="79451690"/>
    <w:rsid w:val="79817A0B"/>
    <w:rsid w:val="799E680F"/>
    <w:rsid w:val="79B31B8F"/>
    <w:rsid w:val="7A2E1E72"/>
    <w:rsid w:val="7A456C8B"/>
    <w:rsid w:val="7B476A33"/>
    <w:rsid w:val="7B5353D8"/>
    <w:rsid w:val="7BD423C7"/>
    <w:rsid w:val="7BED6023"/>
    <w:rsid w:val="7C6D5290"/>
    <w:rsid w:val="7C6D6A73"/>
    <w:rsid w:val="7C885555"/>
    <w:rsid w:val="7C9221BD"/>
    <w:rsid w:val="7C9F64B4"/>
    <w:rsid w:val="7CBC0D5A"/>
    <w:rsid w:val="7CF86064"/>
    <w:rsid w:val="7D7708CA"/>
    <w:rsid w:val="7DC97BD3"/>
    <w:rsid w:val="7DF77A1E"/>
    <w:rsid w:val="7E13212B"/>
    <w:rsid w:val="7E5A082B"/>
    <w:rsid w:val="7EAB0860"/>
    <w:rsid w:val="7EAF501B"/>
    <w:rsid w:val="7EE62B0D"/>
    <w:rsid w:val="7F550581"/>
    <w:rsid w:val="7F7E1A6A"/>
    <w:rsid w:val="7F8813C8"/>
    <w:rsid w:val="7F9B6A6A"/>
    <w:rsid w:val="7FBB79EF"/>
    <w:rsid w:val="FBAB7879"/>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9" w:semiHidden="0" w:name="heading 3"/>
    <w:lsdException w:qFormat="1" w:unhideWhenUsed="0" w:uiPriority="99" w:semiHidden="0" w:name="heading 4"/>
    <w:lsdException w:uiPriority="9" w:name="heading 5"/>
    <w:lsdException w:qFormat="1" w:unhideWhenUsed="0" w:uiPriority="99" w:semiHidden="0" w:name="heading 6"/>
    <w:lsdException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qFormat="1" w:uiPriority="39" w:semiHidden="0"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name="annotation text"/>
    <w:lsdException w:qFormat="1" w:unhideWhenUsed="0"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11" w:semiHidden="0" w:name="Subtitle"/>
    <w:lsdException w:uiPriority="99" w:name="Salutation"/>
    <w:lsdException w:uiPriority="99" w:name="Date"/>
    <w:lsdException w:qFormat="1" w:unhideWhenUsed="0" w:uiPriority="0" w:name="Body Text First Indent"/>
    <w:lsdException w:qFormat="1"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paragraph" w:styleId="2">
    <w:name w:val="heading 1"/>
    <w:basedOn w:val="1"/>
    <w:next w:val="1"/>
    <w:link w:val="67"/>
    <w:qFormat/>
    <w:uiPriority w:val="0"/>
    <w:pPr>
      <w:spacing w:beforeAutospacing="1" w:afterAutospacing="1"/>
      <w:jc w:val="left"/>
      <w:outlineLvl w:val="0"/>
    </w:pPr>
    <w:rPr>
      <w:rFonts w:hint="eastAsia" w:ascii="宋体" w:hAnsi="宋体" w:eastAsia="宋体"/>
      <w:b/>
      <w:bCs/>
      <w:kern w:val="44"/>
      <w:sz w:val="48"/>
      <w:szCs w:val="48"/>
    </w:rPr>
  </w:style>
  <w:style w:type="paragraph" w:styleId="3">
    <w:name w:val="heading 2"/>
    <w:basedOn w:val="1"/>
    <w:next w:val="1"/>
    <w:link w:val="39"/>
    <w:qFormat/>
    <w:uiPriority w:val="0"/>
    <w:pPr>
      <w:keepNext/>
      <w:keepLines/>
      <w:spacing w:line="360" w:lineRule="auto"/>
      <w:jc w:val="center"/>
      <w:outlineLvl w:val="1"/>
    </w:pPr>
    <w:rPr>
      <w:rFonts w:ascii="Arial" w:hAnsi="Arial" w:eastAsia="宋体"/>
      <w:b/>
      <w:bCs/>
      <w:sz w:val="28"/>
      <w:szCs w:val="32"/>
    </w:rPr>
  </w:style>
  <w:style w:type="paragraph" w:styleId="4">
    <w:name w:val="heading 3"/>
    <w:basedOn w:val="1"/>
    <w:next w:val="1"/>
    <w:link w:val="40"/>
    <w:qFormat/>
    <w:uiPriority w:val="99"/>
    <w:pPr>
      <w:tabs>
        <w:tab w:val="left" w:pos="588"/>
      </w:tabs>
      <w:spacing w:line="360" w:lineRule="auto"/>
      <w:outlineLvl w:val="2"/>
    </w:pPr>
    <w:rPr>
      <w:rFonts w:ascii="Tahoma" w:hAnsi="Tahoma" w:eastAsia="宋体"/>
      <w:szCs w:val="24"/>
    </w:rPr>
  </w:style>
  <w:style w:type="paragraph" w:styleId="5">
    <w:name w:val="heading 4"/>
    <w:basedOn w:val="1"/>
    <w:next w:val="1"/>
    <w:link w:val="41"/>
    <w:qFormat/>
    <w:uiPriority w:val="99"/>
    <w:pPr>
      <w:keepNext/>
      <w:keepLines/>
      <w:adjustRightInd w:val="0"/>
      <w:spacing w:before="280" w:after="290" w:line="376" w:lineRule="atLeast"/>
      <w:textAlignment w:val="baseline"/>
      <w:outlineLvl w:val="3"/>
    </w:pPr>
    <w:rPr>
      <w:rFonts w:ascii="Arial" w:hAnsi="Times New Roman" w:eastAsia="宋体"/>
      <w:b/>
      <w:spacing w:val="20"/>
      <w:kern w:val="0"/>
      <w:sz w:val="20"/>
      <w:szCs w:val="24"/>
    </w:rPr>
  </w:style>
  <w:style w:type="paragraph" w:styleId="6">
    <w:name w:val="heading 6"/>
    <w:basedOn w:val="1"/>
    <w:next w:val="1"/>
    <w:link w:val="42"/>
    <w:qFormat/>
    <w:uiPriority w:val="99"/>
    <w:pPr>
      <w:keepNext/>
      <w:keepLines/>
      <w:spacing w:before="240" w:after="64" w:line="320" w:lineRule="auto"/>
      <w:outlineLvl w:val="5"/>
    </w:pPr>
    <w:rPr>
      <w:rFonts w:ascii="Calibri Light" w:hAnsi="Calibri Light" w:eastAsia="宋体"/>
      <w:b/>
      <w:bCs/>
      <w:sz w:val="24"/>
      <w:szCs w:val="24"/>
    </w:rPr>
  </w:style>
  <w:style w:type="character" w:default="1" w:styleId="25">
    <w:name w:val="Default Paragraph Font"/>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7">
    <w:name w:val="Normal Indent"/>
    <w:basedOn w:val="1"/>
    <w:next w:val="8"/>
    <w:qFormat/>
    <w:uiPriority w:val="0"/>
    <w:pPr>
      <w:spacing w:line="360" w:lineRule="auto"/>
      <w:ind w:firstLine="200" w:firstLineChars="200"/>
    </w:pPr>
    <w:rPr>
      <w:rFonts w:ascii="Times New Roman" w:hAnsi="Times New Roman" w:eastAsia="宋体"/>
      <w:sz w:val="24"/>
      <w:szCs w:val="20"/>
    </w:rPr>
  </w:style>
  <w:style w:type="paragraph" w:styleId="8">
    <w:name w:val="toc 4"/>
    <w:basedOn w:val="1"/>
    <w:next w:val="1"/>
    <w:unhideWhenUsed/>
    <w:qFormat/>
    <w:uiPriority w:val="39"/>
    <w:pPr>
      <w:ind w:left="1260" w:leftChars="600"/>
    </w:pPr>
  </w:style>
  <w:style w:type="paragraph" w:styleId="9">
    <w:name w:val="toa heading"/>
    <w:basedOn w:val="1"/>
    <w:next w:val="1"/>
    <w:qFormat/>
    <w:uiPriority w:val="0"/>
    <w:pPr>
      <w:spacing w:before="120"/>
    </w:pPr>
    <w:rPr>
      <w:rFonts w:ascii="Arial" w:hAnsi="Arial" w:eastAsia="宋体"/>
      <w:sz w:val="24"/>
      <w:szCs w:val="24"/>
    </w:rPr>
  </w:style>
  <w:style w:type="paragraph" w:styleId="10">
    <w:name w:val="annotation text"/>
    <w:basedOn w:val="1"/>
    <w:semiHidden/>
    <w:unhideWhenUsed/>
    <w:qFormat/>
    <w:uiPriority w:val="99"/>
    <w:pPr>
      <w:jc w:val="left"/>
    </w:pPr>
  </w:style>
  <w:style w:type="paragraph" w:styleId="11">
    <w:name w:val="Body Text"/>
    <w:basedOn w:val="1"/>
    <w:next w:val="1"/>
    <w:link w:val="43"/>
    <w:qFormat/>
    <w:uiPriority w:val="0"/>
    <w:pPr>
      <w:spacing w:after="120"/>
    </w:pPr>
    <w:rPr>
      <w:rFonts w:ascii="Times New Roman" w:hAnsi="Times New Roman" w:eastAsia="宋体"/>
      <w:szCs w:val="24"/>
    </w:rPr>
  </w:style>
  <w:style w:type="paragraph" w:styleId="12">
    <w:name w:val="Body Text Indent"/>
    <w:basedOn w:val="1"/>
    <w:next w:val="13"/>
    <w:link w:val="28"/>
    <w:unhideWhenUsed/>
    <w:qFormat/>
    <w:uiPriority w:val="0"/>
    <w:pPr>
      <w:spacing w:after="120"/>
      <w:ind w:left="420" w:leftChars="200"/>
    </w:pPr>
  </w:style>
  <w:style w:type="paragraph" w:styleId="13">
    <w:name w:val="annotation subject"/>
    <w:basedOn w:val="10"/>
    <w:next w:val="10"/>
    <w:unhideWhenUsed/>
    <w:qFormat/>
    <w:uiPriority w:val="99"/>
    <w:rPr>
      <w:b/>
      <w:bCs/>
    </w:rPr>
  </w:style>
  <w:style w:type="paragraph" w:styleId="14">
    <w:name w:val="Plain Text"/>
    <w:basedOn w:val="1"/>
    <w:link w:val="44"/>
    <w:qFormat/>
    <w:uiPriority w:val="0"/>
    <w:pPr>
      <w:spacing w:line="360" w:lineRule="auto"/>
    </w:pPr>
    <w:rPr>
      <w:rFonts w:ascii="宋体" w:hAnsi="Courier New" w:eastAsia="宋体"/>
      <w:szCs w:val="21"/>
    </w:rPr>
  </w:style>
  <w:style w:type="paragraph" w:styleId="15">
    <w:name w:val="Body Text Indent 2"/>
    <w:basedOn w:val="1"/>
    <w:link w:val="45"/>
    <w:qFormat/>
    <w:uiPriority w:val="0"/>
    <w:pPr>
      <w:ind w:firstLine="630"/>
    </w:pPr>
    <w:rPr>
      <w:rFonts w:ascii="Times New Roman" w:hAnsi="Times New Roman" w:eastAsia="宋体"/>
      <w:sz w:val="32"/>
      <w:szCs w:val="20"/>
    </w:rPr>
  </w:style>
  <w:style w:type="paragraph" w:styleId="16">
    <w:name w:val="footer"/>
    <w:basedOn w:val="1"/>
    <w:link w:val="46"/>
    <w:unhideWhenUsed/>
    <w:qFormat/>
    <w:uiPriority w:val="99"/>
    <w:pPr>
      <w:tabs>
        <w:tab w:val="center" w:pos="4153"/>
        <w:tab w:val="right" w:pos="8306"/>
      </w:tabs>
      <w:snapToGrid w:val="0"/>
      <w:jc w:val="center"/>
    </w:pPr>
    <w:rPr>
      <w:rFonts w:ascii="Times New Roman" w:hAnsi="Times New Roman" w:eastAsia="宋体"/>
      <w:b/>
      <w:sz w:val="18"/>
      <w:szCs w:val="24"/>
    </w:rPr>
  </w:style>
  <w:style w:type="paragraph" w:styleId="17">
    <w:name w:val="header"/>
    <w:basedOn w:val="1"/>
    <w:link w:val="47"/>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right"/>
    </w:pPr>
    <w:rPr>
      <w:rFonts w:ascii="Times New Roman" w:hAnsi="Times New Roman" w:eastAsia="宋体"/>
      <w:sz w:val="18"/>
      <w:szCs w:val="24"/>
    </w:rPr>
  </w:style>
  <w:style w:type="paragraph" w:styleId="18">
    <w:name w:val="toc 1"/>
    <w:basedOn w:val="1"/>
    <w:next w:val="1"/>
    <w:unhideWhenUsed/>
    <w:qFormat/>
    <w:uiPriority w:val="39"/>
  </w:style>
  <w:style w:type="paragraph" w:styleId="19">
    <w:name w:val="toc 2"/>
    <w:basedOn w:val="1"/>
    <w:next w:val="1"/>
    <w:unhideWhenUsed/>
    <w:qFormat/>
    <w:uiPriority w:val="39"/>
    <w:pPr>
      <w:ind w:left="420" w:leftChars="200"/>
    </w:pPr>
  </w:style>
  <w:style w:type="paragraph" w:styleId="20">
    <w:name w:val="Normal (Web)"/>
    <w:basedOn w:val="1"/>
    <w:qFormat/>
    <w:uiPriority w:val="0"/>
    <w:pPr>
      <w:widowControl/>
      <w:spacing w:beforeAutospacing="1" w:afterAutospacing="1"/>
      <w:jc w:val="left"/>
    </w:pPr>
    <w:rPr>
      <w:rFonts w:ascii="宋体" w:hAnsi="宋体" w:eastAsia="宋体" w:cs="宋体"/>
      <w:kern w:val="0"/>
      <w:sz w:val="24"/>
      <w:szCs w:val="24"/>
    </w:rPr>
  </w:style>
  <w:style w:type="paragraph" w:styleId="21">
    <w:name w:val="Body Text First Indent"/>
    <w:basedOn w:val="11"/>
    <w:semiHidden/>
    <w:qFormat/>
    <w:uiPriority w:val="0"/>
    <w:pPr>
      <w:ind w:firstLine="420" w:firstLineChars="100"/>
    </w:pPr>
  </w:style>
  <w:style w:type="paragraph" w:styleId="22">
    <w:name w:val="Body Text First Indent 2"/>
    <w:basedOn w:val="12"/>
    <w:link w:val="29"/>
    <w:unhideWhenUsed/>
    <w:qFormat/>
    <w:uiPriority w:val="0"/>
    <w:pPr>
      <w:spacing w:after="0"/>
      <w:ind w:left="0" w:leftChars="0" w:firstLine="420" w:firstLineChars="200"/>
    </w:pPr>
    <w:rPr>
      <w:rFonts w:ascii="Times New Roman" w:hAnsi="Times New Roman" w:eastAsia="宋体"/>
      <w:sz w:val="32"/>
      <w:szCs w:val="20"/>
    </w:rPr>
  </w:style>
  <w:style w:type="table" w:styleId="24">
    <w:name w:val="Table Grid"/>
    <w:basedOn w:val="23"/>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qFormat/>
    <w:uiPriority w:val="0"/>
    <w:rPr>
      <w:b/>
      <w:bCs/>
    </w:rPr>
  </w:style>
  <w:style w:type="character" w:styleId="27">
    <w:name w:val="Hyperlink"/>
    <w:unhideWhenUsed/>
    <w:qFormat/>
    <w:uiPriority w:val="99"/>
    <w:rPr>
      <w:color w:val="0563C1"/>
      <w:u w:val="single"/>
    </w:rPr>
  </w:style>
  <w:style w:type="character" w:customStyle="1" w:styleId="28">
    <w:name w:val="正文文本缩进 字符"/>
    <w:basedOn w:val="25"/>
    <w:link w:val="12"/>
    <w:semiHidden/>
    <w:qFormat/>
    <w:uiPriority w:val="99"/>
  </w:style>
  <w:style w:type="character" w:customStyle="1" w:styleId="29">
    <w:name w:val="正文文本首行缩进 2 字符"/>
    <w:link w:val="22"/>
    <w:qFormat/>
    <w:uiPriority w:val="0"/>
    <w:rPr>
      <w:rFonts w:ascii="Times New Roman" w:hAnsi="Times New Roman" w:eastAsia="宋体" w:cs="Times New Roman"/>
      <w:sz w:val="32"/>
      <w:szCs w:val="20"/>
    </w:rPr>
  </w:style>
  <w:style w:type="paragraph" w:customStyle="1" w:styleId="30">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31">
    <w:name w:val="章 标题"/>
    <w:basedOn w:val="1"/>
    <w:link w:val="33"/>
    <w:qFormat/>
    <w:uiPriority w:val="0"/>
    <w:pPr>
      <w:spacing w:before="100" w:beforeLines="100" w:after="100" w:afterLines="100"/>
      <w:jc w:val="center"/>
    </w:pPr>
    <w:rPr>
      <w:rFonts w:ascii="Times New Roman" w:hAnsi="Times New Roman" w:eastAsia="华文中宋"/>
      <w:b/>
      <w:sz w:val="32"/>
    </w:rPr>
  </w:style>
  <w:style w:type="paragraph" w:customStyle="1" w:styleId="32">
    <w:name w:val="一级标题"/>
    <w:basedOn w:val="1"/>
    <w:link w:val="35"/>
    <w:qFormat/>
    <w:uiPriority w:val="0"/>
    <w:pPr>
      <w:spacing w:before="50" w:beforeLines="50" w:after="50" w:afterLines="50"/>
      <w:jc w:val="left"/>
    </w:pPr>
    <w:rPr>
      <w:rFonts w:ascii="Times New Roman" w:hAnsi="Times New Roman" w:eastAsia="宋体"/>
      <w:b/>
      <w:sz w:val="28"/>
    </w:rPr>
  </w:style>
  <w:style w:type="character" w:customStyle="1" w:styleId="33">
    <w:name w:val="章 标题 字符"/>
    <w:link w:val="31"/>
    <w:qFormat/>
    <w:uiPriority w:val="0"/>
    <w:rPr>
      <w:rFonts w:ascii="Times New Roman" w:hAnsi="Times New Roman" w:eastAsia="华文中宋"/>
      <w:b/>
      <w:sz w:val="32"/>
    </w:rPr>
  </w:style>
  <w:style w:type="paragraph" w:customStyle="1" w:styleId="34">
    <w:name w:val="正文 样式"/>
    <w:basedOn w:val="1"/>
    <w:link w:val="37"/>
    <w:qFormat/>
    <w:uiPriority w:val="0"/>
    <w:pPr>
      <w:spacing w:line="360" w:lineRule="auto"/>
      <w:ind w:firstLine="200" w:firstLineChars="200"/>
      <w:jc w:val="left"/>
    </w:pPr>
    <w:rPr>
      <w:rFonts w:ascii="Times New Roman" w:hAnsi="Times New Roman" w:eastAsia="宋体"/>
      <w:sz w:val="24"/>
    </w:rPr>
  </w:style>
  <w:style w:type="character" w:customStyle="1" w:styleId="35">
    <w:name w:val="一级标题 字符"/>
    <w:link w:val="32"/>
    <w:qFormat/>
    <w:uiPriority w:val="0"/>
    <w:rPr>
      <w:rFonts w:ascii="Times New Roman" w:hAnsi="Times New Roman" w:eastAsia="宋体"/>
      <w:b/>
      <w:sz w:val="28"/>
    </w:rPr>
  </w:style>
  <w:style w:type="paragraph" w:customStyle="1" w:styleId="36">
    <w:name w:val="Table Text"/>
    <w:basedOn w:val="1"/>
    <w:semiHidden/>
    <w:qFormat/>
    <w:uiPriority w:val="0"/>
    <w:rPr>
      <w:rFonts w:ascii="宋体" w:hAnsi="宋体" w:eastAsia="宋体" w:cs="宋体"/>
      <w:sz w:val="20"/>
      <w:szCs w:val="20"/>
      <w:lang w:eastAsia="en-US"/>
    </w:rPr>
  </w:style>
  <w:style w:type="character" w:customStyle="1" w:styleId="37">
    <w:name w:val="正文 样式 字符"/>
    <w:link w:val="34"/>
    <w:qFormat/>
    <w:uiPriority w:val="0"/>
    <w:rPr>
      <w:rFonts w:ascii="Times New Roman" w:hAnsi="Times New Roman" w:eastAsia="宋体"/>
      <w:sz w:val="24"/>
    </w:rPr>
  </w:style>
  <w:style w:type="character" w:customStyle="1" w:styleId="38">
    <w:name w:val="标题 1 字符"/>
    <w:qFormat/>
    <w:uiPriority w:val="0"/>
    <w:rPr>
      <w:rFonts w:ascii="宋体" w:hAnsi="宋体" w:eastAsia="宋体" w:cs="Times New Roman"/>
      <w:b/>
      <w:bCs/>
      <w:kern w:val="44"/>
      <w:sz w:val="48"/>
      <w:szCs w:val="48"/>
    </w:rPr>
  </w:style>
  <w:style w:type="character" w:customStyle="1" w:styleId="39">
    <w:name w:val="标题 2 字符"/>
    <w:link w:val="3"/>
    <w:qFormat/>
    <w:uiPriority w:val="0"/>
    <w:rPr>
      <w:rFonts w:ascii="Arial" w:hAnsi="Arial" w:eastAsia="宋体" w:cs="Times New Roman"/>
      <w:b/>
      <w:bCs/>
      <w:sz w:val="28"/>
      <w:szCs w:val="32"/>
    </w:rPr>
  </w:style>
  <w:style w:type="character" w:customStyle="1" w:styleId="40">
    <w:name w:val="标题 3 字符"/>
    <w:link w:val="4"/>
    <w:qFormat/>
    <w:uiPriority w:val="99"/>
    <w:rPr>
      <w:rFonts w:ascii="Tahoma" w:hAnsi="Tahoma" w:eastAsia="宋体" w:cs="Times New Roman"/>
      <w:szCs w:val="24"/>
    </w:rPr>
  </w:style>
  <w:style w:type="character" w:customStyle="1" w:styleId="41">
    <w:name w:val="标题 4 字符"/>
    <w:link w:val="5"/>
    <w:qFormat/>
    <w:uiPriority w:val="99"/>
    <w:rPr>
      <w:rFonts w:ascii="Arial" w:hAnsi="Times New Roman" w:eastAsia="宋体" w:cs="Times New Roman"/>
      <w:b/>
      <w:spacing w:val="20"/>
      <w:kern w:val="0"/>
      <w:sz w:val="20"/>
      <w:szCs w:val="24"/>
    </w:rPr>
  </w:style>
  <w:style w:type="character" w:customStyle="1" w:styleId="42">
    <w:name w:val="标题 6 字符"/>
    <w:link w:val="6"/>
    <w:qFormat/>
    <w:uiPriority w:val="99"/>
    <w:rPr>
      <w:rFonts w:ascii="Calibri Light" w:hAnsi="Calibri Light" w:eastAsia="宋体" w:cs="Times New Roman"/>
      <w:b/>
      <w:bCs/>
      <w:sz w:val="24"/>
      <w:szCs w:val="24"/>
    </w:rPr>
  </w:style>
  <w:style w:type="character" w:customStyle="1" w:styleId="43">
    <w:name w:val="正文文本 字符"/>
    <w:link w:val="11"/>
    <w:qFormat/>
    <w:uiPriority w:val="0"/>
    <w:rPr>
      <w:rFonts w:ascii="Times New Roman" w:hAnsi="Times New Roman" w:eastAsia="宋体" w:cs="Times New Roman"/>
      <w:szCs w:val="24"/>
    </w:rPr>
  </w:style>
  <w:style w:type="character" w:customStyle="1" w:styleId="44">
    <w:name w:val="纯文本 字符"/>
    <w:link w:val="14"/>
    <w:qFormat/>
    <w:uiPriority w:val="0"/>
    <w:rPr>
      <w:rFonts w:ascii="宋体" w:hAnsi="Courier New" w:eastAsia="宋体" w:cs="Times New Roman"/>
      <w:szCs w:val="21"/>
    </w:rPr>
  </w:style>
  <w:style w:type="character" w:customStyle="1" w:styleId="45">
    <w:name w:val="正文文本缩进 2 字符"/>
    <w:link w:val="15"/>
    <w:qFormat/>
    <w:uiPriority w:val="0"/>
    <w:rPr>
      <w:rFonts w:ascii="Times New Roman" w:hAnsi="Times New Roman" w:eastAsia="宋体" w:cs="Times New Roman"/>
      <w:sz w:val="32"/>
      <w:szCs w:val="20"/>
    </w:rPr>
  </w:style>
  <w:style w:type="character" w:customStyle="1" w:styleId="46">
    <w:name w:val="页脚 字符"/>
    <w:link w:val="16"/>
    <w:qFormat/>
    <w:uiPriority w:val="99"/>
    <w:rPr>
      <w:rFonts w:ascii="Times New Roman" w:hAnsi="Times New Roman" w:eastAsia="宋体" w:cs="Times New Roman"/>
      <w:b/>
      <w:sz w:val="18"/>
      <w:szCs w:val="24"/>
    </w:rPr>
  </w:style>
  <w:style w:type="character" w:customStyle="1" w:styleId="47">
    <w:name w:val="页眉 字符"/>
    <w:link w:val="17"/>
    <w:qFormat/>
    <w:uiPriority w:val="0"/>
    <w:rPr>
      <w:rFonts w:ascii="Times New Roman" w:hAnsi="Times New Roman" w:eastAsia="宋体"/>
      <w:kern w:val="2"/>
      <w:sz w:val="18"/>
      <w:szCs w:val="24"/>
    </w:rPr>
  </w:style>
  <w:style w:type="paragraph" w:customStyle="1" w:styleId="48">
    <w:name w:val="列出段落1"/>
    <w:basedOn w:val="1"/>
    <w:qFormat/>
    <w:uiPriority w:val="0"/>
    <w:pPr>
      <w:ind w:firstLine="420" w:firstLineChars="200"/>
    </w:pPr>
    <w:rPr>
      <w:rFonts w:ascii="Times New Roman" w:hAnsi="Times New Roman" w:eastAsia="宋体"/>
      <w:szCs w:val="21"/>
    </w:rPr>
  </w:style>
  <w:style w:type="table" w:customStyle="1" w:styleId="49">
    <w:name w:val="Table Normal"/>
    <w:semiHidden/>
    <w:unhideWhenUsed/>
    <w:qFormat/>
    <w:uiPriority w:val="0"/>
    <w:tblPr>
      <w:tblCellMar>
        <w:top w:w="0" w:type="dxa"/>
        <w:left w:w="0" w:type="dxa"/>
        <w:bottom w:w="0" w:type="dxa"/>
        <w:right w:w="0" w:type="dxa"/>
      </w:tblCellMar>
    </w:tblPr>
  </w:style>
  <w:style w:type="paragraph" w:customStyle="1" w:styleId="50">
    <w:name w:val="p0"/>
    <w:basedOn w:val="1"/>
    <w:qFormat/>
    <w:uiPriority w:val="0"/>
    <w:pPr>
      <w:widowControl/>
    </w:pPr>
    <w:rPr>
      <w:rFonts w:ascii="Times New Roman" w:hAnsi="Times New Roman" w:eastAsia="宋体"/>
      <w:kern w:val="0"/>
      <w:szCs w:val="21"/>
    </w:rPr>
  </w:style>
  <w:style w:type="paragraph" w:customStyle="1" w:styleId="51">
    <w:name w:val="样式2"/>
    <w:basedOn w:val="52"/>
    <w:qFormat/>
    <w:uiPriority w:val="0"/>
    <w:pPr>
      <w:spacing w:line="560" w:lineRule="exact"/>
      <w:ind w:firstLine="643" w:firstLineChars="200"/>
      <w:jc w:val="both"/>
    </w:pPr>
    <w:rPr>
      <w:rFonts w:ascii="仿宋_GB2312" w:hAnsi="仿宋" w:eastAsia="仿宋_GB2312"/>
      <w:b/>
      <w:bCs/>
      <w:szCs w:val="32"/>
    </w:rPr>
  </w:style>
  <w:style w:type="paragraph" w:customStyle="1" w:styleId="52">
    <w:name w:val="@标题"/>
    <w:basedOn w:val="1"/>
    <w:next w:val="53"/>
    <w:qFormat/>
    <w:uiPriority w:val="0"/>
    <w:pPr>
      <w:keepNext/>
      <w:spacing w:before="50" w:beforeLines="50" w:after="50" w:afterLines="50"/>
      <w:jc w:val="center"/>
      <w:outlineLvl w:val="1"/>
    </w:pPr>
    <w:rPr>
      <w:rFonts w:ascii="Calibri" w:hAnsi="Calibri" w:eastAsia="黑体"/>
      <w:kern w:val="32"/>
      <w:sz w:val="32"/>
      <w:szCs w:val="24"/>
    </w:rPr>
  </w:style>
  <w:style w:type="paragraph" w:customStyle="1" w:styleId="53">
    <w:name w:val="@正文"/>
    <w:basedOn w:val="54"/>
    <w:qFormat/>
    <w:uiPriority w:val="0"/>
    <w:pPr>
      <w:wordWrap/>
      <w:spacing w:line="240" w:lineRule="auto"/>
      <w:ind w:firstLine="200" w:firstLineChars="200"/>
    </w:pPr>
    <w:rPr>
      <w:rFonts w:ascii="Calibri" w:hAnsi="Calibri" w:eastAsia="宋体" w:cs="等线"/>
      <w:color w:val="000000"/>
      <w:kern w:val="24"/>
      <w:sz w:val="24"/>
      <w:szCs w:val="24"/>
    </w:rPr>
  </w:style>
  <w:style w:type="paragraph" w:customStyle="1" w:styleId="54">
    <w:name w:val="※正文"/>
    <w:basedOn w:val="1"/>
    <w:next w:val="1"/>
    <w:qFormat/>
    <w:uiPriority w:val="0"/>
    <w:pPr>
      <w:wordWrap w:val="0"/>
      <w:spacing w:line="400" w:lineRule="exact"/>
    </w:pPr>
    <w:rPr>
      <w:rFonts w:ascii="Calibri Light" w:hAnsi="Calibri Light" w:eastAsia="华文仿宋"/>
      <w:sz w:val="28"/>
      <w:szCs w:val="28"/>
    </w:rPr>
  </w:style>
  <w:style w:type="paragraph" w:customStyle="1" w:styleId="55">
    <w:name w:val="页眉1"/>
    <w:basedOn w:val="1"/>
    <w:next w:val="17"/>
    <w:qFormat/>
    <w:uiPriority w:val="0"/>
    <w:pPr>
      <w:pBdr>
        <w:bottom w:val="single" w:color="auto" w:sz="6" w:space="1"/>
      </w:pBdr>
      <w:tabs>
        <w:tab w:val="center" w:pos="4153"/>
        <w:tab w:val="right" w:pos="8306"/>
      </w:tabs>
      <w:snapToGrid w:val="0"/>
      <w:jc w:val="center"/>
    </w:pPr>
    <w:rPr>
      <w:rFonts w:ascii="Calibri Light" w:hAnsi="Calibri Light" w:eastAsia="华文仿宋"/>
      <w:sz w:val="18"/>
      <w:szCs w:val="28"/>
    </w:rPr>
  </w:style>
  <w:style w:type="paragraph" w:customStyle="1" w:styleId="56">
    <w:name w:val="页脚1"/>
    <w:basedOn w:val="1"/>
    <w:next w:val="16"/>
    <w:qFormat/>
    <w:uiPriority w:val="99"/>
    <w:pPr>
      <w:tabs>
        <w:tab w:val="center" w:pos="4153"/>
        <w:tab w:val="right" w:pos="8306"/>
      </w:tabs>
      <w:snapToGrid w:val="0"/>
      <w:jc w:val="left"/>
    </w:pPr>
    <w:rPr>
      <w:rFonts w:ascii="Calibri Light" w:hAnsi="Calibri Light" w:eastAsia="华文仿宋"/>
      <w:sz w:val="18"/>
      <w:szCs w:val="28"/>
    </w:rPr>
  </w:style>
  <w:style w:type="paragraph" w:customStyle="1" w:styleId="57">
    <w:name w:val="样式3"/>
    <w:basedOn w:val="1"/>
    <w:qFormat/>
    <w:uiPriority w:val="0"/>
    <w:pPr>
      <w:spacing w:line="560" w:lineRule="exact"/>
      <w:jc w:val="center"/>
    </w:pPr>
    <w:rPr>
      <w:rFonts w:ascii="方正小标宋_GBK" w:hAnsi="仿宋" w:eastAsia="方正小标宋_GBK"/>
      <w:sz w:val="36"/>
      <w:szCs w:val="36"/>
    </w:rPr>
  </w:style>
  <w:style w:type="paragraph" w:customStyle="1" w:styleId="58">
    <w:name w:val="样式1"/>
    <w:basedOn w:val="4"/>
    <w:qFormat/>
    <w:uiPriority w:val="0"/>
    <w:pPr>
      <w:jc w:val="left"/>
    </w:pPr>
    <w:rPr>
      <w:rFonts w:eastAsia="楷体"/>
      <w:sz w:val="32"/>
    </w:rPr>
  </w:style>
  <w:style w:type="paragraph" w:customStyle="1" w:styleId="59">
    <w:name w:val="副文 样式"/>
    <w:basedOn w:val="1"/>
    <w:link w:val="61"/>
    <w:qFormat/>
    <w:uiPriority w:val="0"/>
    <w:pPr>
      <w:ind w:firstLine="200" w:firstLineChars="200"/>
      <w:jc w:val="left"/>
    </w:pPr>
    <w:rPr>
      <w:rFonts w:ascii="Times New Roman" w:hAnsi="Times New Roman" w:eastAsia="宋体"/>
      <w:sz w:val="24"/>
    </w:rPr>
  </w:style>
  <w:style w:type="paragraph" w:customStyle="1" w:styleId="60">
    <w:name w:val="副本 标题"/>
    <w:basedOn w:val="1"/>
    <w:link w:val="63"/>
    <w:qFormat/>
    <w:uiPriority w:val="0"/>
    <w:pPr>
      <w:spacing w:before="100" w:beforeLines="100" w:after="100" w:afterLines="100"/>
      <w:jc w:val="center"/>
    </w:pPr>
    <w:rPr>
      <w:rFonts w:ascii="Times New Roman" w:hAnsi="Times New Roman" w:eastAsia="宋体"/>
      <w:b/>
      <w:sz w:val="28"/>
    </w:rPr>
  </w:style>
  <w:style w:type="character" w:customStyle="1" w:styleId="61">
    <w:name w:val="副文 样式 字符"/>
    <w:link w:val="59"/>
    <w:qFormat/>
    <w:uiPriority w:val="0"/>
    <w:rPr>
      <w:rFonts w:ascii="Times New Roman" w:hAnsi="Times New Roman" w:eastAsia="宋体"/>
      <w:sz w:val="24"/>
    </w:rPr>
  </w:style>
  <w:style w:type="paragraph" w:customStyle="1" w:styleId="62">
    <w:name w:val="TOC 标题1"/>
    <w:basedOn w:val="2"/>
    <w:next w:val="1"/>
    <w:unhideWhenUsed/>
    <w:qFormat/>
    <w:uiPriority w:val="39"/>
    <w:pPr>
      <w:keepNext/>
      <w:keepLines/>
      <w:widowControl/>
      <w:spacing w:before="240" w:beforeAutospacing="0" w:afterAutospacing="0" w:line="259" w:lineRule="auto"/>
      <w:outlineLvl w:val="9"/>
    </w:pPr>
    <w:rPr>
      <w:rFonts w:hint="default" w:ascii="等线 Light" w:hAnsi="等线 Light" w:eastAsia="等线 Light"/>
      <w:b w:val="0"/>
      <w:bCs w:val="0"/>
      <w:color w:val="2E74B5"/>
      <w:kern w:val="0"/>
      <w:sz w:val="32"/>
      <w:szCs w:val="32"/>
    </w:rPr>
  </w:style>
  <w:style w:type="character" w:customStyle="1" w:styleId="63">
    <w:name w:val="副本 标题 字符"/>
    <w:link w:val="60"/>
    <w:qFormat/>
    <w:uiPriority w:val="0"/>
    <w:rPr>
      <w:rFonts w:ascii="Times New Roman" w:hAnsi="Times New Roman" w:eastAsia="宋体"/>
      <w:b/>
      <w:sz w:val="28"/>
    </w:rPr>
  </w:style>
  <w:style w:type="paragraph" w:customStyle="1" w:styleId="64">
    <w:name w:val="无间隔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65">
    <w:name w:val="4"/>
    <w:basedOn w:val="1"/>
    <w:next w:val="66"/>
    <w:qFormat/>
    <w:uiPriority w:val="34"/>
    <w:pPr>
      <w:ind w:firstLine="420" w:firstLineChars="200"/>
    </w:pPr>
    <w:rPr>
      <w:rFonts w:eastAsia="宋体"/>
    </w:rPr>
  </w:style>
  <w:style w:type="paragraph" w:styleId="66">
    <w:name w:val="List Paragraph"/>
    <w:basedOn w:val="1"/>
    <w:qFormat/>
    <w:uiPriority w:val="34"/>
    <w:pPr>
      <w:ind w:firstLine="420" w:firstLineChars="200"/>
    </w:pPr>
  </w:style>
  <w:style w:type="character" w:customStyle="1" w:styleId="67">
    <w:name w:val="标题 1 字符1"/>
    <w:link w:val="2"/>
    <w:qFormat/>
    <w:uiPriority w:val="0"/>
    <w:rPr>
      <w:b/>
      <w:bCs/>
      <w:kern w:val="44"/>
      <w:sz w:val="44"/>
      <w:szCs w:val="44"/>
    </w:rPr>
  </w:style>
  <w:style w:type="paragraph" w:customStyle="1" w:styleId="68">
    <w:name w:val="正文 New"/>
    <w:qFormat/>
    <w:uiPriority w:val="99"/>
    <w:pPr>
      <w:widowControl w:val="0"/>
      <w:jc w:val="both"/>
    </w:pPr>
    <w:rPr>
      <w:rFonts w:ascii="Calibri" w:hAnsi="Calibri" w:eastAsia="宋体" w:cs="Times New Roman"/>
      <w:lang w:val="en-US" w:eastAsia="zh-CN" w:bidi="ar-SA"/>
    </w:rPr>
  </w:style>
  <w:style w:type="paragraph" w:customStyle="1" w:styleId="69">
    <w:name w:val="WPSOffice手动目录 1"/>
    <w:qFormat/>
    <w:uiPriority w:val="0"/>
    <w:rPr>
      <w:rFonts w:ascii="Times New Roman" w:hAnsi="Times New Roman" w:eastAsia="宋体" w:cs="Times New Roman"/>
      <w:lang w:val="en-US" w:eastAsia="zh-CN" w:bidi="ar-SA"/>
    </w:rPr>
  </w:style>
  <w:style w:type="paragraph" w:customStyle="1" w:styleId="70">
    <w:name w:val="u-content"/>
    <w:basedOn w:val="1"/>
    <w:qFormat/>
    <w:uiPriority w:val="0"/>
    <w:pPr>
      <w:spacing w:before="100" w:beforeAutospacing="1" w:after="100" w:afterAutospacing="1"/>
    </w:pPr>
    <w:rPr>
      <w:rFonts w:eastAsia="宋体"/>
    </w:rPr>
  </w:style>
  <w:style w:type="character" w:customStyle="1" w:styleId="71">
    <w:name w:val="u-content1"/>
    <w:basedOn w:val="25"/>
    <w:qFormat/>
    <w:uiPriority w:val="0"/>
  </w:style>
  <w:style w:type="character" w:customStyle="1" w:styleId="72">
    <w:name w:val="noticepurchasetime-noticepurchasetime"/>
    <w:basedOn w:val="25"/>
    <w:qFormat/>
    <w:uiPriority w:val="0"/>
  </w:style>
  <w:style w:type="paragraph" w:customStyle="1" w:styleId="73">
    <w:name w:val="null3"/>
    <w:qFormat/>
    <w:uiPriority w:val="0"/>
    <w:rPr>
      <w:rFonts w:hint="eastAsia" w:ascii="Calibri" w:hAnsi="Calibri" w:eastAsia="宋体" w:cs="Times New Roman"/>
      <w:lang w:val="en-US" w:eastAsia="zh-Hans"/>
    </w:rPr>
  </w:style>
  <w:style w:type="paragraph" w:customStyle="1" w:styleId="74">
    <w:name w:val="样式 首行缩进:  2 字符"/>
    <w:basedOn w:val="1"/>
    <w:qFormat/>
    <w:uiPriority w:val="0"/>
    <w:pPr>
      <w:spacing w:line="400" w:lineRule="exact"/>
      <w:ind w:firstLine="200" w:firstLineChars="200"/>
    </w:pPr>
    <w:rPr>
      <w:rFonts w:cs="宋体"/>
      <w:sz w:val="24"/>
    </w:rPr>
  </w:style>
  <w:style w:type="paragraph" w:customStyle="1" w:styleId="75">
    <w:name w:val="Table Paragraph"/>
    <w:basedOn w:val="1"/>
    <w:qFormat/>
    <w:uiPriority w:val="1"/>
    <w:pPr>
      <w:jc w:val="left"/>
    </w:pPr>
    <w:rPr>
      <w:rFonts w:ascii="Calibri" w:hAnsi="Calibri" w:eastAsia="Calibri" w:cs="Times New Roman"/>
      <w:kern w:val="0"/>
      <w:sz w:val="22"/>
      <w:szCs w:val="22"/>
      <w:lang w:eastAsia="en-US"/>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83</Pages>
  <Words>87</Words>
  <Characters>100</Characters>
  <Lines>314</Lines>
  <Paragraphs>88</Paragraphs>
  <TotalTime>7</TotalTime>
  <ScaleCrop>false</ScaleCrop>
  <LinksUpToDate>false</LinksUpToDate>
  <CharactersWithSpaces>101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2024-03-25T18:13:00Z</dcterms:created>
  <dc:creator>Administrator</dc:creator>
  <cp:lastModifiedBy>说唱</cp:lastModifiedBy>
  <cp:lastPrinted>2026-08-24T07:23:00Z</cp:lastPrinted>
  <dcterms:modified xsi:type="dcterms:W3CDTF">2026-09-15T07:26:30Z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ED9A1D630754425EBD141B85351A43A1_13</vt:lpwstr>
  </property>
  <property fmtid="{D5CDD505-2E9C-101B-9397-08002B2CF9AE}" pid="4" name="KSOTemplateDocerSaveRecord">
    <vt:lpwstr>eyJoZGlkIjoiNmEzZTU0YzNiYjNiZDYwZjcyMzI4MDJhMWQxM2FkNzciLCJ1c2VySWQiOiI2OTA1MDM5MDMifQ==</vt:lpwstr>
  </property>
</Properties>
</file>