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版本号：0617-2621HZ0705.3.4B120260706001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血检科国产艾滋丙肝检测试剂耗材(二次)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0617-2621HZ0705.3.4B1</w:t>
      </w:r>
      <w:r>
        <w:br/>
      </w:r>
      <w:r>
        <w:br/>
      </w:r>
      <w:r>
        <w:br/>
      </w:r>
    </w:p>
    <w:p>
      <w:pPr>
        <w:pStyle w:val="null3"/>
        <w:jc w:val="center"/>
        <w:outlineLvl w:val="2"/>
      </w:pPr>
      <w:r>
        <w:rPr>
          <w:rFonts w:ascii="仿宋_GB2312" w:hAnsi="仿宋_GB2312" w:cs="仿宋_GB2312" w:eastAsia="仿宋_GB2312"/>
          <w:sz w:val="28"/>
          <w:b/>
        </w:rPr>
        <w:t>西安市中心血站</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西安市中心血站</w:t>
      </w:r>
      <w:r>
        <w:rPr>
          <w:rFonts w:ascii="仿宋_GB2312" w:hAnsi="仿宋_GB2312" w:cs="仿宋_GB2312" w:eastAsia="仿宋_GB2312"/>
        </w:rPr>
        <w:t>委托，拟对</w:t>
      </w:r>
      <w:r>
        <w:rPr>
          <w:rFonts w:ascii="仿宋_GB2312" w:hAnsi="仿宋_GB2312" w:cs="仿宋_GB2312" w:eastAsia="仿宋_GB2312"/>
        </w:rPr>
        <w:t>血检科国产艾滋丙肝检测试剂耗材(二次)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0617-2621HZ0705.3.4B1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血检科国产艾滋丙肝检测试剂耗材(二次)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血检科国产艾滋丙肝检测试剂耗材，1批。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产品经营资格：1、所投产品纳入医疗器械管理的，投标人的投标产品经营资格应符合国家相关规定并提供相关证明文件（①投标人为经销商的，提供“医疗器械经营许可证”或“医疗器械经营备案证”。②投标人为生产商的，提供“医疗器械生产许可证”或“医疗器械生产备案凭证”。③提供所投产品（医疗器械）的“医疗器械注册证”或“医疗器械备案证”）；2、所投产品纳入属于药品管理的，投标人的投标产品经营资格应符合国家相关规定并提供相关证明文件（①投标人为经销商的，提供“药品经营许可证”。②投标人为生产商的，提供“药品生产许可证”。③提供所投标产品（药品）的“注册证”或“再注册批件”）。供应商需在项目电子化交易系统中按要求上传相应证明文件并进行电子签章。</w:t>
      </w:r>
    </w:p>
    <w:p>
      <w:pPr>
        <w:pStyle w:val="null3"/>
      </w:pPr>
      <w:r>
        <w:rPr>
          <w:rFonts w:ascii="仿宋_GB2312" w:hAnsi="仿宋_GB2312" w:cs="仿宋_GB2312" w:eastAsia="仿宋_GB2312"/>
        </w:rPr>
        <w:t>2、承诺书：按格式要求提供关联关系与廉洁承诺书。供应商需在项目电子化交易系统中按要求上传相应证明文件并进行电子签章。</w:t>
      </w:r>
    </w:p>
    <w:p>
      <w:pPr>
        <w:pStyle w:val="null3"/>
      </w:pPr>
      <w:r>
        <w:rPr>
          <w:rFonts w:ascii="仿宋_GB2312" w:hAnsi="仿宋_GB2312" w:cs="仿宋_GB2312" w:eastAsia="仿宋_GB2312"/>
        </w:rPr>
        <w:t>3、质量保证承诺书：按格式要求提供质量保证承诺书。供应商需在项目电子化交易系统中按要求上传相应证明文件并进行电子签章。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产品经营资格：1、所投产品纳入医疗器械管理的，投标人的投标产品经营资格应符合国家相关规定并提供相关证明文件（①投标人为经销商的，提供“医疗器械经营许可证”或“医疗器械经营备案证”。②投标人为生产商的，提供“医疗器械生产许可证”或“医疗器械生产备案凭证”。③提供所投产品（医疗器械）的“医疗器械注册证”或“医疗器械备案证”）；2、所投产品纳入属于药品管理的，投标人的投标产品经营资格应符合国家相关规定并提供相关证明文件（①投标人为经销商的，提供“药品经营许可证”。②投标人为生产商的，提供“药品生产许可证”。③提供所投标产品（药品）的“注册证”或“再注册批件”）。供应商需在项目电子化交易系统中按要求上传相应证明文件并进行电子签章。</w:t>
      </w:r>
    </w:p>
    <w:p>
      <w:pPr>
        <w:pStyle w:val="null3"/>
      </w:pPr>
      <w:r>
        <w:rPr>
          <w:rFonts w:ascii="仿宋_GB2312" w:hAnsi="仿宋_GB2312" w:cs="仿宋_GB2312" w:eastAsia="仿宋_GB2312"/>
        </w:rPr>
        <w:t>2、承诺书：按格式要求提供关联关系与廉洁承诺书。供应商需在项目电子化交易系统中按要求上传相应证明文件并进行电子签章。</w:t>
      </w:r>
    </w:p>
    <w:p>
      <w:pPr>
        <w:pStyle w:val="null3"/>
      </w:pPr>
      <w:r>
        <w:rPr>
          <w:rFonts w:ascii="仿宋_GB2312" w:hAnsi="仿宋_GB2312" w:cs="仿宋_GB2312" w:eastAsia="仿宋_GB2312"/>
        </w:rPr>
        <w:t>3、质量保证承诺书：按格式要求提供质量保证承诺书。供应商需在项目电子化交易系统中按要求上传相应证明文件并进行电子签章。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西安市中心血站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陕西省西安市雁塔区朱雀大街407号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西安市中心血站经办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029-85212746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张婉迪、宋鹏飞、张喆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029-85239900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采购包1：144,960.00元</w:t>
            </w:r>
          </w:p>
          <w:p>
            <w:pPr>
              <w:pStyle w:val="null3"/>
            </w:pPr>
            <w:r>
              <w:rPr>
                <w:rFonts w:ascii="仿宋_GB2312" w:hAnsi="仿宋_GB2312" w:cs="仿宋_GB2312" w:eastAsia="仿宋_GB2312"/>
              </w:rPr>
              <w:t>采购包2：125,000.00元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关于印发《招标代理服务收费管理暂行办法》的通知（计价格〔2002〕1980号）、《国家发展和改革委员会办公厅关于招标代理服务收费有关问题的通知》（发改办价格〔2003〕857号）规定的收费标准向中标供应商收取。2.缴费时间：确定中标人后3日内，由中标人向招标代理机构一次付清招标代理服务费。3.银行信息:户名：西北（陕西）国际招标有限公司开户银行：交通银行西安长安大学支行账号：611301151018010003843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西安市中心血站</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西安市中心血站</w:t>
      </w:r>
      <w:r>
        <w:rPr>
          <w:rFonts w:ascii="仿宋_GB2312" w:hAnsi="仿宋_GB2312" w:cs="仿宋_GB2312" w:eastAsia="仿宋_GB2312"/>
        </w:rPr>
        <w:t>负责解释。除上述招标文件内容，其他内容由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西安市中心血站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按现行的国家标准或国家行政部门颁布的法律法规、规章制度以及相应的行业标准等进行货物验收，如发现质量问题应进行退换货。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按现行的国家标准或国家行政部门颁布的法律法规、规章制度以及相应的行业标准等进行货物验收，如发现质量问题应进行退换货。</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地址：陕西省西安市雁塔区南二环西段58号成长大厦12楼1203室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血检科国产艾滋丙肝检测试剂耗材，1批。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144,960.00</w:t>
      </w:r>
    </w:p>
    <w:p>
      <w:pPr>
        <w:pStyle w:val="null3"/>
      </w:pPr>
      <w:r>
        <w:rPr>
          <w:rFonts w:ascii="仿宋_GB2312" w:hAnsi="仿宋_GB2312" w:cs="仿宋_GB2312" w:eastAsia="仿宋_GB2312"/>
        </w:rPr>
        <w:t>采购包最高限价（元）: 144,960.00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★ALT检测试剂盒 全自动生化分析仪系统清洗液 全自动生化分析仪维护液 ALT质控血清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144,960.00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125,000.00</w:t>
      </w:r>
    </w:p>
    <w:p>
      <w:pPr>
        <w:pStyle w:val="null3"/>
      </w:pPr>
      <w:r>
        <w:rPr>
          <w:rFonts w:ascii="仿宋_GB2312" w:hAnsi="仿宋_GB2312" w:cs="仿宋_GB2312" w:eastAsia="仿宋_GB2312"/>
        </w:rPr>
        <w:t>采购包最高限价（元）: 125,000.00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抗A抗B血型定型试剂（单克隆抗体）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125,000.00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标的名称：★ALT检测试剂盒 全自动生化分析仪系统清洗液 全自动生化分析仪维护液 ALT质控血清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一、采购清单</w:t>
            </w:r>
          </w:p>
          <w:tbl>
            <w:tblPr>
              <w:tblBorders>
                <w:top w:val="none" w:color="000000" w:sz="4"/>
                <w:left w:val="none" w:color="000000" w:sz="4"/>
                <w:bottom w:val="none" w:color="000000" w:sz="4"/>
                <w:right w:val="none" w:color="000000" w:sz="4"/>
                <w:insideH w:val="none"/>
                <w:insideV w:val="none"/>
              </w:tblBorders>
            </w:tblPr>
            <w:tblGrid>
              <w:gridCol w:w="233"/>
              <w:gridCol w:w="1166"/>
              <w:gridCol w:w="337"/>
              <w:gridCol w:w="233"/>
              <w:gridCol w:w="570"/>
            </w:tblGrid>
            <w:tr>
              <w:tc>
                <w:tcPr>
                  <w:tcW w:type="dxa" w:w="2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1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物品名称</w:t>
                  </w:r>
                </w:p>
              </w:tc>
              <w:tc>
                <w:tcPr>
                  <w:tcW w:type="dxa" w:w="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2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5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最高限价（元）</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ALT</w:t>
                  </w:r>
                  <w:r>
                    <w:rPr>
                      <w:rFonts w:ascii="仿宋_GB2312" w:hAnsi="仿宋_GB2312" w:cs="仿宋_GB2312" w:eastAsia="仿宋_GB2312"/>
                      <w:sz w:val="21"/>
                    </w:rPr>
                    <w:t>检测试剂盒（核心产品）</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80</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盒</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109760</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全自动生化分析仪系统清洗液</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12</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盒</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9600</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全自动生化分析仪维护液</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20</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桶</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19600</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ALT</w:t>
                  </w:r>
                  <w:r>
                    <w:rPr>
                      <w:rFonts w:ascii="仿宋_GB2312" w:hAnsi="仿宋_GB2312" w:cs="仿宋_GB2312" w:eastAsia="仿宋_GB2312"/>
                      <w:sz w:val="21"/>
                    </w:rPr>
                    <w:t>质控血清</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30</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盒</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6000</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二、血检科ALT</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1.速率法实验原理，双试剂；</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w:t>
            </w:r>
            <w:r>
              <w:rPr>
                <w:rFonts w:ascii="仿宋_GB2312" w:hAnsi="仿宋_GB2312" w:cs="仿宋_GB2312" w:eastAsia="仿宋_GB2312"/>
                <w:sz w:val="21"/>
              </w:rPr>
              <w:t>试剂即开即用，适用于贝克曼</w:t>
            </w:r>
            <w:r>
              <w:rPr>
                <w:rFonts w:ascii="仿宋_GB2312" w:hAnsi="仿宋_GB2312" w:cs="仿宋_GB2312" w:eastAsia="仿宋_GB2312"/>
                <w:sz w:val="21"/>
              </w:rPr>
              <w:t>-库尔特 AU680、</w:t>
            </w:r>
            <w:r>
              <w:rPr>
                <w:rFonts w:ascii="仿宋_GB2312" w:hAnsi="仿宋_GB2312" w:cs="仿宋_GB2312" w:eastAsia="仿宋_GB2312"/>
                <w:sz w:val="21"/>
              </w:rPr>
              <w:t>AU5800</w:t>
            </w:r>
            <w:r>
              <w:rPr>
                <w:rFonts w:ascii="仿宋_GB2312" w:hAnsi="仿宋_GB2312" w:cs="仿宋_GB2312" w:eastAsia="仿宋_GB2312"/>
                <w:sz w:val="21"/>
              </w:rPr>
              <w:t>系列生化分析仪，并提供上机参数，试剂包装可直接放入生化分析仪试剂仓中使用；</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3.试剂必须具备国家要求的资质，试剂及标准物标定液的值具有溯源性，能提供溯源性文件；</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4.试剂开瓶后在2-8℃，可稳定储存≥7天；</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5.ALT检测线性范围3-500U。</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三、血检科生化清洗液</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1.容量：2L/瓶；</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2.原厂生产，能够满足贝克曼-库尔特全自动生化分析仪系统清洗维护工作；</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3.保质期≥2年。</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四、血检科生化维护液</w:t>
            </w: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1.容量：70ml；</w:t>
            </w:r>
          </w:p>
        </w:tc>
      </w:tr>
      <w:tr>
        <w:tc>
          <w:tcPr>
            <w:tcW w:type="dxa" w:w="2769"/>
          </w:tcPr>
          <w:p>
            <w:pPr>
              <w:pStyle w:val="null3"/>
            </w:pPr>
            <w:r>
              <w:rPr>
                <w:rFonts w:ascii="仿宋_GB2312" w:hAnsi="仿宋_GB2312" w:cs="仿宋_GB2312" w:eastAsia="仿宋_GB2312"/>
              </w:rPr>
              <w:t>14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2.酸性或碱性清洗液，能够满足贝克曼-库尔特全自动生化分析仪系统周维护清洗工作；</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3.保质期≥2年。</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五、血检科ALT质控血清</w:t>
            </w:r>
          </w:p>
        </w:tc>
      </w:tr>
      <w:tr>
        <w:tc>
          <w:tcPr>
            <w:tcW w:type="dxa" w:w="2769"/>
          </w:tcPr>
          <w:p>
            <w:pPr>
              <w:pStyle w:val="null3"/>
            </w:pPr>
            <w:r>
              <w:rPr>
                <w:rFonts w:ascii="仿宋_GB2312" w:hAnsi="仿宋_GB2312" w:cs="仿宋_GB2312" w:eastAsia="仿宋_GB2312"/>
              </w:rPr>
              <w:t>17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w:t>
            </w:r>
            <w:r>
              <w:rPr>
                <w:rFonts w:ascii="仿宋_GB2312" w:hAnsi="仿宋_GB2312" w:cs="仿宋_GB2312" w:eastAsia="仿宋_GB2312"/>
                <w:sz w:val="21"/>
              </w:rPr>
              <w:t>浓度：正常值和异常值</w:t>
            </w:r>
            <w:r>
              <w:rPr>
                <w:rFonts w:ascii="仿宋_GB2312" w:hAnsi="仿宋_GB2312" w:cs="仿宋_GB2312" w:eastAsia="仿宋_GB2312"/>
                <w:sz w:val="21"/>
              </w:rPr>
              <w:t>,</w:t>
            </w:r>
            <w:r>
              <w:rPr>
                <w:rFonts w:ascii="仿宋_GB2312" w:hAnsi="仿宋_GB2312" w:cs="仿宋_GB2312" w:eastAsia="仿宋_GB2312"/>
                <w:sz w:val="21"/>
              </w:rPr>
              <w:t>（必须包含至少1种80-100U附近的质控品）</w:t>
            </w:r>
            <w:r>
              <w:rPr>
                <w:rFonts w:ascii="仿宋_GB2312" w:hAnsi="仿宋_GB2312" w:cs="仿宋_GB2312" w:eastAsia="仿宋_GB2312"/>
                <w:sz w:val="21"/>
              </w:rPr>
              <w:t>瓶内为冻干粉；</w:t>
            </w:r>
          </w:p>
        </w:tc>
      </w:tr>
      <w:tr>
        <w:tc>
          <w:tcPr>
            <w:tcW w:type="dxa" w:w="2769"/>
          </w:tcPr>
          <w:p>
            <w:pPr>
              <w:pStyle w:val="null3"/>
            </w:pPr>
            <w:r>
              <w:rPr>
                <w:rFonts w:ascii="仿宋_GB2312" w:hAnsi="仿宋_GB2312" w:cs="仿宋_GB2312" w:eastAsia="仿宋_GB2312"/>
              </w:rPr>
              <w:t>18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2.容量：复溶后为5ml/支；</w:t>
            </w:r>
          </w:p>
        </w:tc>
      </w:tr>
      <w:tr>
        <w:tc>
          <w:tcPr>
            <w:tcW w:type="dxa" w:w="2769"/>
          </w:tcPr>
          <w:p>
            <w:pPr>
              <w:pStyle w:val="null3"/>
            </w:pPr>
            <w:r>
              <w:rPr>
                <w:rFonts w:ascii="仿宋_GB2312" w:hAnsi="仿宋_GB2312" w:cs="仿宋_GB2312" w:eastAsia="仿宋_GB2312"/>
              </w:rPr>
              <w:t>19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3.具有溯源性，能提供溯源性文件；</w:t>
            </w:r>
          </w:p>
        </w:tc>
      </w:tr>
      <w:tr>
        <w:tc>
          <w:tcPr>
            <w:tcW w:type="dxa" w:w="2769"/>
          </w:tcPr>
          <w:p>
            <w:pPr>
              <w:pStyle w:val="null3"/>
            </w:pPr>
            <w:r>
              <w:rPr>
                <w:rFonts w:ascii="仿宋_GB2312" w:hAnsi="仿宋_GB2312" w:cs="仿宋_GB2312" w:eastAsia="仿宋_GB2312"/>
              </w:rPr>
              <w:t>20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4.储存温度：2-8°C；</w:t>
            </w:r>
          </w:p>
        </w:tc>
      </w:tr>
      <w:tr>
        <w:tc>
          <w:tcPr>
            <w:tcW w:type="dxa" w:w="2769"/>
          </w:tcPr>
          <w:p>
            <w:pPr>
              <w:pStyle w:val="null3"/>
            </w:pPr>
            <w:r>
              <w:rPr>
                <w:rFonts w:ascii="仿宋_GB2312" w:hAnsi="仿宋_GB2312" w:cs="仿宋_GB2312" w:eastAsia="仿宋_GB2312"/>
              </w:rPr>
              <w:t>21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5.储存有效时间：≥12个月</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五、服务要求</w:t>
            </w:r>
          </w:p>
        </w:tc>
      </w:tr>
      <w:tr>
        <w:tc>
          <w:tcPr>
            <w:tcW w:type="dxa" w:w="2769"/>
          </w:tcPr>
          <w:p>
            <w:pPr>
              <w:pStyle w:val="null3"/>
            </w:pPr>
            <w:r>
              <w:rPr>
                <w:rFonts w:ascii="仿宋_GB2312" w:hAnsi="仿宋_GB2312" w:cs="仿宋_GB2312" w:eastAsia="仿宋_GB2312"/>
              </w:rPr>
              <w:t>23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供货单位必须提供以下资料存档：《药品生产许可证》和《药品经营许可证》及营业执照复印件；《药品生产质量管理规范》和《药品经营质量管理规范》认证证书复印件；药品的批准证明文件复印件；销售人员有效身份证明复印件；血源筛查体外诊断试剂的批签发文件；出厂质量检验报告等。</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六、商务要求</w:t>
            </w:r>
          </w:p>
        </w:tc>
      </w:tr>
      <w:tr>
        <w:tc>
          <w:tcPr>
            <w:tcW w:type="dxa" w:w="2769"/>
          </w:tcPr>
          <w:p>
            <w:pPr>
              <w:pStyle w:val="null3"/>
            </w:pPr>
            <w:r>
              <w:rPr>
                <w:rFonts w:ascii="仿宋_GB2312" w:hAnsi="仿宋_GB2312" w:cs="仿宋_GB2312" w:eastAsia="仿宋_GB2312"/>
              </w:rPr>
              <w:t>25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1.供货期：自合同签订之日起一年，按需配送。交货时间：按照采购人要求分批供货接到甲方供货通知七日内交货。</w:t>
            </w:r>
          </w:p>
        </w:tc>
      </w:tr>
      <w:tr>
        <w:tc>
          <w:tcPr>
            <w:tcW w:type="dxa" w:w="2769"/>
          </w:tcPr>
          <w:p>
            <w:pPr>
              <w:pStyle w:val="null3"/>
            </w:pPr>
            <w:r>
              <w:rPr>
                <w:rFonts w:ascii="仿宋_GB2312" w:hAnsi="仿宋_GB2312" w:cs="仿宋_GB2312" w:eastAsia="仿宋_GB2312"/>
              </w:rPr>
              <w:t>26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2.保质期：收货后有效期≥6个月（若技术参数条款对保质期有规定，从其规定）。在使用期间如出现质量问题，供货方应随时予以更换，保证血液检测工作的正常进行。</w:t>
            </w:r>
          </w:p>
        </w:tc>
      </w:tr>
      <w:tr>
        <w:tc>
          <w:tcPr>
            <w:tcW w:type="dxa" w:w="2769"/>
          </w:tcPr>
          <w:p>
            <w:pPr>
              <w:pStyle w:val="null3"/>
            </w:pPr>
            <w:r>
              <w:rPr>
                <w:rFonts w:ascii="仿宋_GB2312" w:hAnsi="仿宋_GB2312" w:cs="仿宋_GB2312" w:eastAsia="仿宋_GB2312"/>
              </w:rPr>
              <w:t>27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3.交货地点：西安市中心血站指定地点；</w:t>
            </w:r>
          </w:p>
        </w:tc>
      </w:tr>
      <w:tr>
        <w:tc>
          <w:tcPr>
            <w:tcW w:type="dxa" w:w="2769"/>
          </w:tcPr>
          <w:p>
            <w:pPr>
              <w:pStyle w:val="null3"/>
            </w:pPr>
            <w:r>
              <w:rPr>
                <w:rFonts w:ascii="仿宋_GB2312" w:hAnsi="仿宋_GB2312" w:cs="仿宋_GB2312" w:eastAsia="仿宋_GB2312"/>
              </w:rPr>
              <w:t>28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4.款项结算：合同签订后每满三个月后30个工作日内根据各中标供应商所供试剂的实际数量据实结算一次（若乙方提供的产品制造商属于中小企业，结算方式为根据甲方工作实际需求对产品进行分批采购，分批付款。每三个月结算，第一个月支付三个月预计用量的金额40%，第三个月结束后30个工作日内根据三个月内实际数量据实结算）。</w:t>
            </w:r>
          </w:p>
        </w:tc>
      </w:tr>
      <w:tr>
        <w:tc>
          <w:tcPr>
            <w:tcW w:type="dxa" w:w="2769"/>
          </w:tcPr>
          <w:p>
            <w:pPr>
              <w:pStyle w:val="null3"/>
            </w:pPr>
            <w:r>
              <w:rPr>
                <w:rFonts w:ascii="仿宋_GB2312" w:hAnsi="仿宋_GB2312" w:cs="仿宋_GB2312" w:eastAsia="仿宋_GB2312"/>
              </w:rPr>
              <w:t>29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5.验收：详见合同文本。</w:t>
            </w:r>
          </w:p>
        </w:tc>
      </w:tr>
      <w:tr>
        <w:tc>
          <w:tcPr>
            <w:tcW w:type="dxa" w:w="2769"/>
          </w:tcPr>
          <w:p>
            <w:pPr>
              <w:pStyle w:val="null3"/>
            </w:pPr>
            <w:r>
              <w:rPr>
                <w:rFonts w:ascii="仿宋_GB2312" w:hAnsi="仿宋_GB2312" w:cs="仿宋_GB2312" w:eastAsia="仿宋_GB2312"/>
              </w:rPr>
              <w:t>30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6.违约责任：详见合同文本。</w:t>
            </w:r>
          </w:p>
        </w:tc>
      </w:tr>
      <w:tr>
        <w:tc>
          <w:tcPr>
            <w:tcW w:type="dxa" w:w="2769"/>
          </w:tcPr>
          <w:p>
            <w:pPr>
              <w:pStyle w:val="null3"/>
            </w:pPr>
            <w:r>
              <w:rPr>
                <w:rFonts w:ascii="仿宋_GB2312" w:hAnsi="仿宋_GB2312" w:cs="仿宋_GB2312" w:eastAsia="仿宋_GB2312"/>
              </w:rPr>
              <w:t>31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7.提供投标产品合法来源渠道证明。包括但不限于销售协议、代理协议、原厂授权或承诺书等；</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标的名称：抗A抗B血型定型试剂（单克隆抗体）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一、采购清单</w:t>
            </w:r>
          </w:p>
          <w:tbl>
            <w:tblPr>
              <w:tblBorders>
                <w:top w:val="none" w:color="000000" w:sz="4"/>
                <w:left w:val="none" w:color="000000" w:sz="4"/>
                <w:bottom w:val="none" w:color="000000" w:sz="4"/>
                <w:right w:val="none" w:color="000000" w:sz="4"/>
                <w:insideH w:val="none"/>
                <w:insideV w:val="none"/>
              </w:tblBorders>
            </w:tblPr>
            <w:tblGrid>
              <w:gridCol w:w="233"/>
              <w:gridCol w:w="1165"/>
              <w:gridCol w:w="337"/>
              <w:gridCol w:w="233"/>
              <w:gridCol w:w="570"/>
            </w:tblGrid>
            <w:tr>
              <w:tc>
                <w:tcPr>
                  <w:tcW w:type="dxa" w:w="2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11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物品名称</w:t>
                  </w:r>
                </w:p>
              </w:tc>
              <w:tc>
                <w:tcPr>
                  <w:tcW w:type="dxa" w:w="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2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5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最高限价（元）</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抗</w:t>
                  </w:r>
                  <w:r>
                    <w:rPr>
                      <w:rFonts w:ascii="仿宋_GB2312" w:hAnsi="仿宋_GB2312" w:cs="仿宋_GB2312" w:eastAsia="仿宋_GB2312"/>
                      <w:sz w:val="20"/>
                    </w:rPr>
                    <w:t>A</w:t>
                  </w:r>
                  <w:r>
                    <w:rPr>
                      <w:rFonts w:ascii="仿宋_GB2312" w:hAnsi="仿宋_GB2312" w:cs="仿宋_GB2312" w:eastAsia="仿宋_GB2312"/>
                      <w:sz w:val="20"/>
                    </w:rPr>
                    <w:t>抗</w:t>
                  </w:r>
                  <w:r>
                    <w:rPr>
                      <w:rFonts w:ascii="仿宋_GB2312" w:hAnsi="仿宋_GB2312" w:cs="仿宋_GB2312" w:eastAsia="仿宋_GB2312"/>
                      <w:sz w:val="20"/>
                    </w:rPr>
                    <w:t>B</w:t>
                  </w:r>
                  <w:r>
                    <w:rPr>
                      <w:rFonts w:ascii="仿宋_GB2312" w:hAnsi="仿宋_GB2312" w:cs="仿宋_GB2312" w:eastAsia="仿宋_GB2312"/>
                      <w:sz w:val="20"/>
                    </w:rPr>
                    <w:t>血型定型试剂（单克隆抗体）</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2500</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瓶</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125000</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二、抗A抗B血型定型试剂（单克隆抗体）</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1.试剂必须具备国家要求的资质（三证一报告等）；</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2.试剂适合在自动化血型检测仪上使用，包装规格≥10ml/瓶；</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3.抗A、抗B效价≥128。</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三、服务要求</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供货单位必须提供以下资料存档：《药品生产许可证》和《药品经营许可证》及营业执照复印件；《药品生产质量管理规范》和《药品经营质量管理规范》认证证书复印件；药品的批准证明文件复印件；销售人员有效身份证明复印件；血源筛查体外诊断试剂的批签发文件；出厂质量检验报告等。</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四、商务要求</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1.供货期：自合同签订之日起一年，按需配送。交货时间：按照采购人要求分批供货接到甲方供货通知七日内交货。</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2.保质期：收货后有效期≥6个月。在使用期间如出现质量问题，供货方应随时予以更换，保证血液检测工作的正常进行。</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3.交货地点：西安市中心血站指定地点；</w:t>
            </w:r>
          </w:p>
        </w:tc>
      </w:tr>
      <w:tr>
        <w:tc>
          <w:tcPr>
            <w:tcW w:type="dxa" w:w="2769"/>
          </w:tcPr>
          <w:p>
            <w:pPr>
              <w:pStyle w:val="null3"/>
            </w:pPr>
            <w:r>
              <w:rPr>
                <w:rFonts w:ascii="仿宋_GB2312" w:hAnsi="仿宋_GB2312" w:cs="仿宋_GB2312" w:eastAsia="仿宋_GB2312"/>
              </w:rPr>
              <w:t>12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4.款项结算：合同签订后每满三个月后30个工作日内根据各中标供应商所供试剂的实际数量据实结算一次（若乙方提供的产品制造商属于中小企业，结算方式为根据甲方工作实际需求对产品进行分批采购，分批付款。每三个月结算，第一个月支付三个月预计用量的金额40%，第三个月结束后30个工作日内根据三个月内实际数量据实结算）。</w:t>
            </w: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5.验收：详见合同文本。</w:t>
            </w:r>
          </w:p>
        </w:tc>
      </w:tr>
      <w:tr>
        <w:tc>
          <w:tcPr>
            <w:tcW w:type="dxa" w:w="2769"/>
          </w:tcPr>
          <w:p>
            <w:pPr>
              <w:pStyle w:val="null3"/>
            </w:pPr>
            <w:r>
              <w:rPr>
                <w:rFonts w:ascii="仿宋_GB2312" w:hAnsi="仿宋_GB2312" w:cs="仿宋_GB2312" w:eastAsia="仿宋_GB2312"/>
              </w:rPr>
              <w:t>14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6.违约责任：详见合同文本。</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7.提供投标产品合法来源渠道证明。包括但不限于销售协议、代理协议、原厂授权或承诺书等；</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供货期：自合同签订之日起一年，按需配送。交货时间：按照采购人要求分批供货接到甲方供货通知七日内交货。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供货期：自合同签订之日起一年，按需配送。交货时间：按照采购人要求分批供货接到甲方供货通知七日内交货。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西安市中心血站指定地点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西安市中心血站指定地点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分批采购，分批付款。每批次产品经甲方确认合格后三个月内，按实际收货量据实支付（本条后续“支付合同总金额100%”实为“支付该批次的合同金额100%”），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分批采购，分批付款。每批次产品经甲方确认合格后三个月内，按实际收货量据实支付（本条后续“支付合同总金额100%”实为“支付该批次的合同金额100%”），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收货后有效期≥6个月（若技术参数条款对保质期有规定，从其规定）。在使用期间如出现质量问题，供货方应随时予以更换，保证血液检测工作的正常进行。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收货后有效期≥6个月。在使用期间如出现质量问题，供货方应随时予以更换，保证血液检测工作的正常进行。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1.付款方式：因系统设置原因，本章3.4.4支付约定描述不全之处，以本章3.3技术要求中四、商务要求，4.款项结算为准。 2.残疾人福利性单位及监狱企业视同为小型、微型企业。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具有独立承担民事责任能力的法人、其他组织或自然人，提供合法有效的统一社会信用代码营业执照（事业单位提供事业单位法人证书，自然人应提供身份证）； 2、财务状况证明：供应商提供2024年度或2025年度经审计且具有注册会计师行业统一监管平台出具赋码完整的财务审计报告（成立时间至提交投标文件截止时间不足一年的可提供成立后任意时段的资产负债表）/或其开标前三个月内供应商开户银行基本账户银行出具的资信证明/或专业担保机构出具的投标担保函/或表明具有良好的商业信誉和健全的财务会计制度的诚信声明； 3、税收缴纳证明：提供投标截止时间前3个月内任意一个月份(投标截止时间当月不计入)依法缴纳税收的相关凭据（时间以税款所属日期为准），凭据应有税务机关或代收机关的公章或业务专用章/或具有依法缴纳税收的诚信声明；依法免税或无须缴纳税收的供应商应提供相应证明文件； 4、社会保障资金缴纳证明：提供投标截止时间前3个月内任意一个月份(投标截止时间当月不计入)的社会保障资金缴存单据或社保机构开具的社会保险参保缴费情况证明/或具有依法缴纳税收的诚信声明；依法不需要缴纳社会保障资金的供应商应提供相关文件证明； 5、具有履行合同所必需的设备和专业技术能力的书面声明； 6、近3年内在经营活动中没有重大违法记录的书面声明； 7、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须提供信用中国网及中国政府采购网相应查询结果的网站截图（查询日期为从招标文件发售之日起至投标截止日前）并加盖供应商公章。 8、非法定代表人参加投标的，须提供法定代表人委托授权书、授权代表身份证、授权代表提供在投标单位缴纳的社保记录（近3个月内任意一个月）；法定代表人参加投标时,只需提供法定代表人身份证。以上要求，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非联合体声明函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具有独立承担民事责任能力的法人、其他组织或自然人，提供合法有效的统一社会信用代码营业执照（事业单位提供事业单位法人证书，自然人应提供身份证）； 2、财务状况证明：供应商提供2024年度或2025年度经审计且具有注册会计师行业统一监管平台出具赋码完整的财务审计报告（成立时间至提交投标文件截止时间不足一年的可提供成立后任意时段的资产负债表）/或其开标前三个月内供应商开户银行基本账户银行出具的资信证明/或专业担保机构出具的投标担保函/或表明具有良好的商业信誉和健全的财务会计制度的诚信声明； 3、税收缴纳证明：提供投标截止时间前3个月内任意一个月份(投标截止时间当月不计入)依法缴纳税收的相关凭据（时间以税款所属日期为准），凭据应有税务机关或代收机关的公章或业务专用章/或具有依法缴纳税收的诚信声明；依法免税或无须缴纳税收的供应商应提供相应证明文件； 4、社会保障资金缴纳证明：提供投标截止时间前3个月内任意一个月份(投标截止时间当月不计入)的社会保障资金缴存单据或社保机构开具的社会保险参保缴费情况证明/或具有依法缴纳税收的诚信声明；依法不需要缴纳社会保障资金的供应商应提供相关文件证明； 5、具有履行合同所必需的设备和专业技术能力的书面声明； 6、近3年内在经营活动中没有重大违法记录的书面声明； 7、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须提供信用中国网及中国政府采购网相应查询结果的网站截图（查询日期为从招标文件发售之日起至投标截止日前）并加盖供应商公章。 8、非法定代表人参加投标的，须提供法定代表人委托授权书、授权代表身份证、授权代表提供在投标单位缴纳的社保记录（近3个月内任意一个月）；法定代表人参加投标时,只需提供法定代表人身份证。以上要求，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非联合体声明函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投标产品经营资格</w:t>
            </w:r>
          </w:p>
        </w:tc>
        <w:tc>
          <w:tcPr>
            <w:tcW w:type="dxa" w:w="3322"/>
          </w:tcPr>
          <w:p>
            <w:pPr>
              <w:pStyle w:val="null3"/>
            </w:pPr>
            <w:r>
              <w:rPr>
                <w:rFonts w:ascii="仿宋_GB2312" w:hAnsi="仿宋_GB2312" w:cs="仿宋_GB2312" w:eastAsia="仿宋_GB2312"/>
              </w:rPr>
              <w:t>1、所投产品纳入医疗器械管理的，投标人的投标产品经营资格应符合国家相关规定并提供相关证明文件（①投标人为经销商的，提供“医疗器械经营许可证”或“医疗器械经营备案证”。②投标人为生产商的，提供“医疗器械生产许可证”或“医疗器械生产备案凭证”。③提供所投产品（医疗器械）的“医疗器械注册证”或“医疗器械备案证”）；2、所投产品纳入属于药品管理的，投标人的投标产品经营资格应符合国家相关规定并提供相关证明文件（①投标人为经销商的，提供“药品经营许可证”。②投标人为生产商的，提供“药品生产许可证”。③提供所投标产品（药品）的“注册证”或“再注册批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按格式要求提供关联关系与廉洁承诺书。供应商需在项目电子化交易系统中按要求上传相应证明文件并进行电子签章。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质量保证承诺书</w:t>
            </w:r>
          </w:p>
        </w:tc>
        <w:tc>
          <w:tcPr>
            <w:tcW w:type="dxa" w:w="3322"/>
          </w:tcPr>
          <w:p>
            <w:pPr>
              <w:pStyle w:val="null3"/>
            </w:pPr>
            <w:r>
              <w:rPr>
                <w:rFonts w:ascii="仿宋_GB2312" w:hAnsi="仿宋_GB2312" w:cs="仿宋_GB2312" w:eastAsia="仿宋_GB2312"/>
              </w:rPr>
              <w:t>按格式要求提供质量保证承诺书。供应商需在项目电子化交易系统中按要求上传相应证明文件并进行电子签章。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投标产品经营资格</w:t>
            </w:r>
          </w:p>
        </w:tc>
        <w:tc>
          <w:tcPr>
            <w:tcW w:type="dxa" w:w="3322"/>
          </w:tcPr>
          <w:p>
            <w:pPr>
              <w:pStyle w:val="null3"/>
            </w:pPr>
            <w:r>
              <w:rPr>
                <w:rFonts w:ascii="仿宋_GB2312" w:hAnsi="仿宋_GB2312" w:cs="仿宋_GB2312" w:eastAsia="仿宋_GB2312"/>
              </w:rPr>
              <w:t>1、所投产品纳入医疗器械管理的，投标人的投标产品经营资格应符合国家相关规定并提供相关证明文件（①投标人为经销商的，提供“医疗器械经营许可证”或“医疗器械经营备案证”。②投标人为生产商的，提供“医疗器械生产许可证”或“医疗器械生产备案凭证”。③提供所投产品（医疗器械）的“医疗器械注册证”或“医疗器械备案证”）；2、所投产品纳入属于药品管理的，投标人的投标产品经营资格应符合国家相关规定并提供相关证明文件（①投标人为经销商的，提供“药品经营许可证”。②投标人为生产商的，提供“药品生产许可证”。③提供所投标产品（药品）的“注册证”或“再注册批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按格式要求提供关联关系与廉洁承诺书。供应商需在项目电子化交易系统中按要求上传相应证明文件并进行电子签章。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质量保证承诺书</w:t>
            </w:r>
          </w:p>
        </w:tc>
        <w:tc>
          <w:tcPr>
            <w:tcW w:type="dxa" w:w="3322"/>
          </w:tcPr>
          <w:p>
            <w:pPr>
              <w:pStyle w:val="null3"/>
            </w:pPr>
            <w:r>
              <w:rPr>
                <w:rFonts w:ascii="仿宋_GB2312" w:hAnsi="仿宋_GB2312" w:cs="仿宋_GB2312" w:eastAsia="仿宋_GB2312"/>
              </w:rPr>
              <w:t>按格式要求提供质量保证承诺书。供应商需在项目电子化交易系统中按要求上传相应证明文件并进行电子签章。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投标文件完整性审查</w:t>
            </w:r>
          </w:p>
        </w:tc>
        <w:tc>
          <w:tcPr>
            <w:tcW w:type="dxa" w:w="3322"/>
          </w:tcPr>
          <w:p>
            <w:pPr>
              <w:pStyle w:val="null3"/>
            </w:pPr>
            <w:r>
              <w:rPr>
                <w:rFonts w:ascii="仿宋_GB2312" w:hAnsi="仿宋_GB2312" w:cs="仿宋_GB2312" w:eastAsia="仿宋_GB2312"/>
              </w:rPr>
              <w:t>投标文件是否按照谈判文件要求的格式编写；投标文件内容是否有重大缺漏项。</w:t>
            </w:r>
          </w:p>
        </w:tc>
        <w:tc>
          <w:tcPr>
            <w:tcW w:type="dxa" w:w="1661"/>
          </w:tcPr>
          <w:p>
            <w:pPr>
              <w:pStyle w:val="null3"/>
            </w:pPr>
            <w:r>
              <w:rPr>
                <w:rFonts w:ascii="仿宋_GB2312" w:hAnsi="仿宋_GB2312" w:cs="仿宋_GB2312" w:eastAsia="仿宋_GB2312"/>
              </w:rPr>
              <w:t>开标一览表 投标方案说明书 投标函 商务应答表 技术规格响应表 投标分项报价表 标的清单 投标文件封面 供货一览表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投标文件的有效性审查</w:t>
            </w:r>
          </w:p>
        </w:tc>
        <w:tc>
          <w:tcPr>
            <w:tcW w:type="dxa" w:w="3322"/>
          </w:tcPr>
          <w:p>
            <w:pPr>
              <w:pStyle w:val="null3"/>
            </w:pPr>
            <w:r>
              <w:rPr>
                <w:rFonts w:ascii="仿宋_GB2312" w:hAnsi="仿宋_GB2312" w:cs="仿宋_GB2312" w:eastAsia="仿宋_GB2312"/>
              </w:rPr>
              <w:t>投标文件的签署、加盖印章是否有效；提供的各种证明文件、数据、资料是否有效。</w:t>
            </w:r>
          </w:p>
        </w:tc>
        <w:tc>
          <w:tcPr>
            <w:tcW w:type="dxa" w:w="1661"/>
          </w:tcPr>
          <w:p>
            <w:pPr>
              <w:pStyle w:val="null3"/>
            </w:pPr>
            <w:r>
              <w:rPr>
                <w:rFonts w:ascii="仿宋_GB2312" w:hAnsi="仿宋_GB2312" w:cs="仿宋_GB2312" w:eastAsia="仿宋_GB2312"/>
              </w:rPr>
              <w:t>开标一览表 投标方案说明书 投标函 商务应答表 技术规格响应表 投标分项报价表 标的清单 投标文件封面 供货一览表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投标文件的响应性审查</w:t>
            </w:r>
          </w:p>
        </w:tc>
        <w:tc>
          <w:tcPr>
            <w:tcW w:type="dxa" w:w="3322"/>
          </w:tcPr>
          <w:p>
            <w:pPr>
              <w:pStyle w:val="null3"/>
            </w:pPr>
            <w:r>
              <w:rPr>
                <w:rFonts w:ascii="仿宋_GB2312" w:hAnsi="仿宋_GB2312" w:cs="仿宋_GB2312" w:eastAsia="仿宋_GB2312"/>
              </w:rPr>
              <w:t>①投标报价是否超过采购预算；②投标报价有效期是否符合招标文件的要求；③投标文件内容是否符合国家法律法规，没有重大偏离；④对招标文件中规定的要求是否做出了实质性响应。</w:t>
            </w:r>
          </w:p>
        </w:tc>
        <w:tc>
          <w:tcPr>
            <w:tcW w:type="dxa" w:w="1661"/>
          </w:tcPr>
          <w:p>
            <w:pPr>
              <w:pStyle w:val="null3"/>
            </w:pPr>
            <w:r>
              <w:rPr>
                <w:rFonts w:ascii="仿宋_GB2312" w:hAnsi="仿宋_GB2312" w:cs="仿宋_GB2312" w:eastAsia="仿宋_GB2312"/>
              </w:rPr>
              <w:t>开标一览表 投标方案说明书 投标函 商务应答表 技术规格响应表 投标分项报价表 标的清单 投标文件封面 供货一览表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投标文件完整性审查</w:t>
            </w:r>
          </w:p>
        </w:tc>
        <w:tc>
          <w:tcPr>
            <w:tcW w:type="dxa" w:w="3322"/>
          </w:tcPr>
          <w:p>
            <w:pPr>
              <w:pStyle w:val="null3"/>
            </w:pPr>
            <w:r>
              <w:rPr>
                <w:rFonts w:ascii="仿宋_GB2312" w:hAnsi="仿宋_GB2312" w:cs="仿宋_GB2312" w:eastAsia="仿宋_GB2312"/>
              </w:rPr>
              <w:t>投标文件是否按照谈判文件要求的格式编写；投标文件内容是否有重大缺漏项。</w:t>
            </w:r>
          </w:p>
        </w:tc>
        <w:tc>
          <w:tcPr>
            <w:tcW w:type="dxa" w:w="1661"/>
          </w:tcPr>
          <w:p>
            <w:pPr>
              <w:pStyle w:val="null3"/>
            </w:pPr>
            <w:r>
              <w:rPr>
                <w:rFonts w:ascii="仿宋_GB2312" w:hAnsi="仿宋_GB2312" w:cs="仿宋_GB2312" w:eastAsia="仿宋_GB2312"/>
              </w:rPr>
              <w:t>开标一览表 投标方案说明书 商务应答表 技术规格响应表 投标分项报价表 标的清单 投标文件封面 供货一览表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投标文件的有效性审查</w:t>
            </w:r>
          </w:p>
        </w:tc>
        <w:tc>
          <w:tcPr>
            <w:tcW w:type="dxa" w:w="3322"/>
          </w:tcPr>
          <w:p>
            <w:pPr>
              <w:pStyle w:val="null3"/>
            </w:pPr>
            <w:r>
              <w:rPr>
                <w:rFonts w:ascii="仿宋_GB2312" w:hAnsi="仿宋_GB2312" w:cs="仿宋_GB2312" w:eastAsia="仿宋_GB2312"/>
              </w:rPr>
              <w:t>投标文件的签署、加盖印章是否有效；提供的各种证明文件、数据、资料是否有效。</w:t>
            </w:r>
          </w:p>
        </w:tc>
        <w:tc>
          <w:tcPr>
            <w:tcW w:type="dxa" w:w="1661"/>
          </w:tcPr>
          <w:p>
            <w:pPr>
              <w:pStyle w:val="null3"/>
            </w:pPr>
            <w:r>
              <w:rPr>
                <w:rFonts w:ascii="仿宋_GB2312" w:hAnsi="仿宋_GB2312" w:cs="仿宋_GB2312" w:eastAsia="仿宋_GB2312"/>
              </w:rPr>
              <w:t>开标一览表 投标方案说明书 投标函 商务应答表 技术规格响应表 投标分项报价表 标的清单 投标文件封面 供货一览表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投标文件的响应性审查</w:t>
            </w:r>
          </w:p>
        </w:tc>
        <w:tc>
          <w:tcPr>
            <w:tcW w:type="dxa" w:w="3322"/>
          </w:tcPr>
          <w:p>
            <w:pPr>
              <w:pStyle w:val="null3"/>
            </w:pPr>
            <w:r>
              <w:rPr>
                <w:rFonts w:ascii="仿宋_GB2312" w:hAnsi="仿宋_GB2312" w:cs="仿宋_GB2312" w:eastAsia="仿宋_GB2312"/>
              </w:rPr>
              <w:t>①投标报价是否超过采购预算；②投标报价有效期是否符合招标文件的要求；③投标文件内容是否符合国家法律法规，没有重大偏离；④对招标文件中规定的要求是否做出了实质性响应。</w:t>
            </w:r>
          </w:p>
        </w:tc>
        <w:tc>
          <w:tcPr>
            <w:tcW w:type="dxa" w:w="1661"/>
          </w:tcPr>
          <w:p>
            <w:pPr>
              <w:pStyle w:val="null3"/>
            </w:pPr>
            <w:r>
              <w:rPr>
                <w:rFonts w:ascii="仿宋_GB2312" w:hAnsi="仿宋_GB2312" w:cs="仿宋_GB2312" w:eastAsia="仿宋_GB2312"/>
              </w:rPr>
              <w:t>开标一览表 投标方案说明书 投标函 商务应答表 技术规格响应表 投标分项报价表 标的清单 投标文件封面 供货一览表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投标产品技术参数</w:t>
            </w:r>
          </w:p>
        </w:tc>
        <w:tc>
          <w:tcPr>
            <w:tcW w:type="dxa" w:w="2492"/>
          </w:tcPr>
          <w:p>
            <w:pPr>
              <w:pStyle w:val="null3"/>
            </w:pPr>
            <w:r>
              <w:rPr>
                <w:rFonts w:ascii="仿宋_GB2312" w:hAnsi="仿宋_GB2312" w:cs="仿宋_GB2312" w:eastAsia="仿宋_GB2312"/>
              </w:rPr>
              <w:t>投标产品技术参数清楚、明确，有相应齐全的技术资料，完全满足招标技术参数要求得40分；负偏离一条扣4分；扣完为止。评审依据：提供生产厂家确认的具有相应的功能证明材料（投标产品彩页（如有）、（产品）说明书、认证证书、检测/检验报告等，官网截图等），技术偏离表中的投标响应，在技术资料中未出现，视为偏离（不满足）。</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p>
            <w:pPr>
              <w:pStyle w:val="null3"/>
            </w:pPr>
            <w:r>
              <w:rPr>
                <w:rFonts w:ascii="仿宋_GB2312" w:hAnsi="仿宋_GB2312" w:cs="仿宋_GB2312" w:eastAsia="仿宋_GB2312"/>
              </w:rPr>
              <w:t>技术规格响应表</w:t>
            </w:r>
          </w:p>
        </w:tc>
      </w:tr>
      <w:tr>
        <w:tc>
          <w:tcPr>
            <w:tcW w:type="dxa" w:w="831"/>
            <w:vMerge/>
          </w:tcPr>
          <w:p/>
        </w:tc>
        <w:tc>
          <w:tcPr>
            <w:tcW w:type="dxa" w:w="1661"/>
          </w:tcPr>
          <w:p>
            <w:pPr>
              <w:pStyle w:val="null3"/>
            </w:pPr>
            <w:r>
              <w:rPr>
                <w:rFonts w:ascii="仿宋_GB2312" w:hAnsi="仿宋_GB2312" w:cs="仿宋_GB2312" w:eastAsia="仿宋_GB2312"/>
              </w:rPr>
              <w:t>服务、实施方案</w:t>
            </w:r>
          </w:p>
        </w:tc>
        <w:tc>
          <w:tcPr>
            <w:tcW w:type="dxa" w:w="2492"/>
          </w:tcPr>
          <w:p>
            <w:pPr>
              <w:pStyle w:val="null3"/>
            </w:pPr>
            <w:r>
              <w:rPr>
                <w:rFonts w:ascii="仿宋_GB2312" w:hAnsi="仿宋_GB2312" w:cs="仿宋_GB2312" w:eastAsia="仿宋_GB2312"/>
              </w:rPr>
              <w:t>服务、实施方案 评审标准： ①全面性:内容完整、全面、无遗漏；②详细性:内容详细，有明确具体的描述和说明； ③合理性:内容合理、准确，符合项目实际情况，有利于项目的实施。 赋分标准：满足每一项评审标准的得1.5分，最多得4.5分。每一项评审标准存在一处漏洞或缺陷扣0.1-0.5分，扣完为止。未提供相关评审内容的，该项得0分。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仓储、设施设备及配送方案（与投标产品（试剂）相适应的仓储及设施设备，具有完整的储运系统。）</w:t>
            </w:r>
          </w:p>
        </w:tc>
        <w:tc>
          <w:tcPr>
            <w:tcW w:type="dxa" w:w="2492"/>
          </w:tcPr>
          <w:p>
            <w:pPr>
              <w:pStyle w:val="null3"/>
            </w:pPr>
            <w:r>
              <w:rPr>
                <w:rFonts w:ascii="仿宋_GB2312" w:hAnsi="仿宋_GB2312" w:cs="仿宋_GB2312" w:eastAsia="仿宋_GB2312"/>
              </w:rPr>
              <w:t>（1）提供库房（符合投标产品储存）证明材料，证明材料完善得2分，证明材料不完善或未提供证明材料得0分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仓储、设施设备及配送方案（与投标产品（试剂）相适应的仓储及设施设备，具有完整的储运系统。）</w:t>
            </w:r>
          </w:p>
        </w:tc>
        <w:tc>
          <w:tcPr>
            <w:tcW w:type="dxa" w:w="2492"/>
          </w:tcPr>
          <w:p>
            <w:pPr>
              <w:pStyle w:val="null3"/>
            </w:pPr>
            <w:r>
              <w:rPr>
                <w:rFonts w:ascii="仿宋_GB2312" w:hAnsi="仿宋_GB2312" w:cs="仿宋_GB2312" w:eastAsia="仿宋_GB2312"/>
              </w:rPr>
              <w:t>（2）提供试剂供应及运输方案。 评审标准： ①详细性:内容详细，能够有明确具体的描述和说明； ②合理性:内容合理、准确，符合项目实际情况，有利于项目的实施。 赋分标准：满足每一项评审标准的得2分，最多得4分。每一项评审标准存在一处漏洞或缺陷扣0.1-1分，扣完为止。未提供相关评审内容的，该项得0分。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投标人提供产品合法来源渠道证明，包括但不限于销售协议、代理协议、原厂授权或承诺书等，提供得2分，未提供的不得分。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根据项目实际需求，提供售后服务方案，方案内容至少包括①售后服务承诺②售后服务体系及人员配置③服务内容④响应时间⑤退换货。 评审标准： ①全面性:内容完整、全面，包括所有评审内容，无遗漏； ②详细性:内容详细,针对每一评审内容能够有明确具体的描述和说明； ③合理性:内容合理,准确，符合项目实际情况，有利于项目的实施。 赋分标准：每一项评审内容满足每一项评审标准的得0.5分，最多得1.5分。每一项内容相对每一项评审标准存在一处漏洞或缺陷扣0.1-0.5分，扣完为止。未提供相关评审内容的，该项得0分。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投标产品业绩</w:t>
            </w:r>
          </w:p>
        </w:tc>
        <w:tc>
          <w:tcPr>
            <w:tcW w:type="dxa" w:w="2492"/>
          </w:tcPr>
          <w:p>
            <w:pPr>
              <w:pStyle w:val="null3"/>
            </w:pPr>
            <w:r>
              <w:rPr>
                <w:rFonts w:ascii="仿宋_GB2312" w:hAnsi="仿宋_GB2312" w:cs="仿宋_GB2312" w:eastAsia="仿宋_GB2312"/>
              </w:rPr>
              <w:t>提供2023年1月1日至今（以合同签订日期为准），投标产品业绩合同，一份有效业绩合同计2分，最高10分。评审依据：完整合同复印件加盖公章。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投标产品业绩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1.最低评标价为评标基准价，得30分。2.按（评标基准价/评标价×30）的公式计算价格得分。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投标产品技术参数</w:t>
            </w:r>
          </w:p>
        </w:tc>
        <w:tc>
          <w:tcPr>
            <w:tcW w:type="dxa" w:w="2492"/>
          </w:tcPr>
          <w:p>
            <w:pPr>
              <w:pStyle w:val="null3"/>
            </w:pPr>
            <w:r>
              <w:rPr>
                <w:rFonts w:ascii="仿宋_GB2312" w:hAnsi="仿宋_GB2312" w:cs="仿宋_GB2312" w:eastAsia="仿宋_GB2312"/>
              </w:rPr>
              <w:t>投标产品技术参数清楚、明确，有相应齐全的技术资料，完全满足招标技术参数要求得40分；负偏离一条扣4分；扣完为止。评审依据：提供生产厂家确认的具有相应的功能证明材料（投标产品彩页（如有）、（产品）说明书、认证证书、检测/检验报告等，官网截图等），技术偏离表中的投标响应，在技术资料中未出现，视为偏离（不满足）。</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技术规格响应表</w:t>
            </w:r>
          </w:p>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服务、实施方案</w:t>
            </w:r>
          </w:p>
        </w:tc>
        <w:tc>
          <w:tcPr>
            <w:tcW w:type="dxa" w:w="2492"/>
          </w:tcPr>
          <w:p>
            <w:pPr>
              <w:pStyle w:val="null3"/>
            </w:pPr>
            <w:r>
              <w:rPr>
                <w:rFonts w:ascii="仿宋_GB2312" w:hAnsi="仿宋_GB2312" w:cs="仿宋_GB2312" w:eastAsia="仿宋_GB2312"/>
              </w:rPr>
              <w:t>服务、实施方案 评审标准： ①全面性:内容完整、全面、无遗漏；②详细性:内容详细，有明确具体的描述和说明； ③合理性:内容合理、准确，符合项目实际情况，有利于项目的实施。 赋分标准：满足每一项评审标准的得1.5分，最多得4.5分。每一项评审标准存在一处漏洞或缺陷扣0.1-0.5分，扣完为止。未提供相关评审内容的，该项得0分。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仓储、设施设备及配送方案（与投标产品（试剂）相适应的仓储及设施设备，具有完整的储运系统。）</w:t>
            </w:r>
          </w:p>
        </w:tc>
        <w:tc>
          <w:tcPr>
            <w:tcW w:type="dxa" w:w="2492"/>
          </w:tcPr>
          <w:p>
            <w:pPr>
              <w:pStyle w:val="null3"/>
            </w:pPr>
            <w:r>
              <w:rPr>
                <w:rFonts w:ascii="仿宋_GB2312" w:hAnsi="仿宋_GB2312" w:cs="仿宋_GB2312" w:eastAsia="仿宋_GB2312"/>
              </w:rPr>
              <w:t>（1）提供库房（符合投标产品储存）证明材料，证明材料完善得2分，证明材料不完善或未提供证明材料得0分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仓储、设施设备及配送方案（与投标产品（试剂）相适应的仓储及设施设备，具有完整的储运系统。）</w:t>
            </w:r>
          </w:p>
        </w:tc>
        <w:tc>
          <w:tcPr>
            <w:tcW w:type="dxa" w:w="2492"/>
          </w:tcPr>
          <w:p>
            <w:pPr>
              <w:pStyle w:val="null3"/>
            </w:pPr>
            <w:r>
              <w:rPr>
                <w:rFonts w:ascii="仿宋_GB2312" w:hAnsi="仿宋_GB2312" w:cs="仿宋_GB2312" w:eastAsia="仿宋_GB2312"/>
              </w:rPr>
              <w:t>（2）提供试剂供应及运输方案。 评审标准： ①详细性:内容详细，能够有明确具体的描述和说明； ②合理性:内容合理、准确，符合项目实际情况，有利于项目的实施。 赋分标准：满足每一项评审标准的得2分，最多得4分。每一项评审标准存在一处漏洞或缺陷扣0.1-1分，扣完为止。未提供相关评审内容的，该项得0分。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投标人提供产品合法来源渠道证明，包括但不限于销售协议、代理协议、原厂授权或承诺书等，提供得2分，未提供的不得分。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根据项目实际需求，提供售后服务方案，方案内容至少包括①售后服务承诺②售后服务体系及人员配置③服务内容④响应时间⑤退换货。 评审标准： ①全面性:内容完整、全面，包括所有评审内容，无遗漏； ②详细性:内容详细,针对每一评审内容能够有明确具体的描述和说明； ③合理性:内容合理,准确，符合项目实际情况，有利于项目的实施。 赋分标准：每一项评审内容满足每一项评审标准的得0.5分，最多得1.5分。每一项内容相对每一项评审标准存在一处漏洞或缺陷扣0.1-0.5分，扣完为止。未提供相关评审内容的，该项得0分。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投标产品业绩</w:t>
            </w:r>
          </w:p>
        </w:tc>
        <w:tc>
          <w:tcPr>
            <w:tcW w:type="dxa" w:w="2492"/>
          </w:tcPr>
          <w:p>
            <w:pPr>
              <w:pStyle w:val="null3"/>
            </w:pPr>
            <w:r>
              <w:rPr>
                <w:rFonts w:ascii="仿宋_GB2312" w:hAnsi="仿宋_GB2312" w:cs="仿宋_GB2312" w:eastAsia="仿宋_GB2312"/>
              </w:rPr>
              <w:t>提供2023年1月1日至今（以合同签订日期为准），投标产品业绩合同，一份有效业绩合同计2分，最高10分。评审依据：完整合同复印件加盖公章。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投标产品业绩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1.最低评标价为评标基准价，得30分。2.按（评标基准价/评标价×30）的公式计算价格得分。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详见附件：非联合体声明函</w:t>
      </w:r>
    </w:p>
    <w:p>
      <w:pPr>
        <w:pStyle w:val="null3"/>
        <w:ind w:firstLine="960"/>
      </w:pPr>
      <w:r>
        <w:rPr>
          <w:rFonts w:ascii="仿宋_GB2312" w:hAnsi="仿宋_GB2312" w:cs="仿宋_GB2312" w:eastAsia="仿宋_GB2312"/>
        </w:rPr>
        <w:t>详见附件：投标分项报价表</w:t>
      </w:r>
    </w:p>
    <w:p>
      <w:pPr>
        <w:pStyle w:val="null3"/>
        <w:ind w:firstLine="960"/>
      </w:pPr>
      <w:r>
        <w:rPr>
          <w:rFonts w:ascii="仿宋_GB2312" w:hAnsi="仿宋_GB2312" w:cs="仿宋_GB2312" w:eastAsia="仿宋_GB2312"/>
        </w:rPr>
        <w:t>详见附件：供货一览表</w:t>
      </w:r>
    </w:p>
    <w:p>
      <w:pPr>
        <w:pStyle w:val="null3"/>
        <w:ind w:firstLine="960"/>
      </w:pPr>
      <w:r>
        <w:rPr>
          <w:rFonts w:ascii="仿宋_GB2312" w:hAnsi="仿宋_GB2312" w:cs="仿宋_GB2312" w:eastAsia="仿宋_GB2312"/>
        </w:rPr>
        <w:t>详见附件：技术规格响应表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详见附件：投标产品业绩</w:t>
      </w:r>
    </w:p>
    <w:p>
      <w:pPr>
        <w:pStyle w:val="null3"/>
        <w:ind w:firstLine="960"/>
      </w:pPr>
      <w:r>
        <w:rPr>
          <w:rFonts w:ascii="仿宋_GB2312" w:hAnsi="仿宋_GB2312" w:cs="仿宋_GB2312" w:eastAsia="仿宋_GB2312"/>
        </w:rPr>
        <w:t>详见附件：投标方案说明书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详见附件：非联合体声明函</w:t>
      </w:r>
    </w:p>
    <w:p>
      <w:pPr>
        <w:pStyle w:val="null3"/>
        <w:ind w:firstLine="960"/>
      </w:pPr>
      <w:r>
        <w:rPr>
          <w:rFonts w:ascii="仿宋_GB2312" w:hAnsi="仿宋_GB2312" w:cs="仿宋_GB2312" w:eastAsia="仿宋_GB2312"/>
        </w:rPr>
        <w:t>详见附件：投标分项报价表</w:t>
      </w:r>
    </w:p>
    <w:p>
      <w:pPr>
        <w:pStyle w:val="null3"/>
        <w:ind w:firstLine="960"/>
      </w:pPr>
      <w:r>
        <w:rPr>
          <w:rFonts w:ascii="仿宋_GB2312" w:hAnsi="仿宋_GB2312" w:cs="仿宋_GB2312" w:eastAsia="仿宋_GB2312"/>
        </w:rPr>
        <w:t>详见附件：供货一览表</w:t>
      </w:r>
    </w:p>
    <w:p>
      <w:pPr>
        <w:pStyle w:val="null3"/>
        <w:ind w:firstLine="960"/>
      </w:pPr>
      <w:r>
        <w:rPr>
          <w:rFonts w:ascii="仿宋_GB2312" w:hAnsi="仿宋_GB2312" w:cs="仿宋_GB2312" w:eastAsia="仿宋_GB2312"/>
        </w:rPr>
        <w:t>详见附件：技术规格响应表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详见附件：投标方案说明书</w:t>
      </w:r>
    </w:p>
    <w:p>
      <w:pPr>
        <w:pStyle w:val="null3"/>
        <w:ind w:firstLine="960"/>
      </w:pPr>
      <w:r>
        <w:rPr>
          <w:rFonts w:ascii="仿宋_GB2312" w:hAnsi="仿宋_GB2312" w:cs="仿宋_GB2312" w:eastAsia="仿宋_GB2312"/>
        </w:rPr>
        <w:t>详见附件：投标产品业绩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