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D0D57" w14:textId="77777777" w:rsidR="00017E14" w:rsidRDefault="00017E14" w:rsidP="00017E14">
      <w:pPr>
        <w:adjustRightInd w:val="0"/>
        <w:snapToGrid w:val="0"/>
        <w:spacing w:line="360" w:lineRule="auto"/>
        <w:ind w:firstLineChars="200" w:firstLine="482"/>
        <w:rPr>
          <w:rFonts w:ascii="仿宋" w:eastAsia="仿宋" w:hAnsi="仿宋" w:cs="仿宋_GB2312" w:hint="eastAsia"/>
          <w:b/>
          <w:sz w:val="24"/>
        </w:rPr>
      </w:pPr>
      <w:r>
        <w:rPr>
          <w:rFonts w:ascii="仿宋" w:eastAsia="仿宋" w:hAnsi="仿宋" w:cs="仿宋_GB2312" w:hint="eastAsia"/>
          <w:b/>
          <w:sz w:val="24"/>
        </w:rPr>
        <w:t xml:space="preserve">甲方：（前款所称采购人）         </w:t>
      </w:r>
    </w:p>
    <w:p w14:paraId="6295A5CF" w14:textId="77777777" w:rsidR="00017E14" w:rsidRDefault="00017E14" w:rsidP="00017E14">
      <w:pPr>
        <w:adjustRightInd w:val="0"/>
        <w:snapToGrid w:val="0"/>
        <w:spacing w:line="360" w:lineRule="auto"/>
        <w:ind w:firstLineChars="200" w:firstLine="482"/>
        <w:rPr>
          <w:rFonts w:ascii="仿宋" w:eastAsia="仿宋" w:hAnsi="仿宋" w:cs="仿宋_GB2312" w:hint="eastAsia"/>
          <w:b/>
          <w:sz w:val="24"/>
        </w:rPr>
      </w:pPr>
      <w:r>
        <w:rPr>
          <w:rFonts w:ascii="仿宋" w:eastAsia="仿宋" w:hAnsi="仿宋" w:cs="仿宋_GB2312" w:hint="eastAsia"/>
          <w:b/>
          <w:sz w:val="24"/>
        </w:rPr>
        <w:t xml:space="preserve">乙方：（前款所称中标人）     </w:t>
      </w:r>
    </w:p>
    <w:p w14:paraId="2206E2EC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 xml:space="preserve">一、合同内容: </w:t>
      </w:r>
    </w:p>
    <w:p w14:paraId="7D3C40B6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二、合同价款：</w:t>
      </w:r>
    </w:p>
    <w:p w14:paraId="0B8B832D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1、合同总价：</w:t>
      </w:r>
      <w:r>
        <w:rPr>
          <w:rFonts w:ascii="仿宋" w:eastAsia="仿宋" w:hAnsi="仿宋" w:cs="仿宋_GB2312" w:hint="eastAsia"/>
          <w:sz w:val="24"/>
          <w:u w:val="single"/>
        </w:rPr>
        <w:t xml:space="preserve">          </w:t>
      </w:r>
      <w:r>
        <w:rPr>
          <w:rFonts w:ascii="仿宋" w:eastAsia="仿宋" w:hAnsi="仿宋" w:cs="仿宋_GB2312" w:hint="eastAsia"/>
          <w:sz w:val="24"/>
        </w:rPr>
        <w:t xml:space="preserve">                        </w:t>
      </w:r>
    </w:p>
    <w:p w14:paraId="02340EF9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2、合同总价包括：包括完成本次项目所需的人工费、服务费、管理费、税金、专家审查等所有费用。</w:t>
      </w:r>
    </w:p>
    <w:p w14:paraId="222F0DB9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3、合同总价为含税价一次包死，不受市场价变化的影响。</w:t>
      </w:r>
    </w:p>
    <w:p w14:paraId="022E2C95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三、合同结算：</w:t>
      </w:r>
    </w:p>
    <w:p w14:paraId="4071075A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1、付款进度安排：</w:t>
      </w:r>
      <w:r w:rsidRPr="0062236E">
        <w:rPr>
          <w:rFonts w:ascii="仿宋" w:eastAsia="仿宋" w:hAnsi="仿宋" w:cs="仿宋_GB2312"/>
          <w:sz w:val="24"/>
        </w:rPr>
        <w:t>合同签订后，技术服务单位需完成指定矿山企业超层越界开采实地核查、现场测量等相关工作，编制并提交实地核查报告；由采购人组织相关科室、专家成立验收小组，对核查报告进行审查，验收小组可根据审查情况提出修改意见，技术服务单位需严格按照审查意见整改完善，待报告审查通过后加盖公章报送甲方，形成完整的超层越界实地核查成果；自验收小组对核查报告出具全部通过的审查意见之日起30日内，由甲方一次性足额支付本项目全部服务费用</w:t>
      </w:r>
      <w:r>
        <w:rPr>
          <w:rFonts w:ascii="仿宋" w:eastAsia="仿宋" w:hAnsi="仿宋" w:cs="仿宋_GB2312" w:hint="eastAsia"/>
          <w:sz w:val="24"/>
        </w:rPr>
        <w:t>。</w:t>
      </w:r>
    </w:p>
    <w:p w14:paraId="4B33DC84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2、结算方式：按照支付程序进行银行转账。</w:t>
      </w:r>
    </w:p>
    <w:p w14:paraId="1F9F961D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3、结算单位：由甲方负责结算，乙方根据合同条款按甲方要求开具正式发票交采购人。</w:t>
      </w:r>
    </w:p>
    <w:p w14:paraId="484E8810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四、服务期限、服务地点</w:t>
      </w:r>
    </w:p>
    <w:p w14:paraId="07C6AA21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1、服务期限：</w:t>
      </w:r>
      <w:r w:rsidRPr="00714851">
        <w:rPr>
          <w:rFonts w:ascii="仿宋" w:eastAsia="仿宋" w:hAnsi="仿宋" w:cs="仿宋_GB2312"/>
          <w:sz w:val="24"/>
        </w:rPr>
        <w:t>自合同签订之日至2027年7月底</w:t>
      </w:r>
      <w:r>
        <w:rPr>
          <w:rFonts w:ascii="仿宋" w:eastAsia="仿宋" w:hAnsi="仿宋" w:cs="仿宋_GB2312" w:hint="eastAsia"/>
          <w:sz w:val="24"/>
        </w:rPr>
        <w:t>。</w:t>
      </w:r>
    </w:p>
    <w:p w14:paraId="6B795F12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2、服务地点：陕西省渭南市。</w:t>
      </w:r>
    </w:p>
    <w:p w14:paraId="2A412063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五、技术标准</w:t>
      </w:r>
    </w:p>
    <w:p w14:paraId="1F8450B5" w14:textId="77777777" w:rsidR="00017E14" w:rsidRPr="00714851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Helvetica" w:hint="eastAsia"/>
          <w:kern w:val="0"/>
          <w:sz w:val="24"/>
        </w:rPr>
      </w:pPr>
      <w:r w:rsidRPr="00714851">
        <w:rPr>
          <w:rFonts w:ascii="仿宋" w:eastAsia="仿宋" w:hAnsi="仿宋" w:cs="Helvetica" w:hint="eastAsia"/>
          <w:kern w:val="0"/>
          <w:sz w:val="24"/>
        </w:rPr>
        <w:t>本项目所有成果编制、数据建设、评审</w:t>
      </w:r>
      <w:proofErr w:type="gramStart"/>
      <w:r w:rsidRPr="00714851">
        <w:rPr>
          <w:rFonts w:ascii="仿宋" w:eastAsia="仿宋" w:hAnsi="仿宋" w:cs="Helvetica" w:hint="eastAsia"/>
          <w:kern w:val="0"/>
          <w:sz w:val="24"/>
        </w:rPr>
        <w:t>报审全</w:t>
      </w:r>
      <w:proofErr w:type="gramEnd"/>
      <w:r w:rsidRPr="00714851">
        <w:rPr>
          <w:rFonts w:ascii="仿宋" w:eastAsia="仿宋" w:hAnsi="仿宋" w:cs="Helvetica" w:hint="eastAsia"/>
          <w:kern w:val="0"/>
          <w:sz w:val="24"/>
        </w:rPr>
        <w:t>过程，严格执行现行国家、自然资源行业、陕西省及渭南市相关标准规范，主要包含但不限于：</w:t>
      </w:r>
    </w:p>
    <w:p w14:paraId="3218E1F5" w14:textId="77777777" w:rsidR="00017E14" w:rsidRPr="00714851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Helvetica" w:hint="eastAsia"/>
          <w:kern w:val="0"/>
          <w:sz w:val="24"/>
        </w:rPr>
      </w:pPr>
      <w:r w:rsidRPr="00714851">
        <w:rPr>
          <w:rFonts w:ascii="仿宋" w:eastAsia="仿宋" w:hAnsi="仿宋" w:cs="Helvetica" w:hint="eastAsia"/>
          <w:kern w:val="0"/>
          <w:sz w:val="24"/>
        </w:rPr>
        <w:t>1</w:t>
      </w:r>
      <w:r>
        <w:rPr>
          <w:rFonts w:ascii="仿宋" w:eastAsia="仿宋" w:hAnsi="仿宋" w:cs="仿宋_GB2312" w:hint="eastAsia"/>
          <w:sz w:val="24"/>
        </w:rPr>
        <w:t>、</w:t>
      </w:r>
      <w:r w:rsidRPr="00714851">
        <w:rPr>
          <w:rFonts w:ascii="仿宋" w:eastAsia="仿宋" w:hAnsi="仿宋" w:cs="Helvetica" w:hint="eastAsia"/>
          <w:kern w:val="0"/>
          <w:sz w:val="24"/>
        </w:rPr>
        <w:t>《中华人民共和国矿产资源法》;</w:t>
      </w:r>
    </w:p>
    <w:p w14:paraId="7FA1424D" w14:textId="77777777" w:rsidR="00017E14" w:rsidRPr="00714851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Helvetica" w:hint="eastAsia"/>
          <w:kern w:val="0"/>
          <w:sz w:val="24"/>
        </w:rPr>
      </w:pPr>
      <w:r w:rsidRPr="00714851">
        <w:rPr>
          <w:rFonts w:ascii="仿宋" w:eastAsia="仿宋" w:hAnsi="仿宋" w:cs="Helvetica" w:hint="eastAsia"/>
          <w:kern w:val="0"/>
          <w:sz w:val="24"/>
        </w:rPr>
        <w:t>2</w:t>
      </w:r>
      <w:r>
        <w:rPr>
          <w:rFonts w:ascii="仿宋" w:eastAsia="仿宋" w:hAnsi="仿宋" w:cs="仿宋_GB2312" w:hint="eastAsia"/>
          <w:sz w:val="24"/>
        </w:rPr>
        <w:t>、</w:t>
      </w:r>
      <w:r w:rsidRPr="00714851">
        <w:rPr>
          <w:rFonts w:ascii="仿宋" w:eastAsia="仿宋" w:hAnsi="仿宋" w:cs="Helvetica" w:hint="eastAsia"/>
          <w:kern w:val="0"/>
          <w:sz w:val="24"/>
        </w:rPr>
        <w:t>《陕西省自然资源厅 陕西省财政厅&lt;关于全面开展煤矿超层越界开采实地核查工作&gt;的通知》（陕</w:t>
      </w:r>
      <w:proofErr w:type="gramStart"/>
      <w:r w:rsidRPr="00714851">
        <w:rPr>
          <w:rFonts w:ascii="仿宋" w:eastAsia="仿宋" w:hAnsi="仿宋" w:cs="Helvetica" w:hint="eastAsia"/>
          <w:kern w:val="0"/>
          <w:sz w:val="24"/>
        </w:rPr>
        <w:t>自然资发〔2019〕</w:t>
      </w:r>
      <w:proofErr w:type="gramEnd"/>
      <w:r w:rsidRPr="00714851">
        <w:rPr>
          <w:rFonts w:ascii="仿宋" w:eastAsia="仿宋" w:hAnsi="仿宋" w:cs="Helvetica" w:hint="eastAsia"/>
          <w:kern w:val="0"/>
          <w:sz w:val="24"/>
        </w:rPr>
        <w:t>27号）;</w:t>
      </w:r>
    </w:p>
    <w:p w14:paraId="68797D0E" w14:textId="77777777" w:rsidR="00017E14" w:rsidRPr="00714851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Helvetica" w:hint="eastAsia"/>
          <w:kern w:val="0"/>
          <w:sz w:val="24"/>
        </w:rPr>
      </w:pPr>
      <w:r w:rsidRPr="00714851">
        <w:rPr>
          <w:rFonts w:ascii="仿宋" w:eastAsia="仿宋" w:hAnsi="仿宋" w:cs="Helvetica" w:hint="eastAsia"/>
          <w:kern w:val="0"/>
          <w:sz w:val="24"/>
        </w:rPr>
        <w:lastRenderedPageBreak/>
        <w:t>3</w:t>
      </w:r>
      <w:r>
        <w:rPr>
          <w:rFonts w:ascii="仿宋" w:eastAsia="仿宋" w:hAnsi="仿宋" w:cs="仿宋_GB2312" w:hint="eastAsia"/>
          <w:sz w:val="24"/>
        </w:rPr>
        <w:t>、</w:t>
      </w:r>
      <w:r w:rsidRPr="00714851">
        <w:rPr>
          <w:rFonts w:ascii="仿宋" w:eastAsia="仿宋" w:hAnsi="仿宋" w:cs="Helvetica" w:hint="eastAsia"/>
          <w:kern w:val="0"/>
          <w:sz w:val="24"/>
        </w:rPr>
        <w:t>《陕西省自然资源厅关于印发&lt;陕西省煤矿超层越界开采实地核查技术实施细则&gt;的通知》（陕自然</w:t>
      </w:r>
      <w:proofErr w:type="gramStart"/>
      <w:r w:rsidRPr="00714851">
        <w:rPr>
          <w:rFonts w:ascii="仿宋" w:eastAsia="仿宋" w:hAnsi="仿宋" w:cs="Helvetica" w:hint="eastAsia"/>
          <w:kern w:val="0"/>
          <w:sz w:val="24"/>
        </w:rPr>
        <w:t>资矿保</w:t>
      </w:r>
      <w:proofErr w:type="gramEnd"/>
      <w:r w:rsidRPr="00714851">
        <w:rPr>
          <w:rFonts w:ascii="仿宋" w:eastAsia="仿宋" w:hAnsi="仿宋" w:cs="Helvetica" w:hint="eastAsia"/>
          <w:kern w:val="0"/>
          <w:sz w:val="24"/>
        </w:rPr>
        <w:t>发〔2022〕12号）;</w:t>
      </w:r>
    </w:p>
    <w:p w14:paraId="17BF704F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Helvetica" w:hint="eastAsia"/>
          <w:kern w:val="0"/>
          <w:sz w:val="24"/>
        </w:rPr>
      </w:pPr>
      <w:r w:rsidRPr="00714851">
        <w:rPr>
          <w:rFonts w:ascii="仿宋" w:eastAsia="仿宋" w:hAnsi="仿宋" w:cs="Helvetica" w:hint="eastAsia"/>
          <w:kern w:val="0"/>
          <w:sz w:val="24"/>
        </w:rPr>
        <w:t>4</w:t>
      </w:r>
      <w:r>
        <w:rPr>
          <w:rFonts w:ascii="仿宋" w:eastAsia="仿宋" w:hAnsi="仿宋" w:cs="仿宋_GB2312" w:hint="eastAsia"/>
          <w:sz w:val="24"/>
        </w:rPr>
        <w:t>、</w:t>
      </w:r>
      <w:r w:rsidRPr="00714851">
        <w:rPr>
          <w:rFonts w:ascii="仿宋" w:eastAsia="仿宋" w:hAnsi="仿宋" w:cs="Helvetica" w:hint="eastAsia"/>
          <w:kern w:val="0"/>
          <w:sz w:val="24"/>
        </w:rPr>
        <w:t>《渭南市安全生产委员会关于印发&lt;渭南市市级部门及中省驻渭有关单位全链条安全生产责任规定（试行）&gt;的通知》（</w:t>
      </w:r>
      <w:proofErr w:type="gramStart"/>
      <w:r w:rsidRPr="00714851">
        <w:rPr>
          <w:rFonts w:ascii="仿宋" w:eastAsia="仿宋" w:hAnsi="仿宋" w:cs="Helvetica" w:hint="eastAsia"/>
          <w:kern w:val="0"/>
          <w:sz w:val="24"/>
        </w:rPr>
        <w:t>渭安委</w:t>
      </w:r>
      <w:proofErr w:type="gramEnd"/>
      <w:r w:rsidRPr="00714851">
        <w:rPr>
          <w:rFonts w:ascii="仿宋" w:eastAsia="仿宋" w:hAnsi="仿宋" w:cs="Helvetica" w:hint="eastAsia"/>
          <w:kern w:val="0"/>
          <w:sz w:val="24"/>
        </w:rPr>
        <w:t>发〔2025〕16号）</w:t>
      </w:r>
      <w:r>
        <w:rPr>
          <w:rFonts w:ascii="仿宋" w:eastAsia="仿宋" w:hAnsi="仿宋" w:cs="仿宋_GB2312" w:hint="eastAsia"/>
          <w:sz w:val="24"/>
        </w:rPr>
        <w:t>。</w:t>
      </w:r>
    </w:p>
    <w:p w14:paraId="26444198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六、验收标准</w:t>
      </w:r>
    </w:p>
    <w:p w14:paraId="23953538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 w:rsidRPr="00714851">
        <w:rPr>
          <w:rFonts w:ascii="仿宋" w:eastAsia="仿宋" w:hAnsi="仿宋" w:cs="仿宋_GB2312"/>
          <w:sz w:val="24"/>
        </w:rPr>
        <w:t>由采购人组织相关科室、专家成立验收小组，对核查报告进行审查，验收小组可根据审查情况提出修改意见，技术服务单位需严格按照审查意见整改完善，待报告审查通过后加盖公章报送甲方，形成完整的超层越界实地核查成果</w:t>
      </w:r>
      <w:r>
        <w:rPr>
          <w:rFonts w:ascii="仿宋" w:eastAsia="仿宋" w:hAnsi="仿宋" w:cs="仿宋_GB2312" w:hint="eastAsia"/>
          <w:sz w:val="24"/>
        </w:rPr>
        <w:t>。</w:t>
      </w:r>
    </w:p>
    <w:p w14:paraId="2E276662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七、权利和义务</w:t>
      </w:r>
    </w:p>
    <w:p w14:paraId="388F8A8E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甲方的权利和义务</w:t>
      </w:r>
    </w:p>
    <w:p w14:paraId="75C331F7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1、甲方负责对项目工作进度、质量进行监督管理。</w:t>
      </w:r>
    </w:p>
    <w:p w14:paraId="5C60BC67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2、甲方负责督促被核查矿山积极配合乙方开展工作。</w:t>
      </w:r>
    </w:p>
    <w:p w14:paraId="06289603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3、项目所形成的成果和成果资料属甲方所有。</w:t>
      </w:r>
    </w:p>
    <w:p w14:paraId="5E0F955B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4、甲方应按照本合同约定向乙方支付项目资金。</w:t>
      </w:r>
    </w:p>
    <w:p w14:paraId="16E19A9B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5、国家法律、法规所规定由甲方承担的其它责任。</w:t>
      </w:r>
    </w:p>
    <w:p w14:paraId="67F4D7EA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乙方的权利和义务</w:t>
      </w:r>
    </w:p>
    <w:p w14:paraId="370C2145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1、乙方应按甲方的要求和相关工作规程、规范开展工作，并提交项目成果及相关材料。</w:t>
      </w:r>
    </w:p>
    <w:p w14:paraId="6765382B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2、乙方对提交的成果及相关材料真实性负责。</w:t>
      </w:r>
    </w:p>
    <w:p w14:paraId="3128BD3D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3、乙方应遵守项目资料保密规定，履行项目全过程资料保管和保密义务。未经甲方批准，不得发布、公开项目阶段进展或成果资料信息。</w:t>
      </w:r>
    </w:p>
    <w:p w14:paraId="02F08B0E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4、乙方核查过程中，发现被核查对象存在超层越界开采外的其他违法违规行为的，应留存相关证据资料，并向甲方报告。</w:t>
      </w:r>
    </w:p>
    <w:p w14:paraId="61134CE9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5、国家法律、法规所规定由乙方承担的其它责任。</w:t>
      </w:r>
    </w:p>
    <w:p w14:paraId="3C7A62A9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八、知识产权条款</w:t>
      </w:r>
    </w:p>
    <w:p w14:paraId="3E27B9F9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1、因本协议产生的工作成果（文档、报表、图纸等)由甲方享有知识产权。未经甲方书面许可，乙方不得许可第三方阅读、使用或复制。</w:t>
      </w:r>
    </w:p>
    <w:p w14:paraId="1516515D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lastRenderedPageBreak/>
        <w:t>2、乙方保证其工作成果及其调查过程不侵犯第三人的知识产权，如第三方以该成果侵犯知识产权为由提起诉讼，乙方将以自己的费用解决问题，并赔偿因此给甲方造成的损失。</w:t>
      </w:r>
    </w:p>
    <w:p w14:paraId="143C1057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九、违约责任与解决争议的方法</w:t>
      </w:r>
    </w:p>
    <w:p w14:paraId="5F4B8BE1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1、按《民法典》中的相关条款执行。</w:t>
      </w:r>
    </w:p>
    <w:p w14:paraId="7042325E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/>
          <w:sz w:val="24"/>
        </w:rPr>
        <w:t>2</w:t>
      </w:r>
      <w:r>
        <w:rPr>
          <w:rFonts w:ascii="仿宋" w:eastAsia="仿宋" w:hAnsi="仿宋" w:cs="仿宋_GB2312" w:hint="eastAsia"/>
          <w:sz w:val="24"/>
        </w:rPr>
        <w:t>、当事人一方不履行合同义务或者履行合同义务不符合约定的，应当承担继续履行、采取补救措施或者赔偿损失等违约责任。</w:t>
      </w:r>
    </w:p>
    <w:p w14:paraId="3693351D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/>
          <w:sz w:val="24"/>
        </w:rPr>
        <w:t>3</w:t>
      </w:r>
      <w:r>
        <w:rPr>
          <w:rFonts w:ascii="仿宋" w:eastAsia="仿宋" w:hAnsi="仿宋" w:cs="仿宋_GB2312" w:hint="eastAsia"/>
          <w:sz w:val="24"/>
        </w:rPr>
        <w:t>、如果乙方在项目实施中违反操作规程，导致责任事故的，所有责任由乙方承担。</w:t>
      </w:r>
    </w:p>
    <w:p w14:paraId="486961D7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4、若乙方在项目实施中弄虚作假，因自身工作失误未发现被核查矿山的超层越界开采行为，或故意隐瞒被核查矿山的超层越界开采行为，除按相关规定承担法律责任外，今后不得参与甲方组织的相关项目。</w:t>
      </w:r>
    </w:p>
    <w:p w14:paraId="0DDB59D0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5、本合同履行中发生争议，双方协商解决。协商不成的，任何一方可向采购人所在地具有管辖权的人民法院提起诉讼。</w:t>
      </w:r>
    </w:p>
    <w:p w14:paraId="331138D6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十、其他</w:t>
      </w:r>
    </w:p>
    <w:p w14:paraId="36BE2D07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1、在合同有效期内，任何一方因不可抗力事件导致不能履行合同，则合同履行期延长，其延长期与不可抗力影响期相同。</w:t>
      </w:r>
    </w:p>
    <w:p w14:paraId="38D243BB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2、合同一经签订，不得擅自变更、中止或者终止合同。对确需变更、调整或者中止、终止合同的，应按规定履行相应的手续</w:t>
      </w:r>
    </w:p>
    <w:p w14:paraId="757D1CC5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3、甲方提供给乙方的相关基础资料只限于本项目，乙方需对资料保密，不得外传或用于本项目以外的其他事项。</w:t>
      </w:r>
    </w:p>
    <w:p w14:paraId="5BC5A87A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4、本项目工作成果只能提交给甲方，不得提供给其他任何单位或用于其他事项。</w:t>
      </w:r>
    </w:p>
    <w:p w14:paraId="48DD3459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5、如乙方擅自提供资料，导致资料泄密，乙方需承担一切法律责任。</w:t>
      </w:r>
    </w:p>
    <w:p w14:paraId="692E26FA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十一、合同组成</w:t>
      </w:r>
    </w:p>
    <w:p w14:paraId="2A9A2D32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1、中标通知书</w:t>
      </w:r>
    </w:p>
    <w:p w14:paraId="77C4B1F9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2、合同文件</w:t>
      </w:r>
    </w:p>
    <w:p w14:paraId="4FECA35A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lastRenderedPageBreak/>
        <w:t>3、国家相关规范及标准</w:t>
      </w:r>
    </w:p>
    <w:p w14:paraId="4443A450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4、技术规格及参数表</w:t>
      </w:r>
    </w:p>
    <w:p w14:paraId="72036B20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5、招标文件</w:t>
      </w:r>
    </w:p>
    <w:p w14:paraId="08319135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6、投标文件</w:t>
      </w:r>
    </w:p>
    <w:p w14:paraId="709C44FD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b/>
          <w:bCs/>
          <w:sz w:val="24"/>
        </w:rPr>
      </w:pPr>
      <w:r>
        <w:rPr>
          <w:rFonts w:ascii="仿宋" w:eastAsia="仿宋" w:hAnsi="仿宋" w:cs="仿宋_GB2312" w:hint="eastAsia"/>
          <w:b/>
          <w:bCs/>
          <w:sz w:val="24"/>
        </w:rPr>
        <w:t>十二、合同生效及其它</w:t>
      </w:r>
    </w:p>
    <w:p w14:paraId="360F9A97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1、合同未尽事宜、由甲、乙双方协商，作为合同补充，与原合同具有同等法律效力。</w:t>
      </w:r>
    </w:p>
    <w:p w14:paraId="0FAA764A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2、本合同正本一式</w:t>
      </w:r>
      <w:r>
        <w:rPr>
          <w:rFonts w:ascii="仿宋" w:eastAsia="仿宋" w:hAnsi="仿宋" w:cs="仿宋_GB2312" w:hint="eastAsia"/>
          <w:sz w:val="24"/>
          <w:u w:val="single"/>
        </w:rPr>
        <w:t xml:space="preserve">     </w:t>
      </w:r>
      <w:r>
        <w:rPr>
          <w:rFonts w:ascii="仿宋" w:eastAsia="仿宋" w:hAnsi="仿宋" w:cs="仿宋_GB2312" w:hint="eastAsia"/>
          <w:sz w:val="24"/>
        </w:rPr>
        <w:t>份，甲方、乙方双方分别执</w:t>
      </w:r>
      <w:r>
        <w:rPr>
          <w:rFonts w:ascii="仿宋" w:eastAsia="仿宋" w:hAnsi="仿宋" w:cs="仿宋_GB2312" w:hint="eastAsia"/>
          <w:sz w:val="24"/>
          <w:u w:val="single"/>
        </w:rPr>
        <w:t xml:space="preserve">    </w:t>
      </w:r>
      <w:r>
        <w:rPr>
          <w:rFonts w:ascii="仿宋" w:eastAsia="仿宋" w:hAnsi="仿宋" w:cs="仿宋_GB2312" w:hint="eastAsia"/>
          <w:sz w:val="24"/>
        </w:rPr>
        <w:t>份，</w:t>
      </w:r>
      <w:r>
        <w:rPr>
          <w:rFonts w:ascii="仿宋" w:eastAsia="仿宋" w:hAnsi="仿宋" w:cs="仿宋_GB2312" w:hint="eastAsia"/>
          <w:sz w:val="24"/>
          <w:u w:val="single"/>
        </w:rPr>
        <w:t xml:space="preserve">   </w:t>
      </w:r>
      <w:r>
        <w:rPr>
          <w:rFonts w:ascii="仿宋" w:eastAsia="仿宋" w:hAnsi="仿宋" w:cs="仿宋_GB2312" w:hint="eastAsia"/>
          <w:sz w:val="24"/>
        </w:rPr>
        <w:t>备案</w:t>
      </w:r>
      <w:r>
        <w:rPr>
          <w:rFonts w:ascii="仿宋" w:eastAsia="仿宋" w:hAnsi="仿宋" w:cs="仿宋_GB2312" w:hint="eastAsia"/>
          <w:sz w:val="24"/>
          <w:u w:val="single"/>
        </w:rPr>
        <w:t xml:space="preserve">  </w:t>
      </w:r>
      <w:r>
        <w:rPr>
          <w:rFonts w:ascii="仿宋" w:eastAsia="仿宋" w:hAnsi="仿宋" w:cs="仿宋_GB2312" w:hint="eastAsia"/>
          <w:sz w:val="24"/>
        </w:rPr>
        <w:t>份。</w:t>
      </w:r>
    </w:p>
    <w:p w14:paraId="1988A9C9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3、合同经甲乙双方盖章、签字后生效，合同签订地点为</w:t>
      </w:r>
      <w:r>
        <w:rPr>
          <w:rFonts w:ascii="仿宋" w:eastAsia="仿宋" w:hAnsi="仿宋" w:cs="仿宋_GB2312" w:hint="eastAsia"/>
          <w:sz w:val="24"/>
          <w:u w:val="single"/>
        </w:rPr>
        <w:t xml:space="preserve">   </w:t>
      </w:r>
      <w:r>
        <w:rPr>
          <w:rFonts w:ascii="仿宋" w:eastAsia="仿宋" w:hAnsi="仿宋" w:cs="仿宋_GB2312" w:hint="eastAsia"/>
          <w:sz w:val="24"/>
        </w:rPr>
        <w:t>。</w:t>
      </w:r>
    </w:p>
    <w:p w14:paraId="2AE640A3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  <w:r>
        <w:rPr>
          <w:rFonts w:ascii="仿宋" w:eastAsia="仿宋" w:hAnsi="仿宋" w:cs="仿宋_GB2312" w:hint="eastAsia"/>
          <w:sz w:val="24"/>
        </w:rPr>
        <w:t>4、生效时间：</w:t>
      </w:r>
      <w:r>
        <w:rPr>
          <w:rFonts w:ascii="仿宋" w:eastAsia="仿宋" w:hAnsi="仿宋" w:cs="仿宋_GB2312" w:hint="eastAsia"/>
          <w:sz w:val="24"/>
          <w:u w:val="single"/>
        </w:rPr>
        <w:t xml:space="preserve">   </w:t>
      </w:r>
      <w:r>
        <w:rPr>
          <w:rFonts w:ascii="仿宋" w:eastAsia="仿宋" w:hAnsi="仿宋" w:cs="仿宋_GB2312" w:hint="eastAsia"/>
          <w:sz w:val="24"/>
        </w:rPr>
        <w:t>年</w:t>
      </w:r>
      <w:r>
        <w:rPr>
          <w:rFonts w:ascii="仿宋" w:eastAsia="仿宋" w:hAnsi="仿宋" w:cs="仿宋_GB2312" w:hint="eastAsia"/>
          <w:sz w:val="24"/>
          <w:u w:val="single"/>
        </w:rPr>
        <w:t xml:space="preserve"> </w:t>
      </w:r>
      <w:r>
        <w:rPr>
          <w:rFonts w:ascii="仿宋" w:eastAsia="仿宋" w:hAnsi="仿宋" w:cs="仿宋_GB2312"/>
          <w:sz w:val="24"/>
          <w:u w:val="single"/>
        </w:rPr>
        <w:t xml:space="preserve"> </w:t>
      </w:r>
      <w:r>
        <w:rPr>
          <w:rFonts w:ascii="仿宋" w:eastAsia="仿宋" w:hAnsi="仿宋" w:cs="仿宋_GB2312" w:hint="eastAsia"/>
          <w:sz w:val="24"/>
          <w:u w:val="single"/>
        </w:rPr>
        <w:t xml:space="preserve"> </w:t>
      </w:r>
      <w:r>
        <w:rPr>
          <w:rFonts w:ascii="仿宋" w:eastAsia="仿宋" w:hAnsi="仿宋" w:cs="仿宋_GB2312" w:hint="eastAsia"/>
          <w:sz w:val="24"/>
        </w:rPr>
        <w:t>月</w:t>
      </w:r>
      <w:r>
        <w:rPr>
          <w:rFonts w:ascii="仿宋" w:eastAsia="仿宋" w:hAnsi="仿宋" w:cs="仿宋_GB2312" w:hint="eastAsia"/>
          <w:sz w:val="24"/>
          <w:u w:val="single"/>
        </w:rPr>
        <w:t xml:space="preserve">  </w:t>
      </w:r>
      <w:r>
        <w:rPr>
          <w:rFonts w:ascii="仿宋" w:eastAsia="仿宋" w:hAnsi="仿宋" w:cs="仿宋_GB2312"/>
          <w:sz w:val="24"/>
          <w:u w:val="single"/>
        </w:rPr>
        <w:t xml:space="preserve"> </w:t>
      </w:r>
      <w:r>
        <w:rPr>
          <w:rFonts w:ascii="仿宋" w:eastAsia="仿宋" w:hAnsi="仿宋" w:cs="仿宋_GB2312" w:hint="eastAsia"/>
          <w:sz w:val="24"/>
        </w:rPr>
        <w:t>日</w:t>
      </w:r>
    </w:p>
    <w:p w14:paraId="5E4A8507" w14:textId="77777777" w:rsidR="00017E14" w:rsidRDefault="00017E14" w:rsidP="00017E14">
      <w:pPr>
        <w:tabs>
          <w:tab w:val="left" w:pos="980"/>
        </w:tabs>
        <w:kinsoku w:val="0"/>
        <w:spacing w:line="500" w:lineRule="exact"/>
        <w:ind w:firstLine="560"/>
        <w:rPr>
          <w:rFonts w:ascii="仿宋" w:eastAsia="仿宋" w:hAnsi="仿宋" w:cs="仿宋_GB2312" w:hint="eastAsia"/>
          <w:sz w:val="24"/>
        </w:rPr>
      </w:pPr>
    </w:p>
    <w:p w14:paraId="6BDE593F" w14:textId="77777777" w:rsidR="00017E14" w:rsidRDefault="00017E14" w:rsidP="00017E14">
      <w:pPr>
        <w:pStyle w:val="1"/>
        <w:rPr>
          <w:rFonts w:ascii="仿宋" w:eastAsia="仿宋" w:hAnsi="仿宋" w:hint="eastAsia"/>
        </w:rPr>
      </w:pPr>
    </w:p>
    <w:p w14:paraId="4C12C1D1" w14:textId="77777777" w:rsidR="00017E14" w:rsidRDefault="00017E14" w:rsidP="00017E14">
      <w:pPr>
        <w:pStyle w:val="1"/>
        <w:rPr>
          <w:rFonts w:ascii="仿宋" w:eastAsia="仿宋" w:hAnsi="仿宋" w:hint="eastAsi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017E14" w14:paraId="2314B3D5" w14:textId="77777777" w:rsidTr="00441A7D">
        <w:trPr>
          <w:jc w:val="center"/>
        </w:trPr>
        <w:tc>
          <w:tcPr>
            <w:tcW w:w="4643" w:type="dxa"/>
          </w:tcPr>
          <w:p w14:paraId="06A2598D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甲方名称</w:t>
            </w:r>
            <w:r>
              <w:rPr>
                <w:rFonts w:ascii="仿宋" w:eastAsia="仿宋" w:hAnsi="仿宋" w:hint="eastAsia"/>
                <w:spacing w:val="-20"/>
                <w:kern w:val="0"/>
                <w:sz w:val="24"/>
              </w:rPr>
              <w:t>（盖章）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</w:t>
            </w:r>
          </w:p>
          <w:p w14:paraId="1D523BE9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地址：</w:t>
            </w:r>
          </w:p>
          <w:p w14:paraId="76D10A45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代表人（签字）：</w:t>
            </w:r>
          </w:p>
          <w:p w14:paraId="4C83F4D9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电话：</w:t>
            </w:r>
          </w:p>
          <w:p w14:paraId="7D55055D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开户银行：</w:t>
            </w:r>
          </w:p>
          <w:p w14:paraId="41BBCD80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kern w:val="0"/>
                <w:sz w:val="24"/>
              </w:rPr>
              <w:t>帐号</w:t>
            </w:r>
            <w:proofErr w:type="gramEnd"/>
            <w:r>
              <w:rPr>
                <w:rFonts w:ascii="仿宋" w:eastAsia="仿宋" w:hAnsi="仿宋" w:hint="eastAsia"/>
                <w:kern w:val="0"/>
                <w:sz w:val="24"/>
              </w:rPr>
              <w:t>：</w:t>
            </w:r>
          </w:p>
        </w:tc>
        <w:tc>
          <w:tcPr>
            <w:tcW w:w="4643" w:type="dxa"/>
          </w:tcPr>
          <w:p w14:paraId="5CC78622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乙方名称</w:t>
            </w:r>
            <w:r>
              <w:rPr>
                <w:rFonts w:ascii="仿宋" w:eastAsia="仿宋" w:hAnsi="仿宋" w:hint="eastAsia"/>
                <w:spacing w:val="-20"/>
                <w:kern w:val="0"/>
                <w:sz w:val="24"/>
              </w:rPr>
              <w:t>（盖章）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</w:t>
            </w:r>
          </w:p>
          <w:p w14:paraId="6D71AFFF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地址：</w:t>
            </w:r>
          </w:p>
          <w:p w14:paraId="3D79CE2F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代表人（签字）：</w:t>
            </w:r>
          </w:p>
          <w:p w14:paraId="04E7C75B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电话：</w:t>
            </w:r>
          </w:p>
          <w:p w14:paraId="4AD79F36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开户银行：</w:t>
            </w:r>
          </w:p>
          <w:p w14:paraId="4D03BA73" w14:textId="77777777" w:rsidR="00017E14" w:rsidRDefault="00017E14" w:rsidP="00441A7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仿宋" w:eastAsia="仿宋" w:hAnsi="仿宋" w:hint="eastAsia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kern w:val="0"/>
                <w:sz w:val="24"/>
              </w:rPr>
              <w:t>帐号</w:t>
            </w:r>
            <w:proofErr w:type="gramEnd"/>
            <w:r>
              <w:rPr>
                <w:rFonts w:ascii="仿宋" w:eastAsia="仿宋" w:hAnsi="仿宋" w:hint="eastAsia"/>
                <w:kern w:val="0"/>
                <w:sz w:val="24"/>
              </w:rPr>
              <w:t>：</w:t>
            </w:r>
          </w:p>
        </w:tc>
      </w:tr>
    </w:tbl>
    <w:p w14:paraId="1FE7E563" w14:textId="77777777" w:rsidR="00511069" w:rsidRPr="00017E14" w:rsidRDefault="00511069" w:rsidP="00017E14"/>
    <w:sectPr w:rsidR="00511069" w:rsidRPr="00017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26446" w14:textId="77777777" w:rsidR="00C93ACF" w:rsidRDefault="00C93ACF" w:rsidP="00BD2D7B">
      <w:r>
        <w:separator/>
      </w:r>
    </w:p>
  </w:endnote>
  <w:endnote w:type="continuationSeparator" w:id="0">
    <w:p w14:paraId="2A361809" w14:textId="77777777" w:rsidR="00C93ACF" w:rsidRDefault="00C93ACF" w:rsidP="00BD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8F887" w14:textId="77777777" w:rsidR="00C93ACF" w:rsidRDefault="00C93ACF" w:rsidP="00BD2D7B">
      <w:r>
        <w:separator/>
      </w:r>
    </w:p>
  </w:footnote>
  <w:footnote w:type="continuationSeparator" w:id="0">
    <w:p w14:paraId="054FDD9C" w14:textId="77777777" w:rsidR="00C93ACF" w:rsidRDefault="00C93ACF" w:rsidP="00BD2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21520C3"/>
    <w:rsid w:val="00017E14"/>
    <w:rsid w:val="00163566"/>
    <w:rsid w:val="00204D22"/>
    <w:rsid w:val="00511069"/>
    <w:rsid w:val="005F0284"/>
    <w:rsid w:val="00614B09"/>
    <w:rsid w:val="006765DC"/>
    <w:rsid w:val="006A22B2"/>
    <w:rsid w:val="006D00BF"/>
    <w:rsid w:val="00707424"/>
    <w:rsid w:val="008325C1"/>
    <w:rsid w:val="00A324D5"/>
    <w:rsid w:val="00AF3757"/>
    <w:rsid w:val="00B20265"/>
    <w:rsid w:val="00BD2D7B"/>
    <w:rsid w:val="00C93ACF"/>
    <w:rsid w:val="00EE5228"/>
    <w:rsid w:val="00F046B5"/>
    <w:rsid w:val="00FD5616"/>
    <w:rsid w:val="5215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AA48FC"/>
  <w15:docId w15:val="{CCCDD308-AA4E-4298-B9CB-B050BDBB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4"/>
    <w:semiHidden/>
    <w:qFormat/>
    <w:rPr>
      <w:rFonts w:ascii="黑体" w:eastAsia="黑体" w:hAnsi="黑体" w:cs="黑体"/>
      <w:sz w:val="16"/>
      <w:szCs w:val="16"/>
      <w:lang w:eastAsia="en-US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styleId="a4">
    <w:name w:val="header"/>
    <w:basedOn w:val="a"/>
    <w:link w:val="a5"/>
    <w:rsid w:val="00BD2D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BD2D7B"/>
    <w:rPr>
      <w:kern w:val="2"/>
      <w:sz w:val="18"/>
      <w:szCs w:val="18"/>
    </w:rPr>
  </w:style>
  <w:style w:type="paragraph" w:styleId="a6">
    <w:name w:val="footer"/>
    <w:basedOn w:val="a"/>
    <w:link w:val="a7"/>
    <w:rsid w:val="00BD2D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BD2D7B"/>
    <w:rPr>
      <w:kern w:val="2"/>
      <w:sz w:val="18"/>
      <w:szCs w:val="18"/>
    </w:rPr>
  </w:style>
  <w:style w:type="paragraph" w:customStyle="1" w:styleId="1">
    <w:name w:val="正文缩进1"/>
    <w:basedOn w:val="a"/>
    <w:qFormat/>
    <w:rsid w:val="00BD2D7B"/>
    <w:pPr>
      <w:ind w:firstLineChars="200" w:firstLine="420"/>
    </w:pPr>
    <w:rPr>
      <w:rFonts w:ascii="Times New Roman" w:eastAsia="Arial Unicode MS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1056</Words>
  <Characters>1131</Characters>
  <Application>Microsoft Office Word</Application>
  <DocSecurity>0</DocSecurity>
  <Lines>377</Lines>
  <Paragraphs>242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j@x</dc:creator>
  <cp:lastModifiedBy>石 熊</cp:lastModifiedBy>
  <cp:revision>7</cp:revision>
  <dcterms:created xsi:type="dcterms:W3CDTF">2025-10-27T08:24:00Z</dcterms:created>
  <dcterms:modified xsi:type="dcterms:W3CDTF">2026-07-22T11:14:00Z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C4D93B529E544CB4888F593ED2848BAB_11</vt:lpwstr>
  </property>
  <property fmtid="{D5CDD505-2E9C-101B-9397-08002B2CF9AE}" pid="4" name="KSOTemplateDocerSaveRecord">
    <vt:lpwstr>eyJoZGlkIjoiZjE1YjQ4NWY2MWE2Y2ZiNzE4NTU1MjQ3YTY1ZWQwZjAiLCJ1c2VySWQiOiI1NTM3MTk1MjIifQ==</vt:lpwstr>
  </property>
</Properties>
</file>