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预算管理一体化核心应用系统运维服务中标（成交）结果公告</w:t>
      </w:r>
    </w:p>
    <w:p>
      <w:pPr>
        <w:pStyle w:val="null3"/>
        <w:outlineLvl w:val="3"/>
      </w:pPr>
      <w:r>
        <w:rPr>
          <w:rFonts w:ascii="仿宋_GB2312" w:hAnsi="仿宋_GB2312" w:cs="仿宋_GB2312" w:eastAsia="仿宋_GB2312"/>
          <w:sz w:val="24"/>
          <w:b/>
        </w:rPr>
        <w:t>一、项目编号：ZZBBJ-CS-2026-0023</w:t>
      </w:r>
    </w:p>
    <w:p>
      <w:pPr>
        <w:pStyle w:val="null3"/>
        <w:outlineLvl w:val="3"/>
      </w:pPr>
      <w:r>
        <w:rPr>
          <w:rFonts w:ascii="仿宋_GB2312" w:hAnsi="仿宋_GB2312" w:cs="仿宋_GB2312" w:eastAsia="仿宋_GB2312"/>
          <w:sz w:val="24"/>
          <w:b/>
        </w:rPr>
        <w:t>二、项目名称：预算管理一体化核心应用系统运维服务</w:t>
      </w:r>
    </w:p>
    <w:p>
      <w:pPr>
        <w:pStyle w:val="null3"/>
        <w:outlineLvl w:val="3"/>
      </w:pPr>
      <w:r>
        <w:rPr>
          <w:rFonts w:ascii="仿宋_GB2312" w:hAnsi="仿宋_GB2312" w:cs="仿宋_GB2312" w:eastAsia="仿宋_GB2312"/>
          <w:sz w:val="24"/>
          <w:b/>
        </w:rPr>
        <w:t>三、采购结果</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3115"/>
        <w:gridCol w:w="1557"/>
        <w:gridCol w:w="1557"/>
      </w:tblGrid>
      <w:tr>
        <w:tc>
          <w:tcPr>
            <w:tcW w:type="dxa" w:w="2076"/>
          </w:tcPr>
          <w:p>
            <w:pPr>
              <w:pStyle w:val="null3"/>
            </w:pPr>
            <w:r>
              <w:rPr>
                <w:rFonts w:ascii="仿宋_GB2312" w:hAnsi="仿宋_GB2312" w:cs="仿宋_GB2312" w:eastAsia="仿宋_GB2312"/>
              </w:rPr>
              <w:t>供应商名称</w:t>
            </w:r>
          </w:p>
        </w:tc>
        <w:tc>
          <w:tcPr>
            <w:tcW w:type="dxa" w:w="3115"/>
          </w:tcPr>
          <w:p>
            <w:pPr>
              <w:pStyle w:val="null3"/>
            </w:pPr>
            <w:r>
              <w:rPr>
                <w:rFonts w:ascii="仿宋_GB2312" w:hAnsi="仿宋_GB2312" w:cs="仿宋_GB2312" w:eastAsia="仿宋_GB2312"/>
              </w:rPr>
              <w:t>供应商地址</w:t>
            </w:r>
          </w:p>
        </w:tc>
        <w:tc>
          <w:tcPr>
            <w:tcW w:type="dxa" w:w="1557"/>
          </w:tcPr>
          <w:p>
            <w:pPr>
              <w:pStyle w:val="null3"/>
            </w:pPr>
            <w:r>
              <w:rPr>
                <w:rFonts w:ascii="仿宋_GB2312" w:hAnsi="仿宋_GB2312" w:cs="仿宋_GB2312" w:eastAsia="仿宋_GB2312"/>
              </w:rPr>
              <w:t>中标（成交）金额</w:t>
            </w:r>
          </w:p>
        </w:tc>
        <w:tc>
          <w:tcPr>
            <w:tcW w:type="dxa" w:w="1557"/>
          </w:tcPr>
          <w:p>
            <w:pPr>
              <w:pStyle w:val="null3"/>
            </w:pPr>
            <w:r>
              <w:rPr>
                <w:rFonts w:ascii="仿宋_GB2312" w:hAnsi="仿宋_GB2312" w:cs="仿宋_GB2312" w:eastAsia="仿宋_GB2312"/>
              </w:rPr>
              <w:t>评审总得分</w:t>
            </w:r>
          </w:p>
        </w:tc>
      </w:tr>
      <w:tr>
        <w:tc>
          <w:tcPr>
            <w:tcW w:type="dxa" w:w="2076"/>
          </w:tcPr>
          <w:p>
            <w:pPr>
              <w:pStyle w:val="null3"/>
            </w:pPr>
            <w:r>
              <w:rPr>
                <w:rFonts w:ascii="仿宋_GB2312" w:hAnsi="仿宋_GB2312" w:cs="仿宋_GB2312" w:eastAsia="仿宋_GB2312"/>
              </w:rPr>
              <w:t>陕西鑫众为软件有限公司</w:t>
            </w:r>
          </w:p>
        </w:tc>
        <w:tc>
          <w:tcPr>
            <w:tcW w:type="dxa" w:w="3115"/>
          </w:tcPr>
          <w:p>
            <w:pPr>
              <w:pStyle w:val="null3"/>
            </w:pPr>
            <w:r>
              <w:rPr>
                <w:rFonts w:ascii="仿宋_GB2312" w:hAnsi="仿宋_GB2312" w:cs="仿宋_GB2312" w:eastAsia="仿宋_GB2312"/>
              </w:rPr>
              <w:t>陕西省西安市高新区丈八一路一号汇鑫IBC A座10806室</w:t>
            </w:r>
          </w:p>
        </w:tc>
        <w:tc>
          <w:tcPr>
            <w:tcW w:type="dxa" w:w="1557"/>
          </w:tcPr>
          <w:p>
            <w:pPr>
              <w:pStyle w:val="null3"/>
              <w:jc w:val="right"/>
            </w:pPr>
            <w:r>
              <w:rPr>
                <w:rFonts w:ascii="仿宋_GB2312" w:hAnsi="仿宋_GB2312" w:cs="仿宋_GB2312" w:eastAsia="仿宋_GB2312"/>
              </w:rPr>
              <w:t>758,100.00元</w:t>
            </w:r>
          </w:p>
        </w:tc>
        <w:tc>
          <w:tcPr>
            <w:tcW w:type="dxa" w:w="1557"/>
          </w:tcPr>
          <w:p>
            <w:pPr>
              <w:pStyle w:val="null3"/>
            </w:pPr>
            <w:r>
              <w:rPr>
                <w:rFonts w:ascii="仿宋_GB2312" w:hAnsi="仿宋_GB2312" w:cs="仿宋_GB2312" w:eastAsia="仿宋_GB2312"/>
              </w:rPr>
              <w:t>94.32</w:t>
            </w:r>
          </w:p>
        </w:tc>
      </w:tr>
    </w:tbl>
    <w:p>
      <w:pPr>
        <w:pStyle w:val="null3"/>
        <w:outlineLvl w:val="3"/>
      </w:pPr>
      <w:r>
        <w:rPr>
          <w:rFonts w:ascii="仿宋_GB2312" w:hAnsi="仿宋_GB2312" w:cs="仿宋_GB2312" w:eastAsia="仿宋_GB2312"/>
          <w:sz w:val="24"/>
          <w:b/>
        </w:rPr>
        <w:t>四、主要标的信息</w:t>
      </w:r>
    </w:p>
    <w:p>
      <w:pPr>
        <w:pStyle w:val="null3"/>
      </w:pPr>
      <w:r>
        <w:rPr>
          <w:rFonts w:ascii="仿宋_GB2312" w:hAnsi="仿宋_GB2312" w:cs="仿宋_GB2312" w:eastAsia="仿宋_GB2312"/>
        </w:rPr>
        <w:t>合同包1(预算管理一体化核心应用系统运维服务):</w:t>
      </w:r>
    </w:p>
    <w:p>
      <w:pPr>
        <w:pStyle w:val="null3"/>
      </w:pPr>
      <w:r>
        <w:rPr>
          <w:rFonts w:ascii="仿宋_GB2312" w:hAnsi="仿宋_GB2312" w:cs="仿宋_GB2312" w:eastAsia="仿宋_GB2312"/>
        </w:rPr>
        <w:t>服务类（陕西鑫众为软件有限公司）</w:t>
      </w:r>
    </w:p>
    <w:tbl>
      <w:tblPr>
        <w:tblW w:w="0" w:type="auto"/>
        <w:tblBorders>
          <w:top w:val="single"/>
          <w:left w:val="single"/>
          <w:bottom w:val="single"/>
          <w:right w:val="single"/>
          <w:insideH w:val="single"/>
          <w:insideV w:val="single"/>
        </w:tblBorders>
      </w:tblPr>
      <w:tblGrid>
        <w:gridCol w:w="1008"/>
        <w:gridCol w:w="968"/>
        <w:gridCol w:w="968"/>
        <w:gridCol w:w="1452"/>
        <w:gridCol w:w="968"/>
        <w:gridCol w:w="968"/>
        <w:gridCol w:w="968"/>
        <w:gridCol w:w="1008"/>
      </w:tblGrid>
      <w:tr>
        <w:tc>
          <w:tcPr>
            <w:tcW w:type="dxa" w:w="1008"/>
          </w:tcPr>
          <w:p>
            <w:pPr>
              <w:pStyle w:val="null3"/>
            </w:pPr>
            <w:r>
              <w:rPr>
                <w:rFonts w:ascii="仿宋_GB2312" w:hAnsi="仿宋_GB2312" w:cs="仿宋_GB2312" w:eastAsia="仿宋_GB2312"/>
              </w:rPr>
              <w:t>品目号</w:t>
            </w:r>
          </w:p>
        </w:tc>
        <w:tc>
          <w:tcPr>
            <w:tcW w:type="dxa" w:w="968"/>
          </w:tcPr>
          <w:p>
            <w:pPr>
              <w:pStyle w:val="null3"/>
            </w:pPr>
            <w:r>
              <w:rPr>
                <w:rFonts w:ascii="仿宋_GB2312" w:hAnsi="仿宋_GB2312" w:cs="仿宋_GB2312" w:eastAsia="仿宋_GB2312"/>
              </w:rPr>
              <w:t>品目名称</w:t>
            </w:r>
          </w:p>
        </w:tc>
        <w:tc>
          <w:tcPr>
            <w:tcW w:type="dxa" w:w="968"/>
          </w:tcPr>
          <w:p>
            <w:pPr>
              <w:pStyle w:val="null3"/>
            </w:pPr>
            <w:r>
              <w:rPr>
                <w:rFonts w:ascii="仿宋_GB2312" w:hAnsi="仿宋_GB2312" w:cs="仿宋_GB2312" w:eastAsia="仿宋_GB2312"/>
              </w:rPr>
              <w:t>采购标的</w:t>
            </w:r>
          </w:p>
        </w:tc>
        <w:tc>
          <w:tcPr>
            <w:tcW w:type="dxa" w:w="1452"/>
          </w:tcPr>
          <w:p>
            <w:pPr>
              <w:pStyle w:val="null3"/>
            </w:pPr>
            <w:r>
              <w:rPr>
                <w:rFonts w:ascii="仿宋_GB2312" w:hAnsi="仿宋_GB2312" w:cs="仿宋_GB2312" w:eastAsia="仿宋_GB2312"/>
              </w:rPr>
              <w:t>服务范围</w:t>
            </w:r>
          </w:p>
        </w:tc>
        <w:tc>
          <w:tcPr>
            <w:tcW w:type="dxa" w:w="968"/>
          </w:tcPr>
          <w:p>
            <w:pPr>
              <w:pStyle w:val="null3"/>
            </w:pPr>
            <w:r>
              <w:rPr>
                <w:rFonts w:ascii="仿宋_GB2312" w:hAnsi="仿宋_GB2312" w:cs="仿宋_GB2312" w:eastAsia="仿宋_GB2312"/>
              </w:rPr>
              <w:t>服务要求</w:t>
            </w:r>
          </w:p>
        </w:tc>
        <w:tc>
          <w:tcPr>
            <w:tcW w:type="dxa" w:w="968"/>
          </w:tcPr>
          <w:p>
            <w:pPr>
              <w:pStyle w:val="null3"/>
            </w:pPr>
            <w:r>
              <w:rPr>
                <w:rFonts w:ascii="仿宋_GB2312" w:hAnsi="仿宋_GB2312" w:cs="仿宋_GB2312" w:eastAsia="仿宋_GB2312"/>
              </w:rPr>
              <w:t>服务时间</w:t>
            </w:r>
          </w:p>
        </w:tc>
        <w:tc>
          <w:tcPr>
            <w:tcW w:type="dxa" w:w="968"/>
          </w:tcPr>
          <w:p>
            <w:pPr>
              <w:pStyle w:val="null3"/>
            </w:pPr>
            <w:r>
              <w:rPr>
                <w:rFonts w:ascii="仿宋_GB2312" w:hAnsi="仿宋_GB2312" w:cs="仿宋_GB2312" w:eastAsia="仿宋_GB2312"/>
              </w:rPr>
              <w:t>服务标准</w:t>
            </w:r>
          </w:p>
        </w:tc>
        <w:tc>
          <w:tcPr>
            <w:tcW w:type="dxa" w:w="1008"/>
          </w:tcPr>
          <w:p>
            <w:pPr>
              <w:pStyle w:val="null3"/>
            </w:pPr>
            <w:r>
              <w:rPr>
                <w:rFonts w:ascii="仿宋_GB2312" w:hAnsi="仿宋_GB2312" w:cs="仿宋_GB2312" w:eastAsia="仿宋_GB2312"/>
              </w:rPr>
              <w:t>金额(元)</w:t>
            </w:r>
          </w:p>
        </w:tc>
      </w:tr>
      <w:tr>
        <w:tc>
          <w:tcPr>
            <w:tcW w:type="dxa" w:w="1008"/>
          </w:tcPr>
          <w:p>
            <w:pPr>
              <w:pStyle w:val="null3"/>
            </w:pPr>
            <w:r>
              <w:rPr>
                <w:rFonts w:ascii="仿宋_GB2312" w:hAnsi="仿宋_GB2312" w:cs="仿宋_GB2312" w:eastAsia="仿宋_GB2312"/>
              </w:rPr>
              <w:t>1</w:t>
            </w:r>
          </w:p>
        </w:tc>
        <w:tc>
          <w:tcPr>
            <w:tcW w:type="dxa" w:w="968"/>
          </w:tcPr>
          <w:p>
            <w:pPr>
              <w:pStyle w:val="null3"/>
            </w:pPr>
            <w:r>
              <w:rPr>
                <w:rFonts w:ascii="仿宋_GB2312" w:hAnsi="仿宋_GB2312" w:cs="仿宋_GB2312" w:eastAsia="仿宋_GB2312"/>
              </w:rPr>
              <w:t>软件运维服务</w:t>
            </w:r>
          </w:p>
        </w:tc>
        <w:tc>
          <w:tcPr>
            <w:tcW w:type="dxa" w:w="968"/>
          </w:tcPr>
          <w:p>
            <w:pPr>
              <w:pStyle w:val="null3"/>
            </w:pPr>
            <w:r>
              <w:rPr>
                <w:rFonts w:ascii="仿宋_GB2312" w:hAnsi="仿宋_GB2312" w:cs="仿宋_GB2312" w:eastAsia="仿宋_GB2312"/>
              </w:rPr>
              <w:t>软件运维服务</w:t>
            </w:r>
          </w:p>
        </w:tc>
        <w:tc>
          <w:tcPr>
            <w:tcW w:type="dxa" w:w="1452"/>
          </w:tcPr>
          <w:p>
            <w:pPr>
              <w:pStyle w:val="null3"/>
            </w:pPr>
            <w:r>
              <w:rPr>
                <w:rFonts w:ascii="仿宋_GB2312" w:hAnsi="仿宋_GB2312" w:cs="仿宋_GB2312" w:eastAsia="仿宋_GB2312"/>
              </w:rPr>
              <w:t>提供陕西省预算管理一体化预算编制等模块的专业技术运维支持服务，及时发现问题、预防风险、解决问题，保障系统的正常运行。主要功能：按需提供系统升级、更新、系统巡检，数据处理等服务；提供系统相关的技术指导培训。</w:t>
            </w:r>
          </w:p>
        </w:tc>
        <w:tc>
          <w:tcPr>
            <w:tcW w:type="dxa" w:w="968"/>
          </w:tcPr>
          <w:p>
            <w:pPr>
              <w:pStyle w:val="null3"/>
            </w:pPr>
            <w:r>
              <w:rPr>
                <w:rFonts w:ascii="仿宋_GB2312" w:hAnsi="仿宋_GB2312" w:cs="仿宋_GB2312" w:eastAsia="仿宋_GB2312"/>
              </w:rPr>
              <w:t>1、提供1人驻场服务（运维人员岗位职责应具备1名运维工作人员需计算机相关专业且专科及以上学历，1 年（及）以上相关项目运维工作经验。有较强的工作责任心和团队精神；具有较丰富的网络、网络安全、服务器、备份存储、监控安防、桌面系统运行维护工作经验；负责各信息化全面运维管理工作。） 2、处理预算一体化系统用户问题并提供系统升级服务； 3、提供系统调优服务； 4、根据需要提供为预算单位提供上门服务； 5、满足与系统运维有关的其他需求； 6、运维本级其它财政应用。需满足的要求:供应商应具备维护陕西财政云预算 一体化系统的能力；问题解决率99%以上；用户满意度95%以上；无系统数据安全事故；提供7*24小时技术支持、现场响应、工作群响应等多种服务方式；系统故障修复时间小于24小时。</w:t>
            </w:r>
          </w:p>
        </w:tc>
        <w:tc>
          <w:tcPr>
            <w:tcW w:type="dxa" w:w="968"/>
          </w:tcPr>
          <w:p>
            <w:pPr>
              <w:pStyle w:val="null3"/>
            </w:pPr>
            <w:r>
              <w:rPr>
                <w:rFonts w:ascii="仿宋_GB2312" w:hAnsi="仿宋_GB2312" w:cs="仿宋_GB2312" w:eastAsia="仿宋_GB2312"/>
              </w:rPr>
              <w:t>3年，合同一年一签（根据当年服务质量，若不达标有权终止合同）</w:t>
            </w:r>
          </w:p>
        </w:tc>
        <w:tc>
          <w:tcPr>
            <w:tcW w:type="dxa" w:w="968"/>
          </w:tcPr>
          <w:p>
            <w:pPr>
              <w:pStyle w:val="null3"/>
            </w:pPr>
            <w:r>
              <w:rPr>
                <w:rFonts w:ascii="仿宋_GB2312" w:hAnsi="仿宋_GB2312" w:cs="仿宋_GB2312" w:eastAsia="仿宋_GB2312"/>
              </w:rPr>
              <w:t>符合国家相关标准，并达到合格标准</w:t>
            </w:r>
          </w:p>
        </w:tc>
        <w:tc>
          <w:tcPr>
            <w:tcW w:type="dxa" w:w="1008"/>
          </w:tcPr>
          <w:p>
            <w:pPr>
              <w:pStyle w:val="null3"/>
            </w:pPr>
            <w:r>
              <w:rPr>
                <w:rFonts w:ascii="仿宋_GB2312" w:hAnsi="仿宋_GB2312" w:cs="仿宋_GB2312" w:eastAsia="仿宋_GB2312"/>
              </w:rPr>
              <w:t>758,100.00</w:t>
            </w:r>
          </w:p>
        </w:tc>
      </w:tr>
    </w:tbl>
    <w:p>
      <w:pPr>
        <w:pStyle w:val="null3"/>
        <w:outlineLvl w:val="3"/>
      </w:pPr>
      <w:r>
        <w:rPr>
          <w:rFonts w:ascii="仿宋_GB2312" w:hAnsi="仿宋_GB2312" w:cs="仿宋_GB2312" w:eastAsia="仿宋_GB2312"/>
          <w:sz w:val="24"/>
          <w:b/>
        </w:rPr>
        <w:t>五、评审专家（单一来源采购人员）名单：</w:t>
      </w:r>
    </w:p>
    <w:p>
      <w:pPr>
        <w:pStyle w:val="null3"/>
      </w:pPr>
      <w:r>
        <w:rPr>
          <w:rFonts w:ascii="仿宋_GB2312" w:hAnsi="仿宋_GB2312" w:cs="仿宋_GB2312" w:eastAsia="仿宋_GB2312"/>
        </w:rPr>
        <w:t>李阳博（采购人代表）</w:t>
      </w:r>
      <w:r>
        <w:rPr>
          <w:rFonts w:ascii="仿宋_GB2312" w:hAnsi="仿宋_GB2312" w:cs="仿宋_GB2312" w:eastAsia="仿宋_GB2312"/>
        </w:rPr>
        <w:t>、</w:t>
      </w:r>
      <w:r>
        <w:rPr>
          <w:rFonts w:ascii="仿宋_GB2312" w:hAnsi="仿宋_GB2312" w:cs="仿宋_GB2312" w:eastAsia="仿宋_GB2312"/>
        </w:rPr>
        <w:t>党庆</w:t>
      </w:r>
      <w:r>
        <w:rPr>
          <w:rFonts w:ascii="仿宋_GB2312" w:hAnsi="仿宋_GB2312" w:cs="仿宋_GB2312" w:eastAsia="仿宋_GB2312"/>
        </w:rPr>
        <w:t>、</w:t>
      </w:r>
      <w:r>
        <w:rPr>
          <w:rFonts w:ascii="仿宋_GB2312" w:hAnsi="仿宋_GB2312" w:cs="仿宋_GB2312" w:eastAsia="仿宋_GB2312"/>
        </w:rPr>
        <w:t>李岩</w:t>
      </w:r>
    </w:p>
    <w:p>
      <w:pPr>
        <w:pStyle w:val="null3"/>
        <w:outlineLvl w:val="3"/>
      </w:pPr>
      <w:r>
        <w:rPr>
          <w:rFonts w:ascii="仿宋_GB2312" w:hAnsi="仿宋_GB2312" w:cs="仿宋_GB2312" w:eastAsia="仿宋_GB2312"/>
          <w:sz w:val="24"/>
          <w:b/>
        </w:rPr>
        <w:t>六、代理服务收费标准及金额：</w:t>
      </w:r>
    </w:p>
    <w:tbl>
      <w:tblPr>
        <w:tblW w:w="0" w:type="auto"/>
        <w:tblBorders>
          <w:top w:val="single"/>
          <w:left w:val="single"/>
          <w:bottom w:val="single"/>
          <w:right w:val="single"/>
          <w:insideH w:val="single"/>
          <w:insideV w:val="single"/>
        </w:tblBorders>
      </w:tblPr>
      <w:tblGrid>
        <w:gridCol w:w="1246"/>
        <w:gridCol w:w="2907"/>
        <w:gridCol w:w="2907"/>
        <w:gridCol w:w="1246"/>
      </w:tblGrid>
      <w:tr>
        <w:tc>
          <w:tcPr>
            <w:tcW w:type="dxa" w:w="4153"/>
            <w:gridSpan w:val="2"/>
          </w:tcPr>
          <w:p>
            <w:pPr>
              <w:pStyle w:val="null3"/>
            </w:pPr>
            <w:r>
              <w:rPr>
                <w:rFonts w:ascii="仿宋_GB2312" w:hAnsi="仿宋_GB2312" w:cs="仿宋_GB2312" w:eastAsia="仿宋_GB2312"/>
              </w:rPr>
              <w:t>代理服务收费标准及金额</w:t>
            </w:r>
          </w:p>
        </w:tc>
        <w:tc>
          <w:tcPr>
            <w:tcW w:type="dxa" w:w="4153"/>
            <w:gridSpan w:val="2"/>
          </w:tcPr>
          <w:p>
            <w:pPr>
              <w:pStyle w:val="null3"/>
            </w:pPr>
            <w:r>
              <w:rPr>
                <w:rFonts w:ascii="仿宋_GB2312" w:hAnsi="仿宋_GB2312" w:cs="仿宋_GB2312" w:eastAsia="仿宋_GB2312"/>
              </w:rPr>
              <w:t>招标代理服务费依据《国家计委关于印发招标代理服务收费管理暂行办法的通知》（计价格【2002】1980号）和国家发改委办公厅颁发的《关于招标代理服务收费有关问题的通知》（发改办价格【2003】857号）文件标准下浮10%计取。</w:t>
            </w:r>
          </w:p>
        </w:tc>
      </w:tr>
      <w:tr>
        <w:tc>
          <w:tcPr>
            <w:tcW w:type="dxa" w:w="1246"/>
          </w:tcPr>
          <w:p>
            <w:pPr>
              <w:pStyle w:val="null3"/>
            </w:pPr>
            <w:r>
              <w:rPr>
                <w:rFonts w:ascii="仿宋_GB2312" w:hAnsi="仿宋_GB2312" w:cs="仿宋_GB2312" w:eastAsia="仿宋_GB2312"/>
              </w:rPr>
              <w:t>合同包号</w:t>
            </w:r>
          </w:p>
        </w:tc>
        <w:tc>
          <w:tcPr>
            <w:tcW w:type="dxa" w:w="2907"/>
          </w:tcPr>
          <w:p>
            <w:pPr>
              <w:pStyle w:val="null3"/>
            </w:pPr>
            <w:r>
              <w:rPr>
                <w:rFonts w:ascii="仿宋_GB2312" w:hAnsi="仿宋_GB2312" w:cs="仿宋_GB2312" w:eastAsia="仿宋_GB2312"/>
              </w:rPr>
              <w:t>合同包名称</w:t>
            </w:r>
          </w:p>
        </w:tc>
        <w:tc>
          <w:tcPr>
            <w:tcW w:type="dxa" w:w="2907"/>
          </w:tcPr>
          <w:p>
            <w:pPr>
              <w:pStyle w:val="null3"/>
            </w:pPr>
            <w:r>
              <w:rPr>
                <w:rFonts w:ascii="仿宋_GB2312" w:hAnsi="仿宋_GB2312" w:cs="仿宋_GB2312" w:eastAsia="仿宋_GB2312"/>
              </w:rPr>
              <w:t>代理服务费金额（万元）</w:t>
            </w:r>
          </w:p>
        </w:tc>
        <w:tc>
          <w:tcPr>
            <w:tcW w:type="dxa" w:w="1246"/>
          </w:tcPr>
          <w:p>
            <w:pPr>
              <w:pStyle w:val="null3"/>
            </w:pPr>
            <w:r>
              <w:rPr>
                <w:rFonts w:ascii="仿宋_GB2312" w:hAnsi="仿宋_GB2312" w:cs="仿宋_GB2312" w:eastAsia="仿宋_GB2312"/>
              </w:rPr>
              <w:t>收取对象</w:t>
            </w:r>
          </w:p>
        </w:tc>
      </w:tr>
      <w:tr>
        <w:tc>
          <w:tcPr>
            <w:tcW w:type="dxa" w:w="1246"/>
          </w:tcPr>
          <w:p>
            <w:pPr>
              <w:pStyle w:val="null3"/>
            </w:pPr>
            <w:r>
              <w:rPr>
                <w:rFonts w:ascii="仿宋_GB2312" w:hAnsi="仿宋_GB2312" w:cs="仿宋_GB2312" w:eastAsia="仿宋_GB2312"/>
              </w:rPr>
              <w:t>1</w:t>
            </w:r>
          </w:p>
        </w:tc>
        <w:tc>
          <w:tcPr>
            <w:tcW w:type="dxa" w:w="2907"/>
          </w:tcPr>
          <w:p>
            <w:pPr>
              <w:pStyle w:val="null3"/>
            </w:pPr>
            <w:r>
              <w:rPr>
                <w:rFonts w:ascii="仿宋_GB2312" w:hAnsi="仿宋_GB2312" w:cs="仿宋_GB2312" w:eastAsia="仿宋_GB2312"/>
              </w:rPr>
              <w:t>预算管理一体化核心应用系统运维服务</w:t>
            </w:r>
          </w:p>
        </w:tc>
        <w:tc>
          <w:tcPr>
            <w:tcW w:type="dxa" w:w="2907"/>
          </w:tcPr>
          <w:p>
            <w:pPr>
              <w:pStyle w:val="null3"/>
            </w:pPr>
            <w:r>
              <w:rPr>
                <w:rFonts w:ascii="仿宋_GB2312" w:hAnsi="仿宋_GB2312" w:cs="仿宋_GB2312" w:eastAsia="仿宋_GB2312"/>
              </w:rPr>
              <w:t>1.0234</w:t>
            </w:r>
          </w:p>
        </w:tc>
        <w:tc>
          <w:tcPr>
            <w:tcW w:type="dxa" w:w="1246"/>
          </w:tcPr>
          <w:p>
            <w:pPr>
              <w:pStyle w:val="null3"/>
            </w:pPr>
            <w:r>
              <w:rPr>
                <w:rFonts w:ascii="仿宋_GB2312" w:hAnsi="仿宋_GB2312" w:cs="仿宋_GB2312" w:eastAsia="仿宋_GB2312"/>
              </w:rPr>
              <w:t>成交供应商</w:t>
            </w:r>
          </w:p>
        </w:tc>
      </w:tr>
    </w:tbl>
    <w:p>
      <w:pPr>
        <w:pStyle w:val="null3"/>
        <w:outlineLvl w:val="3"/>
      </w:pPr>
      <w:r>
        <w:rPr>
          <w:rFonts w:ascii="仿宋_GB2312" w:hAnsi="仿宋_GB2312" w:cs="仿宋_GB2312" w:eastAsia="仿宋_GB2312"/>
          <w:sz w:val="24"/>
          <w:b/>
        </w:rPr>
        <w:t>七、公告期限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1</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八、其他补充事宜</w:t>
      </w:r>
    </w:p>
    <w:p>
      <w:pPr>
        <w:pStyle w:val="null3"/>
      </w:pPr>
      <w:r>
        <w:rPr>
          <w:rFonts w:ascii="仿宋_GB2312" w:hAnsi="仿宋_GB2312" w:cs="仿宋_GB2312" w:eastAsia="仿宋_GB2312"/>
        </w:rPr>
        <w:t>/</w:t>
      </w:r>
    </w:p>
    <w:p>
      <w:pPr>
        <w:pStyle w:val="null3"/>
        <w:outlineLvl w:val="3"/>
      </w:pPr>
      <w:r>
        <w:rPr>
          <w:rFonts w:ascii="仿宋_GB2312" w:hAnsi="仿宋_GB2312" w:cs="仿宋_GB2312" w:eastAsia="仿宋_GB2312"/>
          <w:sz w:val="24"/>
          <w:b/>
        </w:rPr>
        <w:t>九、凡对本次公告内容提出询问，请按以下方式联系。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千阳县财政局（本级）</w:t>
      </w:r>
    </w:p>
    <w:p>
      <w:pPr>
        <w:pStyle w:val="null3"/>
      </w:pPr>
      <w:r>
        <w:rPr>
          <w:rFonts w:ascii="仿宋_GB2312" w:hAnsi="仿宋_GB2312" w:cs="仿宋_GB2312" w:eastAsia="仿宋_GB2312"/>
        </w:rPr>
        <w:t>地址：</w:t>
      </w:r>
      <w:r>
        <w:rPr>
          <w:rFonts w:ascii="仿宋_GB2312" w:hAnsi="仿宋_GB2312" w:cs="仿宋_GB2312" w:eastAsia="仿宋_GB2312"/>
        </w:rPr>
        <w:t>千阳县东大街</w:t>
      </w:r>
    </w:p>
    <w:p>
      <w:pPr>
        <w:pStyle w:val="null3"/>
      </w:pPr>
      <w:r>
        <w:rPr>
          <w:rFonts w:ascii="仿宋_GB2312" w:hAnsi="仿宋_GB2312" w:cs="仿宋_GB2312" w:eastAsia="仿宋_GB2312"/>
        </w:rPr>
        <w:t>联系方式：</w:t>
      </w:r>
      <w:r>
        <w:rPr>
          <w:rFonts w:ascii="仿宋_GB2312" w:hAnsi="仿宋_GB2312" w:cs="仿宋_GB2312" w:eastAsia="仿宋_GB2312"/>
        </w:rPr>
        <w:t>0917-4241086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