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版本号：陕融招字-2026-0406号20260430001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面向6G的光通信系统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陕融招字-2026-0406号</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陕西思迈融工程建设项目管理有限公司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陕西思迈融工程建设项目管理有限公司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面向6G的光通信系统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陕融招字-2026-0406号</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面向6G的光通信系统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面向6G的光通信系统采购项目，面向6G的光通信系统平台由发射端（激光器、空间光调制器、电光调制器）及接收端（光束分析仪、偏振分析仪、光学测量仪、光电探测器、频谱分析仪）等组成，旨在突破传统通信技术的物理极限，构建超高速率、超低时延、超大容量、高能效比的全新通信架构。其功能包括超高速率传输、超低时延通信、高可靠性、绿色节能运作、多维感知通信融合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采购包1（面向6G的光通信系统）：属于专门面向中小企业采购。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1、投标主体资格证明：供应商为具有独立承担民事责任能力的法人、其他组织或自然人，提供合法有效的统一社会信用代码营业执照（事业单位提供事业单位法人证书，自然人应提供身份证）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报告：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4、社会保障资金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5、承诺书：提供具有履行本合同所必需的设备和专业技术能力的承诺</w:t>
      </w:r>
    </w:p>
    <w:p>
      <w:pPr>
        <w:pStyle w:val="null3"/>
      </w:pPr>
      <w:r>
        <w:rPr>
          <w:rFonts w:ascii="仿宋_GB2312" w:hAnsi="仿宋_GB2312" w:cs="仿宋_GB2312" w:eastAsia="仿宋_GB2312"/>
        </w:rPr>
        <w:t>6、书面声明：参加政府采购活动前3年内，在经营活动中没有重大违法记录的书面声明</w:t>
      </w:r>
    </w:p>
    <w:p>
      <w:pPr>
        <w:pStyle w:val="null3"/>
      </w:pPr>
      <w:r>
        <w:rPr>
          <w:rFonts w:ascii="仿宋_GB2312" w:hAnsi="仿宋_GB2312" w:cs="仿宋_GB2312" w:eastAsia="仿宋_GB2312"/>
        </w:rPr>
        <w:t>7、法定代表人身份证明书或法定代表人授权委托书：提供法定代表人/负责人授权书（附法定代表人/负责人、被授权人身份证复印件及被授权人近半年任意一个月社保缴纳证明或劳动合同。）（法定代表人/负责人直接参加投标，须提供法定代表人/负责人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陕西思迈融工程建设项目管理有限公司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陕西省西安市雁塔区南二环东段凯森盛世1号B座2606室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高雪娇、贾轩博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15002974213、029-82295130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开户名称：陕西思迈融工程建设项目管理有限公司</w:t>
            </w:r>
          </w:p>
          <w:p>
            <w:pPr>
              <w:pStyle w:val="null3"/>
            </w:pPr>
            <w:r>
              <w:rPr>
                <w:rFonts w:ascii="仿宋_GB2312" w:hAnsi="仿宋_GB2312" w:cs="仿宋_GB2312" w:eastAsia="仿宋_GB2312"/>
              </w:rPr>
              <w:t>开户银行：招商银行股份有限公司西安西影路支行</w:t>
            </w:r>
          </w:p>
          <w:p>
            <w:pPr>
              <w:pStyle w:val="null3"/>
            </w:pPr>
            <w:r>
              <w:rPr>
                <w:rFonts w:ascii="仿宋_GB2312" w:hAnsi="仿宋_GB2312" w:cs="仿宋_GB2312" w:eastAsia="仿宋_GB2312"/>
              </w:rPr>
              <w:t>银行账号：1299 0860 5410 801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项目服务期结束后无违约情形，缴纳的履约保证金无息退还。交纳形式为银行转账等非现金形式，供应商以银行、保险公司出具保函形式提交履约保证金的，采购单位不得拒收。（备注：项目编号+采购包号+项目名称） 2、收款账户 收款单位：西安理工大学 开户银行：中国银行西安金花南路支行 银行账号：102891574567</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代理服务费收费标准：代理项目金额80万元以下收取定额3000元；代理项目金额80万以上-400万以下，按照《招标代理服务收费管理暂行办法》（计价格[2002]1980 号）及（发改办价格[2011]534号）规定的计费标准*55%计取。中标单位在领取中标通知书前，须向采购代理机构一次性支付招标代理服务费；代理服务费以转账、电汇或现金等形式交纳。 缴纳账号： 开户名称：陕西思迈融工程建设项目管理有限公司 开户银行：招商银行股份有限公司西安西影路支行 银行账号：1299 0860 5410 801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陕西思迈融工程建设项目管理有限公司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陕西思迈融工程建设项目管理有限公司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陕西思迈融工程建设项目管理有限公司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符合招标文件及采购人要求，符合合同约定。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陕西思迈融工程建设项目管理有限公司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联系人：高雪娇、贾轩博</w:t>
      </w:r>
    </w:p>
    <w:p>
      <w:pPr>
        <w:pStyle w:val="null3"/>
      </w:pPr>
      <w:r>
        <w:rPr>
          <w:rFonts w:ascii="仿宋_GB2312" w:hAnsi="仿宋_GB2312" w:cs="仿宋_GB2312" w:eastAsia="仿宋_GB2312"/>
        </w:rPr>
        <w:t>联系电话：029-82295130</w:t>
      </w:r>
    </w:p>
    <w:p>
      <w:pPr>
        <w:pStyle w:val="null3"/>
      </w:pPr>
      <w:r>
        <w:rPr>
          <w:rFonts w:ascii="仿宋_GB2312" w:hAnsi="仿宋_GB2312" w:cs="仿宋_GB2312" w:eastAsia="仿宋_GB2312"/>
        </w:rPr>
        <w:t>地址：陕西省西安市雁塔区南二环东段凯森盛世1号B座2606室</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面向6G的光通信系统采购项目，面向6G的光通信系统平台由发射端（激光器、空间光调制器、电光调制器）及接收端（光束分析仪、偏振分析仪、光学测量仪、光电探测器、频谱分析仪）等组成，旨在突破传统通信技术的物理极限，构建超高速率、超低时延、超大容量、高能效比的全新通信架构。其功能包括超高速率传输、超低时延通信、高可靠性、绿色节能运作、多维感知通信融合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1,150,000.00</w:t>
      </w:r>
    </w:p>
    <w:p>
      <w:pPr>
        <w:pStyle w:val="null3"/>
      </w:pPr>
      <w:r>
        <w:rPr>
          <w:rFonts w:ascii="仿宋_GB2312" w:hAnsi="仿宋_GB2312" w:cs="仿宋_GB2312" w:eastAsia="仿宋_GB2312"/>
        </w:rPr>
        <w:t>采购包最高限价（元）: 1,150,000.00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面向6G的光通信系统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1,150,000.00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标的名称：面向6G的光通信系统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采购清单及产品数量</w:t>
            </w:r>
          </w:p>
          <w:tbl>
            <w:tblPr>
              <w:tblBorders>
                <w:top w:val="none" w:color="000000" w:sz="4"/>
                <w:left w:val="none" w:color="000000" w:sz="4"/>
                <w:bottom w:val="none" w:color="000000" w:sz="4"/>
                <w:right w:val="none" w:color="000000" w:sz="4"/>
                <w:insideH w:val="none"/>
                <w:insideV w:val="none"/>
              </w:tblBorders>
            </w:tblPr>
            <w:tblGrid>
              <w:gridCol w:w="233"/>
              <w:gridCol w:w="455"/>
              <w:gridCol w:w="947"/>
              <w:gridCol w:w="918"/>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9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9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r>
            <w:tr>
              <w:tc>
                <w:tcPr>
                  <w:tcW w:type="dxa" w:w="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发射端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激光器</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空间光调制器</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电光调制器</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45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接收端</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光束分析仪</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偏振分析仪</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光学测量仪</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光电探测器</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频谱分析仪</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1台</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防水机箱</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33"/>
                  <w:vMerge/>
                  <w:tcBorders>
                    <w:top w:val="none" w:color="000000" w:sz="4"/>
                    <w:left w:val="single" w:color="000000" w:sz="4"/>
                    <w:bottom w:val="single" w:color="000000" w:sz="4"/>
                    <w:right w:val="single" w:color="000000" w:sz="4"/>
                  </w:tcBorders>
                </w:tcPr>
                <w:p/>
              </w:tc>
              <w:tc>
                <w:tcPr>
                  <w:tcW w:type="dxa" w:w="455"/>
                  <w:vMerge/>
                  <w:tcBorders>
                    <w:top w:val="none" w:color="000000" w:sz="4"/>
                    <w:left w:val="single" w:color="000000" w:sz="4"/>
                    <w:bottom w:val="single" w:color="000000" w:sz="4"/>
                    <w:right w:val="single" w:color="000000" w:sz="4"/>
                  </w:tcBorders>
                </w:tcP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数字光功率和能量计</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其他附件</w:t>
                  </w:r>
                </w:p>
              </w:tc>
              <w:tc>
                <w:tcPr>
                  <w:tcW w:type="dxa" w:w="9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光学元器件</w:t>
                  </w:r>
                </w:p>
              </w:tc>
              <w:tc>
                <w:tcPr>
                  <w:tcW w:type="dxa" w:w="9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1批</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2"/>
              </w:rPr>
              <w:t>（一）发射端：</w:t>
            </w:r>
          </w:p>
          <w:p>
            <w:pPr>
              <w:pStyle w:val="null3"/>
              <w:jc w:val="left"/>
            </w:pPr>
            <w:r>
              <w:rPr>
                <w:rFonts w:ascii="仿宋_GB2312" w:hAnsi="仿宋_GB2312" w:cs="仿宋_GB2312" w:eastAsia="仿宋_GB2312"/>
                <w:sz w:val="22"/>
              </w:rPr>
              <w:t>1、激光器</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（1）发射波长：蓝绿/红外波段（</w:t>
            </w:r>
            <w:r>
              <w:rPr>
                <w:rFonts w:ascii="仿宋_GB2312" w:hAnsi="仿宋_GB2312" w:cs="仿宋_GB2312" w:eastAsia="仿宋_GB2312"/>
                <w:sz w:val="22"/>
              </w:rPr>
              <w:t>优先选用</w:t>
            </w:r>
            <w:r>
              <w:rPr>
                <w:rFonts w:ascii="仿宋_GB2312" w:hAnsi="仿宋_GB2312" w:cs="仿宋_GB2312" w:eastAsia="仿宋_GB2312"/>
                <w:sz w:val="22"/>
              </w:rPr>
              <w:t>蓝绿波段450-550nm，红外波段兼容备选）；</w:t>
            </w:r>
          </w:p>
          <w:p>
            <w:pPr>
              <w:pStyle w:val="null3"/>
              <w:jc w:val="both"/>
            </w:pPr>
            <w:r>
              <w:rPr>
                <w:rFonts w:ascii="仿宋_GB2312" w:hAnsi="仿宋_GB2312" w:cs="仿宋_GB2312" w:eastAsia="仿宋_GB2312"/>
                <w:sz w:val="22"/>
              </w:rPr>
              <w:t>（2）波长浮动范围：≤±2nm；</w:t>
            </w:r>
          </w:p>
          <w:p>
            <w:pPr>
              <w:pStyle w:val="null3"/>
              <w:jc w:val="both"/>
            </w:pPr>
            <w:r>
              <w:rPr>
                <w:rFonts w:ascii="仿宋_GB2312" w:hAnsi="仿宋_GB2312" w:cs="仿宋_GB2312" w:eastAsia="仿宋_GB2312"/>
                <w:sz w:val="22"/>
              </w:rPr>
              <w:t>（3）光束质量（M²）：＜1.2；</w:t>
            </w:r>
          </w:p>
          <w:p>
            <w:pPr>
              <w:pStyle w:val="null3"/>
              <w:jc w:val="both"/>
            </w:pPr>
            <w:r>
              <w:rPr>
                <w:rFonts w:ascii="仿宋_GB2312" w:hAnsi="仿宋_GB2312" w:cs="仿宋_GB2312" w:eastAsia="仿宋_GB2312"/>
                <w:sz w:val="22"/>
              </w:rPr>
              <w:t>（4）线宽：≤2nm；</w:t>
            </w:r>
          </w:p>
          <w:p>
            <w:pPr>
              <w:pStyle w:val="null3"/>
              <w:jc w:val="both"/>
            </w:pPr>
            <w:r>
              <w:rPr>
                <w:rFonts w:ascii="仿宋_GB2312" w:hAnsi="仿宋_GB2312" w:cs="仿宋_GB2312" w:eastAsia="仿宋_GB2312"/>
                <w:sz w:val="22"/>
              </w:rPr>
              <w:t>（5）光斑模式：TEMoo基模；</w:t>
            </w:r>
          </w:p>
          <w:p>
            <w:pPr>
              <w:pStyle w:val="null3"/>
              <w:jc w:val="both"/>
            </w:pPr>
            <w:r>
              <w:rPr>
                <w:rFonts w:ascii="仿宋_GB2312" w:hAnsi="仿宋_GB2312" w:cs="仿宋_GB2312" w:eastAsia="仿宋_GB2312"/>
                <w:sz w:val="22"/>
              </w:rPr>
              <w:t>▲（6）输出功率（连续波）：≥10W;连续动态功率调节。</w:t>
            </w:r>
          </w:p>
          <w:p>
            <w:pPr>
              <w:pStyle w:val="null3"/>
              <w:jc w:val="both"/>
            </w:pPr>
            <w:r>
              <w:rPr>
                <w:rFonts w:ascii="仿宋_GB2312" w:hAnsi="仿宋_GB2312" w:cs="仿宋_GB2312" w:eastAsia="仿宋_GB2312"/>
                <w:sz w:val="22"/>
              </w:rPr>
              <w:t>（7）调制速率：≥30KHz；</w:t>
            </w:r>
          </w:p>
          <w:p>
            <w:pPr>
              <w:pStyle w:val="null3"/>
              <w:jc w:val="left"/>
            </w:pPr>
            <w:r>
              <w:rPr>
                <w:rFonts w:ascii="仿宋_GB2312" w:hAnsi="仿宋_GB2312" w:cs="仿宋_GB2312" w:eastAsia="仿宋_GB2312"/>
                <w:sz w:val="22"/>
              </w:rPr>
              <w:t>2、空间光调制器：</w:t>
            </w:r>
          </w:p>
          <w:p>
            <w:pPr>
              <w:pStyle w:val="null3"/>
              <w:jc w:val="left"/>
            </w:pPr>
            <w:r>
              <w:rPr>
                <w:rFonts w:ascii="仿宋_GB2312" w:hAnsi="仿宋_GB2312" w:cs="仿宋_GB2312" w:eastAsia="仿宋_GB2312"/>
                <w:sz w:val="22"/>
              </w:rPr>
              <w:t>（1）灰度：≥256阶；</w:t>
            </w:r>
          </w:p>
          <w:p>
            <w:pPr>
              <w:pStyle w:val="null3"/>
              <w:jc w:val="left"/>
            </w:pPr>
            <w:r>
              <w:rPr>
                <w:rFonts w:ascii="仿宋_GB2312" w:hAnsi="仿宋_GB2312" w:cs="仿宋_GB2312" w:eastAsia="仿宋_GB2312"/>
                <w:sz w:val="22"/>
              </w:rPr>
              <w:t>（2）波长范围：蓝绿波段/红外波段（420-1100nm）；</w:t>
            </w:r>
          </w:p>
          <w:p>
            <w:pPr>
              <w:pStyle w:val="null3"/>
              <w:jc w:val="left"/>
            </w:pPr>
            <w:r>
              <w:rPr>
                <w:rFonts w:ascii="仿宋_GB2312" w:hAnsi="仿宋_GB2312" w:cs="仿宋_GB2312" w:eastAsia="仿宋_GB2312"/>
                <w:sz w:val="22"/>
              </w:rPr>
              <w:t>（3）调制类型：反射式纯相位调制；</w:t>
            </w:r>
          </w:p>
          <w:p>
            <w:pPr>
              <w:pStyle w:val="null3"/>
              <w:jc w:val="left"/>
            </w:pPr>
            <w:r>
              <w:rPr>
                <w:rFonts w:ascii="仿宋_GB2312" w:hAnsi="仿宋_GB2312" w:cs="仿宋_GB2312" w:eastAsia="仿宋_GB2312"/>
                <w:sz w:val="22"/>
              </w:rPr>
              <w:t>（4）分辨率：≥1920×1200；</w:t>
            </w:r>
          </w:p>
          <w:p>
            <w:pPr>
              <w:pStyle w:val="null3"/>
              <w:jc w:val="left"/>
            </w:pPr>
            <w:r>
              <w:rPr>
                <w:rFonts w:ascii="仿宋_GB2312" w:hAnsi="仿宋_GB2312" w:cs="仿宋_GB2312" w:eastAsia="仿宋_GB2312"/>
                <w:sz w:val="22"/>
              </w:rPr>
              <w:t>（5）像素大小：≤8μm；</w:t>
            </w:r>
          </w:p>
          <w:p>
            <w:pPr>
              <w:pStyle w:val="null3"/>
              <w:jc w:val="left"/>
            </w:pPr>
            <w:r>
              <w:rPr>
                <w:rFonts w:ascii="仿宋_GB2312" w:hAnsi="仿宋_GB2312" w:cs="仿宋_GB2312" w:eastAsia="仿宋_GB2312"/>
                <w:sz w:val="22"/>
              </w:rPr>
              <w:t>（6）有效区域：≥14mm×8mm；</w:t>
            </w:r>
          </w:p>
          <w:p>
            <w:pPr>
              <w:pStyle w:val="null3"/>
              <w:jc w:val="left"/>
            </w:pPr>
            <w:r>
              <w:rPr>
                <w:rFonts w:ascii="仿宋_GB2312" w:hAnsi="仿宋_GB2312" w:cs="仿宋_GB2312" w:eastAsia="仿宋_GB2312"/>
                <w:sz w:val="22"/>
              </w:rPr>
              <w:t>（7）填充因子：≥95%；</w:t>
            </w:r>
          </w:p>
          <w:p>
            <w:pPr>
              <w:pStyle w:val="null3"/>
              <w:jc w:val="left"/>
            </w:pPr>
            <w:r>
              <w:rPr>
                <w:rFonts w:ascii="仿宋_GB2312" w:hAnsi="仿宋_GB2312" w:cs="仿宋_GB2312" w:eastAsia="仿宋_GB2312"/>
                <w:sz w:val="22"/>
              </w:rPr>
              <w:t>（8）刷新帧率：≥60Hz；</w:t>
            </w:r>
          </w:p>
          <w:p>
            <w:pPr>
              <w:pStyle w:val="null3"/>
              <w:jc w:val="left"/>
            </w:pPr>
            <w:r>
              <w:rPr>
                <w:rFonts w:ascii="仿宋_GB2312" w:hAnsi="仿宋_GB2312" w:cs="仿宋_GB2312" w:eastAsia="仿宋_GB2312"/>
                <w:sz w:val="22"/>
              </w:rPr>
              <w:t>（9）功率损伤阈值：≥4W/cm²；</w:t>
            </w:r>
          </w:p>
          <w:p>
            <w:pPr>
              <w:pStyle w:val="null3"/>
              <w:jc w:val="left"/>
            </w:pPr>
            <w:r>
              <w:rPr>
                <w:rFonts w:ascii="仿宋_GB2312" w:hAnsi="仿宋_GB2312" w:cs="仿宋_GB2312" w:eastAsia="仿宋_GB2312"/>
                <w:sz w:val="22"/>
              </w:rPr>
              <w:t>▲(10) 相位调制能力：≥5.8π@532nm,≥2π@1064nm；</w:t>
            </w:r>
          </w:p>
          <w:p>
            <w:pPr>
              <w:pStyle w:val="null3"/>
              <w:jc w:val="left"/>
            </w:pPr>
            <w:r>
              <w:rPr>
                <w:rFonts w:ascii="仿宋_GB2312" w:hAnsi="仿宋_GB2312" w:cs="仿宋_GB2312" w:eastAsia="仿宋_GB2312"/>
                <w:sz w:val="22"/>
              </w:rPr>
              <w:t>（11）数据位深：支持8bit或10bit；</w:t>
            </w:r>
          </w:p>
          <w:p>
            <w:pPr>
              <w:pStyle w:val="null3"/>
              <w:jc w:val="left"/>
            </w:pPr>
            <w:r>
              <w:rPr>
                <w:rFonts w:ascii="仿宋_GB2312" w:hAnsi="仿宋_GB2312" w:cs="仿宋_GB2312" w:eastAsia="仿宋_GB2312"/>
                <w:sz w:val="22"/>
              </w:rPr>
              <w:t>（12）相位稳定性：0.003π@24h；</w:t>
            </w:r>
          </w:p>
          <w:p>
            <w:pPr>
              <w:pStyle w:val="null3"/>
              <w:jc w:val="left"/>
            </w:pPr>
            <w:r>
              <w:rPr>
                <w:rFonts w:ascii="仿宋_GB2312" w:hAnsi="仿宋_GB2312" w:cs="仿宋_GB2312" w:eastAsia="仿宋_GB2312"/>
                <w:sz w:val="22"/>
              </w:rPr>
              <w:t>（13）反射面调节：支持±1°俯仰调节；</w:t>
            </w:r>
          </w:p>
          <w:p>
            <w:pPr>
              <w:pStyle w:val="null3"/>
              <w:jc w:val="left"/>
            </w:pPr>
            <w:r>
              <w:rPr>
                <w:rFonts w:ascii="仿宋_GB2312" w:hAnsi="仿宋_GB2312" w:cs="仿宋_GB2312" w:eastAsia="仿宋_GB2312"/>
                <w:sz w:val="22"/>
              </w:rPr>
              <w:t xml:space="preserve">（14）外观尺寸：≤110mm×72mm×24mm；        </w:t>
            </w:r>
          </w:p>
          <w:p>
            <w:pPr>
              <w:pStyle w:val="null3"/>
              <w:jc w:val="left"/>
            </w:pPr>
            <w:r>
              <w:rPr>
                <w:rFonts w:ascii="仿宋_GB2312" w:hAnsi="仿宋_GB2312" w:cs="仿宋_GB2312" w:eastAsia="仿宋_GB2312"/>
                <w:sz w:val="22"/>
              </w:rPr>
              <w:t>（15）线性度：≥99.5%</w:t>
            </w:r>
          </w:p>
          <w:p>
            <w:pPr>
              <w:pStyle w:val="null3"/>
              <w:jc w:val="left"/>
            </w:pPr>
            <w:r>
              <w:rPr>
                <w:rFonts w:ascii="仿宋_GB2312" w:hAnsi="仿宋_GB2312" w:cs="仿宋_GB2312" w:eastAsia="仿宋_GB2312"/>
                <w:sz w:val="22"/>
              </w:rPr>
              <w:t>3、电光调制器：</w:t>
            </w:r>
          </w:p>
          <w:p>
            <w:pPr>
              <w:pStyle w:val="null3"/>
              <w:jc w:val="left"/>
            </w:pPr>
            <w:r>
              <w:rPr>
                <w:rFonts w:ascii="仿宋_GB2312" w:hAnsi="仿宋_GB2312" w:cs="仿宋_GB2312" w:eastAsia="仿宋_GB2312"/>
                <w:sz w:val="22"/>
              </w:rPr>
              <w:t>（1）工作波长波动范围：≤±20nm（频谱宽度）；</w:t>
            </w:r>
          </w:p>
          <w:p>
            <w:pPr>
              <w:pStyle w:val="null3"/>
              <w:jc w:val="left"/>
            </w:pPr>
            <w:r>
              <w:rPr>
                <w:rFonts w:ascii="仿宋_GB2312" w:hAnsi="仿宋_GB2312" w:cs="仿宋_GB2312" w:eastAsia="仿宋_GB2312"/>
                <w:sz w:val="22"/>
              </w:rPr>
              <w:t>（2）插入损耗:≤7dB;</w:t>
            </w:r>
          </w:p>
          <w:p>
            <w:pPr>
              <w:pStyle w:val="null3"/>
              <w:jc w:val="left"/>
            </w:pPr>
            <w:r>
              <w:rPr>
                <w:rFonts w:ascii="仿宋_GB2312" w:hAnsi="仿宋_GB2312" w:cs="仿宋_GB2312" w:eastAsia="仿宋_GB2312"/>
                <w:sz w:val="22"/>
              </w:rPr>
              <w:t>（3）消光: ≥500:1;</w:t>
            </w:r>
          </w:p>
          <w:p>
            <w:pPr>
              <w:pStyle w:val="null3"/>
              <w:jc w:val="left"/>
            </w:pPr>
            <w:r>
              <w:rPr>
                <w:rFonts w:ascii="仿宋_GB2312" w:hAnsi="仿宋_GB2312" w:cs="仿宋_GB2312" w:eastAsia="仿宋_GB2312"/>
                <w:sz w:val="22"/>
              </w:rPr>
              <w:t>（4）最小光学上升时间:≤200ps;</w:t>
            </w:r>
          </w:p>
          <w:p>
            <w:pPr>
              <w:pStyle w:val="null3"/>
              <w:jc w:val="left"/>
            </w:pPr>
            <w:r>
              <w:rPr>
                <w:rFonts w:ascii="仿宋_GB2312" w:hAnsi="仿宋_GB2312" w:cs="仿宋_GB2312" w:eastAsia="仿宋_GB2312"/>
                <w:sz w:val="22"/>
              </w:rPr>
              <w:t>（5）最大光输入功率：≥20mw;</w:t>
            </w:r>
          </w:p>
          <w:p>
            <w:pPr>
              <w:pStyle w:val="null3"/>
              <w:jc w:val="left"/>
            </w:pPr>
            <w:r>
              <w:rPr>
                <w:rFonts w:ascii="仿宋_GB2312" w:hAnsi="仿宋_GB2312" w:cs="仿宋_GB2312" w:eastAsia="仿宋_GB2312"/>
                <w:sz w:val="22"/>
              </w:rPr>
              <w:t>（6）波长范围：蓝绿波段（450-550nm）；</w:t>
            </w:r>
          </w:p>
          <w:p>
            <w:pPr>
              <w:pStyle w:val="null3"/>
              <w:jc w:val="left"/>
            </w:pPr>
            <w:r>
              <w:rPr>
                <w:rFonts w:ascii="仿宋_GB2312" w:hAnsi="仿宋_GB2312" w:cs="仿宋_GB2312" w:eastAsia="仿宋_GB2312"/>
                <w:sz w:val="22"/>
              </w:rPr>
              <w:t>（7）接口方式：光纤耦合；</w:t>
            </w:r>
          </w:p>
          <w:p>
            <w:pPr>
              <w:pStyle w:val="null3"/>
              <w:jc w:val="left"/>
            </w:pPr>
            <w:r>
              <w:rPr>
                <w:rFonts w:ascii="仿宋_GB2312" w:hAnsi="仿宋_GB2312" w:cs="仿宋_GB2312" w:eastAsia="仿宋_GB2312"/>
                <w:sz w:val="22"/>
              </w:rPr>
              <w:t>▲（8）带宽：≥10Ghz</w:t>
            </w:r>
          </w:p>
          <w:p>
            <w:pPr>
              <w:pStyle w:val="null3"/>
              <w:jc w:val="left"/>
            </w:pPr>
            <w:r>
              <w:rPr>
                <w:rFonts w:ascii="仿宋_GB2312" w:hAnsi="仿宋_GB2312" w:cs="仿宋_GB2312" w:eastAsia="仿宋_GB2312"/>
                <w:sz w:val="22"/>
              </w:rPr>
              <w:t>（二）接收端</w:t>
            </w:r>
          </w:p>
          <w:p>
            <w:pPr>
              <w:pStyle w:val="null3"/>
              <w:jc w:val="left"/>
            </w:pPr>
            <w:r>
              <w:rPr>
                <w:rFonts w:ascii="仿宋_GB2312" w:hAnsi="仿宋_GB2312" w:cs="仿宋_GB2312" w:eastAsia="仿宋_GB2312"/>
                <w:sz w:val="22"/>
              </w:rPr>
              <w:t>1、光束分析仪:</w:t>
            </w:r>
          </w:p>
          <w:p>
            <w:pPr>
              <w:pStyle w:val="null3"/>
              <w:jc w:val="left"/>
            </w:pPr>
            <w:r>
              <w:rPr>
                <w:rFonts w:ascii="仿宋_GB2312" w:hAnsi="仿宋_GB2312" w:cs="仿宋_GB2312" w:eastAsia="仿宋_GB2312"/>
                <w:sz w:val="22"/>
              </w:rPr>
              <w:t>（1）波长响应范围:400-1100nm；</w:t>
            </w:r>
          </w:p>
          <w:p>
            <w:pPr>
              <w:pStyle w:val="null3"/>
              <w:jc w:val="left"/>
            </w:pPr>
            <w:r>
              <w:rPr>
                <w:rFonts w:ascii="仿宋_GB2312" w:hAnsi="仿宋_GB2312" w:cs="仿宋_GB2312" w:eastAsia="仿宋_GB2312"/>
                <w:sz w:val="22"/>
              </w:rPr>
              <w:t>（2）成像区域:＞7x7mm；</w:t>
            </w:r>
          </w:p>
          <w:p>
            <w:pPr>
              <w:pStyle w:val="null3"/>
              <w:jc w:val="left"/>
            </w:pPr>
            <w:r>
              <w:rPr>
                <w:rFonts w:ascii="仿宋_GB2312" w:hAnsi="仿宋_GB2312" w:cs="仿宋_GB2312" w:eastAsia="仿宋_GB2312"/>
                <w:sz w:val="22"/>
              </w:rPr>
              <w:t>（3）最小光斑(10像素):≤35μm；</w:t>
            </w:r>
          </w:p>
          <w:p>
            <w:pPr>
              <w:pStyle w:val="null3"/>
              <w:jc w:val="left"/>
            </w:pPr>
            <w:r>
              <w:rPr>
                <w:rFonts w:ascii="仿宋_GB2312" w:hAnsi="仿宋_GB2312" w:cs="仿宋_GB2312" w:eastAsia="仿宋_GB2312"/>
                <w:sz w:val="22"/>
              </w:rPr>
              <w:t>（4）快门类型:全局快门</w:t>
            </w:r>
          </w:p>
          <w:p>
            <w:pPr>
              <w:pStyle w:val="null3"/>
              <w:jc w:val="left"/>
            </w:pPr>
            <w:r>
              <w:rPr>
                <w:rFonts w:ascii="仿宋_GB2312" w:hAnsi="仿宋_GB2312" w:cs="仿宋_GB2312" w:eastAsia="仿宋_GB2312"/>
                <w:sz w:val="22"/>
              </w:rPr>
              <w:t>（5）像元尺寸：3.45μm；</w:t>
            </w:r>
          </w:p>
          <w:p>
            <w:pPr>
              <w:pStyle w:val="null3"/>
              <w:jc w:val="left"/>
            </w:pPr>
            <w:r>
              <w:rPr>
                <w:rFonts w:ascii="仿宋_GB2312" w:hAnsi="仿宋_GB2312" w:cs="仿宋_GB2312" w:eastAsia="仿宋_GB2312"/>
                <w:sz w:val="22"/>
              </w:rPr>
              <w:t>▲（6）分辨率：≥4000x3000；</w:t>
            </w:r>
          </w:p>
          <w:p>
            <w:pPr>
              <w:pStyle w:val="null3"/>
              <w:jc w:val="left"/>
            </w:pPr>
            <w:r>
              <w:rPr>
                <w:rFonts w:ascii="仿宋_GB2312" w:hAnsi="仿宋_GB2312" w:cs="仿宋_GB2312" w:eastAsia="仿宋_GB2312"/>
                <w:sz w:val="22"/>
              </w:rPr>
              <w:t>（7）传输帧率：≤25fps；</w:t>
            </w:r>
          </w:p>
          <w:p>
            <w:pPr>
              <w:pStyle w:val="null3"/>
              <w:jc w:val="left"/>
            </w:pPr>
            <w:r>
              <w:rPr>
                <w:rFonts w:ascii="仿宋_GB2312" w:hAnsi="仿宋_GB2312" w:cs="仿宋_GB2312" w:eastAsia="仿宋_GB2312"/>
                <w:sz w:val="22"/>
              </w:rPr>
              <w:t>（8）信噪比：＞38dB；</w:t>
            </w:r>
          </w:p>
          <w:p>
            <w:pPr>
              <w:pStyle w:val="null3"/>
              <w:jc w:val="left"/>
            </w:pPr>
            <w:r>
              <w:rPr>
                <w:rFonts w:ascii="仿宋_GB2312" w:hAnsi="仿宋_GB2312" w:cs="仿宋_GB2312" w:eastAsia="仿宋_GB2312"/>
                <w:sz w:val="22"/>
              </w:rPr>
              <w:t>（9）增益调节范围：≥1-32dB；</w:t>
            </w:r>
          </w:p>
          <w:p>
            <w:pPr>
              <w:pStyle w:val="null3"/>
              <w:jc w:val="left"/>
            </w:pPr>
            <w:r>
              <w:rPr>
                <w:rFonts w:ascii="仿宋_GB2312" w:hAnsi="仿宋_GB2312" w:cs="仿宋_GB2312" w:eastAsia="仿宋_GB2312"/>
                <w:sz w:val="22"/>
              </w:rPr>
              <w:t>（10）曝光时间：20μs-300ms；</w:t>
            </w:r>
          </w:p>
          <w:p>
            <w:pPr>
              <w:pStyle w:val="null3"/>
              <w:jc w:val="left"/>
            </w:pPr>
            <w:r>
              <w:rPr>
                <w:rFonts w:ascii="仿宋_GB2312" w:hAnsi="仿宋_GB2312" w:cs="仿宋_GB2312" w:eastAsia="仿宋_GB2312"/>
                <w:sz w:val="22"/>
              </w:rPr>
              <w:t>（11）像素：≥12MP；</w:t>
            </w:r>
          </w:p>
          <w:p>
            <w:pPr>
              <w:pStyle w:val="null3"/>
              <w:jc w:val="left"/>
            </w:pPr>
            <w:r>
              <w:rPr>
                <w:rFonts w:ascii="仿宋_GB2312" w:hAnsi="仿宋_GB2312" w:cs="仿宋_GB2312" w:eastAsia="仿宋_GB2312"/>
                <w:sz w:val="22"/>
              </w:rPr>
              <w:t>（12）尺寸：≤72mm×50mm×50mm；</w:t>
            </w:r>
          </w:p>
          <w:p>
            <w:pPr>
              <w:pStyle w:val="null3"/>
              <w:jc w:val="left"/>
            </w:pPr>
            <w:r>
              <w:rPr>
                <w:rFonts w:ascii="仿宋_GB2312" w:hAnsi="仿宋_GB2312" w:cs="仿宋_GB2312" w:eastAsia="仿宋_GB2312"/>
                <w:sz w:val="22"/>
              </w:rPr>
              <w:t>（13）最大功率密度：2.5W/cm²@1064nm波长，OD2.0；</w:t>
            </w:r>
          </w:p>
          <w:p>
            <w:pPr>
              <w:pStyle w:val="null3"/>
              <w:jc w:val="left"/>
            </w:pPr>
            <w:r>
              <w:rPr>
                <w:rFonts w:ascii="仿宋_GB2312" w:hAnsi="仿宋_GB2312" w:cs="仿宋_GB2312" w:eastAsia="仿宋_GB2312"/>
                <w:sz w:val="22"/>
              </w:rPr>
              <w:t>（14）最低有效响应：0.015W/cm²@1064nm波长，OD3.0。</w:t>
            </w:r>
          </w:p>
          <w:p>
            <w:pPr>
              <w:pStyle w:val="null3"/>
              <w:jc w:val="left"/>
            </w:pPr>
            <w:r>
              <w:rPr>
                <w:rFonts w:ascii="仿宋_GB2312" w:hAnsi="仿宋_GB2312" w:cs="仿宋_GB2312" w:eastAsia="仿宋_GB2312"/>
                <w:sz w:val="22"/>
              </w:rPr>
              <w:t>▲（15）具有图片与CSV数据存储，历史数据读取功能；具有ROI选区、左右翻转及径向翻转功能；自动计算光斑直径、光斑椭圆率和光斑面积。</w:t>
            </w:r>
          </w:p>
          <w:p>
            <w:pPr>
              <w:pStyle w:val="null3"/>
              <w:jc w:val="left"/>
            </w:pPr>
            <w:r>
              <w:rPr>
                <w:rFonts w:ascii="仿宋_GB2312" w:hAnsi="仿宋_GB2312" w:cs="仿宋_GB2312" w:eastAsia="仿宋_GB2312"/>
                <w:sz w:val="22"/>
              </w:rPr>
              <w:t>2、偏振分析仪:</w:t>
            </w:r>
          </w:p>
          <w:p>
            <w:pPr>
              <w:pStyle w:val="null3"/>
              <w:jc w:val="left"/>
            </w:pPr>
            <w:r>
              <w:rPr>
                <w:rFonts w:ascii="仿宋_GB2312" w:hAnsi="仿宋_GB2312" w:cs="仿宋_GB2312" w:eastAsia="仿宋_GB2312"/>
                <w:sz w:val="22"/>
              </w:rPr>
              <w:t>（1）工作波长：400-700nm;</w:t>
            </w:r>
          </w:p>
          <w:p>
            <w:pPr>
              <w:pStyle w:val="null3"/>
              <w:jc w:val="left"/>
            </w:pPr>
            <w:r>
              <w:rPr>
                <w:rFonts w:ascii="仿宋_GB2312" w:hAnsi="仿宋_GB2312" w:cs="仿宋_GB2312" w:eastAsia="仿宋_GB2312"/>
                <w:sz w:val="22"/>
              </w:rPr>
              <w:t>（2）采样速率：≥15Hz；</w:t>
            </w:r>
          </w:p>
          <w:p>
            <w:pPr>
              <w:pStyle w:val="null3"/>
              <w:jc w:val="left"/>
            </w:pPr>
            <w:r>
              <w:rPr>
                <w:rFonts w:ascii="仿宋_GB2312" w:hAnsi="仿宋_GB2312" w:cs="仿宋_GB2312" w:eastAsia="仿宋_GB2312"/>
                <w:sz w:val="22"/>
              </w:rPr>
              <w:t>（3）偏振态（SOP）精度≤±0.4°</w:t>
            </w:r>
          </w:p>
          <w:p>
            <w:pPr>
              <w:pStyle w:val="null3"/>
              <w:jc w:val="left"/>
            </w:pPr>
            <w:r>
              <w:rPr>
                <w:rFonts w:ascii="仿宋_GB2312" w:hAnsi="仿宋_GB2312" w:cs="仿宋_GB2312" w:eastAsia="仿宋_GB2312"/>
                <w:sz w:val="22"/>
              </w:rPr>
              <w:t>（4）偏振消光比（PER）精度≤0.5dB@25dB;</w:t>
            </w:r>
          </w:p>
          <w:p>
            <w:pPr>
              <w:pStyle w:val="null3"/>
              <w:jc w:val="left"/>
            </w:pPr>
            <w:r>
              <w:rPr>
                <w:rFonts w:ascii="仿宋_GB2312" w:hAnsi="仿宋_GB2312" w:cs="仿宋_GB2312" w:eastAsia="仿宋_GB2312"/>
                <w:sz w:val="22"/>
              </w:rPr>
              <w:t>（5）偏振度（DOP）测量误差≤5%;</w:t>
            </w:r>
          </w:p>
          <w:p>
            <w:pPr>
              <w:pStyle w:val="null3"/>
              <w:jc w:val="left"/>
            </w:pPr>
            <w:r>
              <w:rPr>
                <w:rFonts w:ascii="仿宋_GB2312" w:hAnsi="仿宋_GB2312" w:cs="仿宋_GB2312" w:eastAsia="仿宋_GB2312"/>
                <w:sz w:val="22"/>
              </w:rPr>
              <w:t>（6）接口兼容FC/APC标准;</w:t>
            </w:r>
          </w:p>
          <w:p>
            <w:pPr>
              <w:pStyle w:val="null3"/>
              <w:jc w:val="left"/>
            </w:pPr>
            <w:r>
              <w:rPr>
                <w:rFonts w:ascii="仿宋_GB2312" w:hAnsi="仿宋_GB2312" w:cs="仿宋_GB2312" w:eastAsia="仿宋_GB2312"/>
                <w:sz w:val="22"/>
              </w:rPr>
              <w:t>（7）功率测量范围：0.01–50m</w:t>
            </w:r>
            <w:r>
              <w:rPr>
                <w:rFonts w:ascii="仿宋_GB2312" w:hAnsi="仿宋_GB2312" w:cs="仿宋_GB2312" w:eastAsia="仿宋_GB2312"/>
                <w:sz w:val="22"/>
              </w:rPr>
              <w:t>w</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（8）最大入射光束直径：≤4mm；</w:t>
            </w:r>
          </w:p>
          <w:p>
            <w:pPr>
              <w:pStyle w:val="null3"/>
              <w:jc w:val="left"/>
            </w:pPr>
            <w:r>
              <w:rPr>
                <w:rFonts w:ascii="仿宋_GB2312" w:hAnsi="仿宋_GB2312" w:cs="仿宋_GB2312" w:eastAsia="仿宋_GB2312"/>
                <w:sz w:val="22"/>
              </w:rPr>
              <w:t>（9）测量模式：自由空间光束及光纤输入两种模式。</w:t>
            </w:r>
          </w:p>
          <w:p>
            <w:pPr>
              <w:pStyle w:val="null3"/>
              <w:jc w:val="left"/>
            </w:pPr>
            <w:r>
              <w:rPr>
                <w:rFonts w:ascii="仿宋_GB2312" w:hAnsi="仿宋_GB2312" w:cs="仿宋_GB2312" w:eastAsia="仿宋_GB2312"/>
                <w:sz w:val="22"/>
              </w:rPr>
              <w:t>3、光学测量仪:</w:t>
            </w:r>
          </w:p>
          <w:p>
            <w:pPr>
              <w:pStyle w:val="null3"/>
              <w:jc w:val="left"/>
            </w:pPr>
            <w:r>
              <w:rPr>
                <w:rFonts w:ascii="仿宋_GB2312" w:hAnsi="仿宋_GB2312" w:cs="仿宋_GB2312" w:eastAsia="仿宋_GB2312"/>
                <w:sz w:val="22"/>
              </w:rPr>
              <w:t>（1）多模拟（四个）模拟输入/输出；</w:t>
            </w:r>
          </w:p>
          <w:p>
            <w:pPr>
              <w:pStyle w:val="null3"/>
              <w:jc w:val="left"/>
            </w:pPr>
            <w:r>
              <w:rPr>
                <w:rFonts w:ascii="仿宋_GB2312" w:hAnsi="仿宋_GB2312" w:cs="仿宋_GB2312" w:eastAsia="仿宋_GB2312"/>
                <w:sz w:val="22"/>
              </w:rPr>
              <w:t xml:space="preserve">▲（2）高速存储容量：＞100GB；   </w:t>
            </w:r>
          </w:p>
          <w:p>
            <w:pPr>
              <w:pStyle w:val="null3"/>
              <w:jc w:val="left"/>
            </w:pPr>
            <w:r>
              <w:rPr>
                <w:rFonts w:ascii="仿宋_GB2312" w:hAnsi="仿宋_GB2312" w:cs="仿宋_GB2312" w:eastAsia="仿宋_GB2312"/>
                <w:sz w:val="22"/>
              </w:rPr>
              <w:t>（3）连接方式：支持以太网、USB及无线网络等多种数据传输；</w:t>
            </w:r>
          </w:p>
          <w:p>
            <w:pPr>
              <w:pStyle w:val="null3"/>
              <w:jc w:val="left"/>
            </w:pPr>
            <w:r>
              <w:rPr>
                <w:rFonts w:ascii="仿宋_GB2312" w:hAnsi="仿宋_GB2312" w:cs="仿宋_GB2312" w:eastAsia="仿宋_GB2312"/>
                <w:sz w:val="22"/>
              </w:rPr>
              <w:t>（4）ADC分辨率：18bit；</w:t>
            </w:r>
          </w:p>
          <w:p>
            <w:pPr>
              <w:pStyle w:val="null3"/>
              <w:jc w:val="left"/>
            </w:pPr>
            <w:r>
              <w:rPr>
                <w:rFonts w:ascii="仿宋_GB2312" w:hAnsi="仿宋_GB2312" w:cs="仿宋_GB2312" w:eastAsia="仿宋_GB2312"/>
                <w:sz w:val="22"/>
              </w:rPr>
              <w:t>（5）采样率：</w:t>
            </w:r>
            <w:r>
              <w:rPr>
                <w:rFonts w:ascii="仿宋_GB2312" w:hAnsi="仿宋_GB2312" w:cs="仿宋_GB2312" w:eastAsia="仿宋_GB2312"/>
                <w:sz w:val="24"/>
              </w:rPr>
              <w:t>≥</w:t>
            </w:r>
            <w:r>
              <w:rPr>
                <w:rFonts w:ascii="仿宋_GB2312" w:hAnsi="仿宋_GB2312" w:cs="仿宋_GB2312" w:eastAsia="仿宋_GB2312"/>
                <w:sz w:val="22"/>
              </w:rPr>
              <w:t>5GSa/s；</w:t>
            </w:r>
          </w:p>
          <w:p>
            <w:pPr>
              <w:pStyle w:val="null3"/>
              <w:jc w:val="left"/>
            </w:pPr>
            <w:r>
              <w:rPr>
                <w:rFonts w:ascii="仿宋_GB2312" w:hAnsi="仿宋_GB2312" w:cs="仿宋_GB2312" w:eastAsia="仿宋_GB2312"/>
                <w:sz w:val="22"/>
              </w:rPr>
              <w:t>（6）输入模拟带宽：600MHz；</w:t>
            </w:r>
          </w:p>
          <w:p>
            <w:pPr>
              <w:pStyle w:val="null3"/>
              <w:jc w:val="left"/>
            </w:pPr>
            <w:r>
              <w:rPr>
                <w:rFonts w:ascii="仿宋_GB2312" w:hAnsi="仿宋_GB2312" w:cs="仿宋_GB2312" w:eastAsia="仿宋_GB2312"/>
                <w:sz w:val="22"/>
              </w:rPr>
              <w:t>（7）耦合:AC/DC双耦合方式；</w:t>
            </w:r>
          </w:p>
          <w:p>
            <w:pPr>
              <w:pStyle w:val="null3"/>
              <w:jc w:val="left"/>
            </w:pPr>
            <w:r>
              <w:rPr>
                <w:rFonts w:ascii="仿宋_GB2312" w:hAnsi="仿宋_GB2312" w:cs="仿宋_GB2312" w:eastAsia="仿宋_GB2312"/>
                <w:sz w:val="22"/>
              </w:rPr>
              <w:t>（8）输入电压范围：±20V；</w:t>
            </w:r>
          </w:p>
          <w:p>
            <w:pPr>
              <w:pStyle w:val="null3"/>
              <w:jc w:val="left"/>
            </w:pPr>
            <w:r>
              <w:rPr>
                <w:rFonts w:ascii="仿宋_GB2312" w:hAnsi="仿宋_GB2312" w:cs="仿宋_GB2312" w:eastAsia="仿宋_GB2312"/>
                <w:sz w:val="22"/>
              </w:rPr>
              <w:t>（9）DAC分辨率:16bit；</w:t>
            </w:r>
          </w:p>
          <w:p>
            <w:pPr>
              <w:pStyle w:val="null3"/>
              <w:jc w:val="left"/>
            </w:pPr>
            <w:r>
              <w:rPr>
                <w:rFonts w:ascii="仿宋_GB2312" w:hAnsi="仿宋_GB2312" w:cs="仿宋_GB2312" w:eastAsia="仿宋_GB2312"/>
                <w:sz w:val="22"/>
              </w:rPr>
              <w:t>（10）采样率: 1.25GSa/s；</w:t>
            </w:r>
          </w:p>
          <w:p>
            <w:pPr>
              <w:pStyle w:val="null3"/>
              <w:jc w:val="left"/>
            </w:pPr>
            <w:r>
              <w:rPr>
                <w:rFonts w:ascii="仿宋_GB2312" w:hAnsi="仿宋_GB2312" w:cs="仿宋_GB2312" w:eastAsia="仿宋_GB2312"/>
                <w:sz w:val="22"/>
              </w:rPr>
              <w:t>（11）输出模拟带宽：500MHz；</w:t>
            </w:r>
          </w:p>
          <w:p>
            <w:pPr>
              <w:pStyle w:val="null3"/>
              <w:jc w:val="left"/>
            </w:pPr>
            <w:r>
              <w:rPr>
                <w:rFonts w:ascii="仿宋_GB2312" w:hAnsi="仿宋_GB2312" w:cs="仿宋_GB2312" w:eastAsia="仿宋_GB2312"/>
                <w:sz w:val="22"/>
              </w:rPr>
              <w:t>（12）输出电压范围：±5 V；</w:t>
            </w:r>
          </w:p>
          <w:p>
            <w:pPr>
              <w:pStyle w:val="null3"/>
              <w:jc w:val="left"/>
            </w:pPr>
            <w:r>
              <w:rPr>
                <w:rFonts w:ascii="仿宋_GB2312" w:hAnsi="仿宋_GB2312" w:cs="仿宋_GB2312" w:eastAsia="仿宋_GB2312"/>
                <w:sz w:val="22"/>
              </w:rPr>
              <w:t>▲（13）仪器功能：示波器、任意波形发生器、数据记录仪、频率响应分析仪、PID控制器、频谱分析仪、波形发生器、数字滤波器、FIR滤波器生成器、锁相放大器、相位计、激光锁频/稳频器等多种仪器的等效信号发生、采集、测量与分析控制。</w:t>
            </w:r>
          </w:p>
          <w:p>
            <w:pPr>
              <w:pStyle w:val="null3"/>
              <w:jc w:val="left"/>
            </w:pPr>
            <w:r>
              <w:rPr>
                <w:rFonts w:ascii="仿宋_GB2312" w:hAnsi="仿宋_GB2312" w:cs="仿宋_GB2312" w:eastAsia="仿宋_GB2312"/>
                <w:sz w:val="22"/>
              </w:rPr>
              <w:t>4、光电探测器：</w:t>
            </w:r>
          </w:p>
          <w:p>
            <w:pPr>
              <w:pStyle w:val="null3"/>
              <w:jc w:val="left"/>
            </w:pPr>
            <w:r>
              <w:rPr>
                <w:rFonts w:ascii="仿宋_GB2312" w:hAnsi="仿宋_GB2312" w:cs="仿宋_GB2312" w:eastAsia="仿宋_GB2312"/>
                <w:sz w:val="22"/>
              </w:rPr>
              <w:t>▲（1）响应带宽：10GHz；</w:t>
            </w:r>
          </w:p>
          <w:p>
            <w:pPr>
              <w:pStyle w:val="null3"/>
              <w:jc w:val="left"/>
            </w:pPr>
            <w:r>
              <w:rPr>
                <w:rFonts w:ascii="仿宋_GB2312" w:hAnsi="仿宋_GB2312" w:cs="仿宋_GB2312" w:eastAsia="仿宋_GB2312"/>
                <w:sz w:val="22"/>
              </w:rPr>
              <w:t>（2）量子效率：≥85%；</w:t>
            </w:r>
          </w:p>
          <w:p>
            <w:pPr>
              <w:pStyle w:val="null3"/>
              <w:jc w:val="left"/>
            </w:pPr>
            <w:r>
              <w:rPr>
                <w:rFonts w:ascii="仿宋_GB2312" w:hAnsi="仿宋_GB2312" w:cs="仿宋_GB2312" w:eastAsia="仿宋_GB2312"/>
                <w:sz w:val="22"/>
              </w:rPr>
              <w:t>（3）暗电流：≤1nA。</w:t>
            </w:r>
          </w:p>
          <w:p>
            <w:pPr>
              <w:pStyle w:val="null3"/>
              <w:jc w:val="left"/>
            </w:pPr>
            <w:r>
              <w:rPr>
                <w:rFonts w:ascii="仿宋_GB2312" w:hAnsi="仿宋_GB2312" w:cs="仿宋_GB2312" w:eastAsia="仿宋_GB2312"/>
                <w:sz w:val="22"/>
              </w:rPr>
              <w:t>5、频谱分析仪</w:t>
            </w:r>
          </w:p>
          <w:p>
            <w:pPr>
              <w:pStyle w:val="null3"/>
              <w:jc w:val="left"/>
            </w:pPr>
            <w:r>
              <w:rPr>
                <w:rFonts w:ascii="仿宋_GB2312" w:hAnsi="仿宋_GB2312" w:cs="仿宋_GB2312" w:eastAsia="仿宋_GB2312"/>
                <w:sz w:val="22"/>
              </w:rPr>
              <w:t>（1）波长响应范围:355-1150nm：</w:t>
            </w:r>
          </w:p>
          <w:p>
            <w:pPr>
              <w:pStyle w:val="null3"/>
              <w:jc w:val="left"/>
            </w:pPr>
            <w:r>
              <w:rPr>
                <w:rFonts w:ascii="仿宋_GB2312" w:hAnsi="仿宋_GB2312" w:cs="仿宋_GB2312" w:eastAsia="仿宋_GB2312"/>
                <w:sz w:val="22"/>
              </w:rPr>
              <w:t>（2）成像分辨率:4.2MPixel(2</w:t>
            </w:r>
            <w:r>
              <w:rPr>
                <w:rFonts w:ascii="仿宋_GB2312" w:hAnsi="仿宋_GB2312" w:cs="仿宋_GB2312" w:eastAsia="仿宋_GB2312"/>
                <w:sz w:val="22"/>
              </w:rPr>
              <w:t>048x2048)；</w:t>
            </w:r>
          </w:p>
          <w:p>
            <w:pPr>
              <w:pStyle w:val="null3"/>
              <w:jc w:val="left"/>
            </w:pPr>
            <w:r>
              <w:rPr>
                <w:rFonts w:ascii="仿宋_GB2312" w:hAnsi="仿宋_GB2312" w:cs="仿宋_GB2312" w:eastAsia="仿宋_GB2312"/>
                <w:sz w:val="22"/>
              </w:rPr>
              <w:t>（3）成像区域:11.3x11.3mm；</w:t>
            </w:r>
          </w:p>
          <w:p>
            <w:pPr>
              <w:pStyle w:val="null3"/>
              <w:jc w:val="left"/>
            </w:pPr>
            <w:r>
              <w:rPr>
                <w:rFonts w:ascii="仿宋_GB2312" w:hAnsi="仿宋_GB2312" w:cs="仿宋_GB2312" w:eastAsia="仿宋_GB2312"/>
                <w:sz w:val="22"/>
              </w:rPr>
              <w:t>（4）像元尺寸:5.5x5.5µm</w:t>
            </w:r>
          </w:p>
          <w:p>
            <w:pPr>
              <w:pStyle w:val="null3"/>
              <w:jc w:val="left"/>
            </w:pPr>
            <w:r>
              <w:rPr>
                <w:rFonts w:ascii="仿宋_GB2312" w:hAnsi="仿宋_GB2312" w:cs="仿宋_GB2312" w:eastAsia="仿宋_GB2312"/>
                <w:sz w:val="22"/>
              </w:rPr>
              <w:t>（5）最小光斑(10像素):55µm；</w:t>
            </w:r>
          </w:p>
          <w:p>
            <w:pPr>
              <w:pStyle w:val="null3"/>
              <w:jc w:val="left"/>
            </w:pPr>
            <w:r>
              <w:rPr>
                <w:rFonts w:ascii="仿宋_GB2312" w:hAnsi="仿宋_GB2312" w:cs="仿宋_GB2312" w:eastAsia="仿宋_GB2312"/>
                <w:sz w:val="22"/>
              </w:rPr>
              <w:t>（6）快门类型:支持全局快门；</w:t>
            </w:r>
          </w:p>
          <w:p>
            <w:pPr>
              <w:pStyle w:val="null3"/>
              <w:jc w:val="left"/>
            </w:pPr>
            <w:r>
              <w:rPr>
                <w:rFonts w:ascii="仿宋_GB2312" w:hAnsi="仿宋_GB2312" w:cs="仿宋_GB2312" w:eastAsia="仿宋_GB2312"/>
                <w:sz w:val="22"/>
              </w:rPr>
              <w:t>（</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数据接口：USB3.0接口。</w:t>
            </w:r>
          </w:p>
          <w:p>
            <w:pPr>
              <w:pStyle w:val="null3"/>
              <w:jc w:val="left"/>
            </w:pPr>
            <w:r>
              <w:rPr>
                <w:rFonts w:ascii="仿宋_GB2312" w:hAnsi="仿宋_GB2312" w:cs="仿宋_GB2312" w:eastAsia="仿宋_GB2312"/>
                <w:sz w:val="22"/>
              </w:rPr>
              <w:t>6、防水机箱：</w:t>
            </w:r>
          </w:p>
          <w:p>
            <w:pPr>
              <w:pStyle w:val="null3"/>
              <w:jc w:val="left"/>
            </w:pPr>
            <w:r>
              <w:rPr>
                <w:rFonts w:ascii="仿宋_GB2312" w:hAnsi="仿宋_GB2312" w:cs="仿宋_GB2312" w:eastAsia="仿宋_GB2312"/>
                <w:sz w:val="22"/>
              </w:rPr>
              <w:t>防水等级≥IP68，高强度耐腐蚀铝合金材质，密闭被</w:t>
            </w:r>
            <w:r>
              <w:rPr>
                <w:rFonts w:ascii="仿宋_GB2312" w:hAnsi="仿宋_GB2312" w:cs="仿宋_GB2312" w:eastAsia="仿宋_GB2312"/>
                <w:sz w:val="22"/>
              </w:rPr>
              <w:t>动散热与鳍片式导热结构；内部元器件减震固定、密封出线、导热绝缘及防潮，尺寸：≤70cmx50cmx50㎝。</w:t>
            </w:r>
          </w:p>
          <w:p>
            <w:pPr>
              <w:pStyle w:val="null3"/>
              <w:jc w:val="left"/>
            </w:pPr>
            <w:r>
              <w:rPr>
                <w:rFonts w:ascii="仿宋_GB2312" w:hAnsi="仿宋_GB2312" w:cs="仿宋_GB2312" w:eastAsia="仿宋_GB2312"/>
                <w:sz w:val="22"/>
              </w:rPr>
              <w:t>7、数字光功率和能量计：</w:t>
            </w:r>
          </w:p>
          <w:p>
            <w:pPr>
              <w:pStyle w:val="null3"/>
              <w:jc w:val="left"/>
            </w:pPr>
            <w:r>
              <w:rPr>
                <w:rFonts w:ascii="仿宋_GB2312" w:hAnsi="仿宋_GB2312" w:cs="仿宋_GB2312" w:eastAsia="仿宋_GB2312"/>
                <w:sz w:val="22"/>
              </w:rPr>
              <w:t>（1）波长响应范围：350-1100nm；</w:t>
            </w:r>
          </w:p>
          <w:p>
            <w:pPr>
              <w:pStyle w:val="null3"/>
              <w:jc w:val="left"/>
            </w:pPr>
            <w:r>
              <w:rPr>
                <w:rFonts w:ascii="仿宋_GB2312" w:hAnsi="仿宋_GB2312" w:cs="仿宋_GB2312" w:eastAsia="仿宋_GB2312"/>
                <w:sz w:val="22"/>
              </w:rPr>
              <w:t>（2）测量范围</w:t>
            </w:r>
            <w:r>
              <w:rPr>
                <w:rFonts w:ascii="仿宋_GB2312" w:hAnsi="仿宋_GB2312" w:cs="仿宋_GB2312" w:eastAsia="仿宋_GB2312"/>
                <w:sz w:val="22"/>
              </w:rPr>
              <w:t>：</w:t>
            </w:r>
            <w:r>
              <w:rPr>
                <w:rFonts w:ascii="仿宋_GB2312" w:hAnsi="仿宋_GB2312" w:cs="仿宋_GB2312" w:eastAsia="仿宋_GB2312"/>
                <w:sz w:val="22"/>
              </w:rPr>
              <w:t>1μW-5W；</w:t>
            </w:r>
          </w:p>
          <w:p>
            <w:pPr>
              <w:pStyle w:val="null3"/>
              <w:jc w:val="left"/>
            </w:pPr>
            <w:r>
              <w:rPr>
                <w:rFonts w:ascii="仿宋_GB2312" w:hAnsi="仿宋_GB2312" w:cs="仿宋_GB2312" w:eastAsia="仿宋_GB2312"/>
                <w:sz w:val="22"/>
              </w:rPr>
              <w:t>（三）其他附件</w:t>
            </w:r>
          </w:p>
          <w:p>
            <w:pPr>
              <w:pStyle w:val="null3"/>
              <w:jc w:val="both"/>
            </w:pPr>
            <w:r>
              <w:rPr>
                <w:rFonts w:ascii="仿宋_GB2312" w:hAnsi="仿宋_GB2312" w:cs="仿宋_GB2312" w:eastAsia="仿宋_GB2312"/>
                <w:sz w:val="22"/>
              </w:rPr>
              <w:t>支持6</w:t>
            </w:r>
            <w:r>
              <w:rPr>
                <w:rFonts w:ascii="仿宋_GB2312" w:hAnsi="仿宋_GB2312" w:cs="仿宋_GB2312" w:eastAsia="仿宋_GB2312"/>
                <w:sz w:val="22"/>
              </w:rPr>
              <w:t>G</w:t>
            </w:r>
            <w:r>
              <w:rPr>
                <w:rFonts w:ascii="仿宋_GB2312" w:hAnsi="仿宋_GB2312" w:cs="仿宋_GB2312" w:eastAsia="仿宋_GB2312"/>
                <w:sz w:val="22"/>
              </w:rPr>
              <w:t>光通信系统安装使用的光学元器件，包含：支架、透镜、分束镜、面包板、波片与光纤耦合件。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接采购人通知后35个日历日完成供货。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西安理工大学金花校区教学五楼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设备运抵采购人指定地点并经采购人初步查验无误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设备安装调试完成，经采购人验收合格并签署《验收合格报告》后，供应商开具全额合法有效的增值税专用发票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招标文件、投标文件及技术澄清文件（函）；国家/行业标准、规范。（2）验收条件：①供应商已按照合同规定提供了全部产品及完整的技术资料。②所供货物符合招标文件和投标文件技术规格要求，性能满足要求。③所供货物具备产品合格证。（3）验收标准：供应商按合同约定完成全部设备交付、安装调试并自检合格后，应向采购人提交书面验收申请及完整验收资料。采购人收到合格验收资料后，组织验收。若设备验收不合格，供应商应在收到采购人书面通知后5日内进行整改，并申请采购人复验。若供应商未在规定期限内完成整改或拒绝整改，视为供应商根本违约，采购人有权直接解除合同、要求退货并追究供应商违约责任；若复验仍不合格，采购人有权选择单方解除合同、要求退货，并要求供应商赔偿因此造成的全部损失。采购人也有权选择要求供应商更换合格设备，由此产生的所有费用由供应商承担，且更换后的设备质保期自新设备验收合格之日起重新计算。（4）验收流程：①到货初检（采购人、供应商共同参与）：检查外包装完整性、运输损伤情况；核对货物型号、数量、规格是否与合同一致；检查随机文件（合格证、说明书、保修卡等）。②安装调试验收：设备安装符合GB 50231-2009《机械设备安装工程施工及验收通用规范》；调试记录完整。③性能测试验收（关键指标实测）连续运行72小时无故障；关键参数与投标文件承诺值对比，符合文件相关规定。④最终验收：签署《验收合格确认书》，产品保修期自最终验收合格之日起算，由供应商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标准：供应商提供产品及相关快递服务的包装要求，按照《商品包装政府采购需求标准（试行）》、《快递包装政府采购需求标准（试行）》执行，确保防潮、防震、防锈蚀、防碎；包装箱外应清晰标明设备名称、编号、重量、尺寸及防雨、易碎、向上等标识；（2）运输方式：供应商自主选择，须购买全程运输保险，保证按期交付。（3）运输责任：运输由供应商负责，运杂费已包含在合同总价内。包括从货物供应地点运送至交付地点所含的运输费、装卸费、仓储费、保险费等；（4）存放与保管：货物到达采购人指定地点后，供应商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要求：质保期2年（自验收合格出具验收报告之日起算）。质保期内出现任何非人为故意损坏的质量问题，由供应商包换或包退，并承担调换或退货的全部费用。①质量标准：供应商的产品必须为全新未使用过的、来源合法，符合国家行业质量标准，并无任何瑕疵；供应商应按配置清单要求提供原装产品，除人为因素损坏外，对该产品实行三包（即包修、包退、包换），及时提供所有设备正常使用所需的备品备件，且供应商维修所更换的配件和备品备件均为原设备厂家生产；②不符约定处理：如交付品种、型号、规格不符合同约定的，由供应商负责退换，由此产生的一切费用及给采购人造成的相关损失由供应商全部承担并赔偿相应损失；③不能修理或调换：如不能修理或者不能调换的，按不能交货处理，因此给采购人造成的所有经济损失供应商应予全额赔偿；④质保服务：保修期内由供应商提供质保，采购人报修后2小时内供应商必须响应，48小时内解决问题，否则将依据有关法律、法规进行追偿；若供应商未按时响应或维修后仍无法正常使用，采购人有权委托第三方维修，产生的费用从履约保证金或相关应付款项中抵扣，不足部分由供应商承担。在设备使用年限或双方另行商定的期限内，供应商应持续提供软件升级、技术咨询等支持服务。⑤瑕疵责任：供应商提供产品应无任何瑕疵，符合国际、国内相关标准。如在使用过程中本产品存在隐蔽瑕疵造成任何事故而引发的纠纷，由供应商全额负责赔偿，并为采购人修复瑕疵或更新换代，其间产生的费用均由供应商承担。（2）安装调试及售后服务要求：①备品备件：供货时随机提供首年用量50%的易损件。②安装调试要求：安装标准：执行GB50231-2009《机械设备安装工程施工及验收通用规范》；调试周期：连续72小时无故障运行测试；人员培训：提供相关操作人员培训资料。③质量保证：质量追溯：提供原材料来源证明及质量检验报告；货物要求：按采购人及招标文件要求，为采购人提供全新的货物（包括零部件）。④售后服务：响应时限：采购人报修后2小时内供应商必须响应，48小时内解决问题；定期维护：每季度提供预防性维护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违约情况按《中华人民共和国民法典》中的相关条款执行；（2）供应商应对其工作人员人身安全负责，如因工作人员在履行职务过程中的疏忽、失职、过错等故意或者过失原因给采购人造成损失或侵害，包括但不限于采购人本身的财产损失（直接损失、间接损失、采购人为避免损失扩大或维权而支出的律师费、诉讼费、保全费、鉴定费、差旅费等所有合理费用等）、由此而导致的采购人对任何第三方的法律责任等，供应商对此均应承担全部的赔偿责任；（3）未按合同要求提供设备或提供的设备质量或规格不能满足技术要求，采购人有权终止合同并对供应商违约行为进行追究，同时按政府采购法的有关规定进行相应的处罚；（4）若供应商发生延迟交货，每延迟1日，应向采购人支付合同总金额1‰的违约金；延迟超过15日的，采购人有权单方解除合同，并要求供应商支付合同总金额20%的违约金，如该违约金不足以弥补采购人损失的，供应商还应予以赔偿。（5）合同履行过程中出现争议时，由双方友好协商解决。协商不成，向采购人所在地有管辖权的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（1）因政府采购电子化交易平台格式受限，招标文件“3.4.4支付约定”以下列内容为准： 采购包1：合同签订后5个工作日内，采购人向供应商预付合同总价的40%；设备运抵采购人指定地点并经采购人初步查验无误后7个工作日内，采购人向供应商支付合同总价的30%；设备安装调试完成，经采购人验收合格并签署《验收合格报告》后，供应商开具全额合法有效的增值税专用发票，采购人7个工作日内向供应商支付合同总价的30%。 （2）中标供应商应于结果公告发布后3日内提交纸质投标文件肆份（正本壹份、副本叁份），纸质版投标文件需包含目录、无少页、缺页、连续页码（要求首封面为第1页，从第2页开始连续编辑页码），封面加盖投标人公章及骑缝章。纸质版文件内容应与电子版文件内容保持一致。递交地点：西安市雁塔区南二环东段凯森盛世1号B座2606室；（3）以保函形式交纳投标保证金的，投标人应在投标截止时间前将保函扫描成清晰的PDF文件，发送至邮箱3210945469@qq.com（邮件命名：项目编号），并将保函原件单独递交至代理机构财务；投标人应在投标文件中附保函复印件或扫描件。保函必须由具有开具投标保函资格的单位开具；若投标人违约，开具保函单位承担连带责任。（4）需执行的国家相关标准、行业标准、地方标准或者其他标准、规范。①激光器的检测依据须符合GB 7247.1-2024《激光产品的安全 第1部分：设备的分类、要求》、GB/T 41569-2022《激光器和激光相关设备 激光装置 文件基本要求》、GB/T 15651.4-2017《半导体器件 分立器件 第5-4部分：光电子器件 半导体激光器》、GB/T 15651.4-2017《半导体激光器总规范》、GB/T 13712-2015《空间光调制器通用规范》、GB/T 24365-2024《光电子器件 基本额定值和特性》、JB/T 12632-2016《光纤激光器》、YD/T 1813.1-2024《通信用光纤放大器 泵浦激光器组件 第1部分：980nm 泵浦激光器组件》、YD/T 2904.1-2015《集成可调谐激光器组件 第1部分：蝶形封装组件》标准要求。②空间光调制器检测依据须符合GB/T 13712-2015《空间光调制器通用规范》、GB/T 24365-2009《光电子器件 基本额定值和特性》、GB 7247.1-2012《激光产品的安全 第1部分：设备的分类和要求》、YD/T 1962-2009《光调制器技术条件》标准要求。③电光调制器的检测依据须符合YD/T 1962-2009《光调制器技术条件》、YD/T 4378.1-2023《400 Gb/s～600 Gb/s 相干驱动集成调制器组件》、JC/T 2401-2017《电光调制器用透明电光陶瓷》标准要求。④频谱分析仪的检测依据须符合GB/T 11461-2012《频谱分析仪通用规范》、GB/T 15637-2012《电子测量仪器通用规范》、JJG 501-2015《频谱分析仪检定规程》。⑤偏振分析仪的检测依据须符合GB/T 24365-2009《光电子器件基本额定值和特性》、GB/T 13713-2015《偏振控制器通用规范》、YD/T 1313-2004《光偏振控制器技术条件》标准要求。⑥光学测量仪的检测依据需符合GB/T 15637-2012《电子测量仪器通用规范》、GB/T 18268.1-2010《电磁兼容性要求》、GB 4943.1-2022《音视频、信息技术和通信技术设备 第1部分：安全要求》。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投标主体资格证明</w:t>
            </w:r>
          </w:p>
        </w:tc>
        <w:tc>
          <w:tcPr>
            <w:tcW w:type="dxa" w:w="3322"/>
          </w:tcPr>
          <w:p>
            <w:pPr>
              <w:pStyle w:val="null3"/>
            </w:pPr>
            <w:r>
              <w:rPr>
                <w:rFonts w:ascii="仿宋_GB2312" w:hAnsi="仿宋_GB2312" w:cs="仿宋_GB2312" w:eastAsia="仿宋_GB2312"/>
              </w:rPr>
              <w:t>供应商为具有独立承担民事责任能力的法人、其他组织或自然人，提供合法有效的统一社会信用代码营业执照（事业单位提供事业单位法人证书，自然人应提供身份证）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具有财务审计资质的单位出具的财务审计报告（成立时间至投标时间不足一年的可提供成立后任意时段的财务报表包括资产负债表、现金流量表、利润分配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提供具有履行本合同所必需的设备和专业技术能力的承诺</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供应商资格要求格式</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提供法定代表人/负责人授权书（附法定代表人/负责人、被授权人身份证复印件及被授权人近半年任意一个月社保缴纳证明或劳动合同。）（法定代表人/负责人直接参加投标，须提供法定代表人/负责人身份证明）</w:t>
            </w:r>
          </w:p>
        </w:tc>
        <w:tc>
          <w:tcPr>
            <w:tcW w:type="dxa" w:w="1661"/>
          </w:tcPr>
          <w:p>
            <w:pPr>
              <w:pStyle w:val="null3"/>
            </w:pPr>
            <w:r>
              <w:rPr>
                <w:rFonts w:ascii="仿宋_GB2312" w:hAnsi="仿宋_GB2312" w:cs="仿宋_GB2312" w:eastAsia="仿宋_GB2312"/>
              </w:rPr>
              <w:t>供应商资格要求格式</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 （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 （3）国务院办公厅《关于建立政府强制采购节能产品制度的通知》（国办发〔2007〕51号）、财政部、国家发改委、生态环境部、市监总局联合印发《关于调整优化节能产品、环境标志产品政府采购执行机制的通知》（财库〔2019〕9号）； （4）《陕西省财政厅关于加快推进我省中小企业政府采购信用融资工作的通知》（陕财办采〔2020〕15 号）、陕西省财政厅关于印发《陕西省中小企业政府采购信用融资办法》（陕财办采〔2018〕23 号）； （5）根据《国务院办公厅关于在政府采购中实施本国产品标准及相关政策的通知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 （6）其他需要落实的政府采购政策</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投标人在评审现场30分钟内对投标（响应）价格作出解释，提供项目具体成本测算等与报价合理性相关的书面说明及必要的证明材料，包括但不限于原材料成本、人工成本、制造费用等。 属于第③项情形，投标人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开标一览表 供应商认为有必要补充说明的事项 投标函 中小企业声明函 供应商资格要求格式 标的清单 保证金缴纳凭证 投标文件封面 供应商承诺书 商务条款偏离表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是否出现负偏离</w:t>
            </w:r>
          </w:p>
        </w:tc>
        <w:tc>
          <w:tcPr>
            <w:tcW w:type="dxa" w:w="1661"/>
          </w:tcPr>
          <w:p>
            <w:pPr>
              <w:pStyle w:val="null3"/>
            </w:pPr>
            <w:r>
              <w:rPr>
                <w:rFonts w:ascii="仿宋_GB2312" w:hAnsi="仿宋_GB2312" w:cs="仿宋_GB2312" w:eastAsia="仿宋_GB2312"/>
              </w:rPr>
              <w:t>商务条款偏离表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投标保证金缴纳凭证或担保机构出具的保函</w:t>
            </w:r>
          </w:p>
        </w:tc>
        <w:tc>
          <w:tcPr>
            <w:tcW w:type="dxa" w:w="1661"/>
          </w:tcPr>
          <w:p>
            <w:pPr>
              <w:pStyle w:val="null3"/>
            </w:pPr>
            <w:r>
              <w:rPr>
                <w:rFonts w:ascii="仿宋_GB2312" w:hAnsi="仿宋_GB2312" w:cs="仿宋_GB2312" w:eastAsia="仿宋_GB2312"/>
              </w:rPr>
              <w:t>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根据投标人提供的产品技术参数表及相应的证明材料，经评审专家审定得分。 完全符合、响应招标文件要求，没有负偏离的得30分；“▲”参数（共8项）负偏离一项扣2分，非“▲”参数负偏离一项扣1分，扣完为止。 【备注：所有标注 “▲” 的参数均须提供佐证材料，佐证材料包括：国家认可的检测机构出具的检测报告、制造商检验报告、产品彩页、官网功能截图任意一种。经评审专家审定得分。未提供不得分。】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根据项目实际需求，提供完整详细的项目实施方案。内容包含①供货运输方案②安装验收方案③人员配备④应急预案。 二、评审标准 1、完整性：方案须全面，对评审内容中的各项要求有详细描述； 2、可实施性：切合本项目实际情况，实施步骤清晰、合理； 3、针对性：方案能够紧扣项目实际情况，内容科学合理。 三、赋分依据（满分12分） ①供货运输方案：每完全满足一个评审标准得1分，满分3分； ②安装验收方案:每完全满足一个评审标准得1分，满分3分； ③人员配备:每完全满足一个评审标准得1分，满分3分； ④应急预案:每完全满足一个评审标准得1分，满分3分。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一、评审内容 提供所投产品（激光器、光学测量仪）合法来源渠道证明文件或说明，确保生产供应的设备无假货、水货、翻新货且无产权纠纷。 二、评审标准 1、如供应商为所投产品代理商：提供货物的合法来源渠道证明文件（例如：产品制造商授权、销售协议、代理协议等证明文件）。 2、如投标人为所投产品的制造商：需提供情况说明。 三、赋分依据（满分4分） 每提供一项产品证明文件得2分，最多得4分，未提供不得分。【以加盖投标人公章的证明材料复印件为计分依据】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根据项目实际需求提供在产品使用、技术保障、工艺性能等方面的质量保证。内容包含①质量保证承诺②质量保证措施。 二、评审标准 1、完整性：方案全面，对评审内容中的各项要求描述详细； 2、可实施性：切合本项目实际情况，实施步骤清晰、合理； 3、针对性：方案能够紧扣项目实际情况，内容科学合理。 三、赋分依据（满分6分） ①质量保证承诺：每完全满足一个评审标准得1分，满分3分； ②质量保证措施：每完全满足一个评审标准得1分，满分3分。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根据项目实际需求提供售后服务方案。内容包含①售后服务内容及保障措施②响应时间及方式。 二、评审标准 1、完整性：方案须全面，对评审内容中的各项要求描述详细； 2、可实施性：切合本项目实际情况，实施步骤清晰、合理； 3、针对性：方案能够紧扣项目实际情况，内容科学合理。 三、赋分依据（满分6分） ①售后服务内容及保障措施：每完全满足一个评审标准得1分，满分3分； ②响应时间及方式:每完全满足一个评审标准得1分，满分3分。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技术培训</w:t>
            </w:r>
          </w:p>
        </w:tc>
        <w:tc>
          <w:tcPr>
            <w:tcW w:type="dxa" w:w="2492"/>
          </w:tcPr>
          <w:p>
            <w:pPr>
              <w:pStyle w:val="null3"/>
            </w:pPr>
            <w:r>
              <w:rPr>
                <w:rFonts w:ascii="仿宋_GB2312" w:hAnsi="仿宋_GB2312" w:cs="仿宋_GB2312" w:eastAsia="仿宋_GB2312"/>
              </w:rPr>
              <w:t>一、评审内容 根据项目实际需求提供培训方案。方案内容包含：①培训计划及内容（内容包括不限于所提供产品的原理和技术性能、操作维护方法、安装调试、排除故障等方面）②培训效果保证措施。 二、评审标准 1、完整性：方案全面，对评审内容中的各项要求描述详细； 2、可实施性：切合本项目实际情况，实施步骤清晰、合理，可操作性强； 3、针对性：方案能够紧扣项目实际情况，内容科学合理，符合实际需求。 三、赋分依据（满分6分） ①培训计划及内容：每完全满足一个评审标准得1分，满分3分； ②培训效果保证措施:每完全满足一个评审标准得1分，满分3分。 内容有缺陷扣0.5分，缺项或未提供得0分。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质保期高于采购文件要求（2年）的，每增加一年得1分，最高得2分。无承诺不得分。 【提供承诺书并加盖公章】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提供2023年1月1日至今类似项目业绩（以合同签订日期为准），每份合格业绩合同计1分，满分4分。 【仅限投标人本身业绩，需提供业绩完整合同及对应货款发票复印件（任意一张），并加盖投标人公章，以上两种证明材料同时提供方可得分，否则不得分】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1、经初审合格的投标文件，通过符合性审查的投标报价为有效投标价。2、有效最低报价（落实政府采购政策进行价格调整的，以调整后的价格计算）为基准价得30分。 3、按（评标基准价/评审价格）×30的公式计算报价得分。4、投标报价不完整的，不进入评标基准价的计算，本项得0分。备注：①本项目专门面向中小企业采购，不再进行政策性扣减。②本项目不允许进口产品进行投标，全部为国产产品，不再进行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详见附件：供应商资格要求格式</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详见附件：商务条款偏离表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详见附件：投标方案说明书</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