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版本号：ZBZB-2026-289820260527001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《第三轮陕西省志·住房和城乡建设志》编修工作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ZBZB-2026-2898</w:t>
      </w:r>
      <w:r>
        <w:br/>
      </w:r>
      <w:r>
        <w:br/>
      </w:r>
      <w:r>
        <w:br/>
      </w:r>
    </w:p>
    <w:p>
      <w:pPr>
        <w:pStyle w:val="null3"/>
        <w:jc w:val="center"/>
        <w:outlineLvl w:val="2"/>
      </w:pPr>
      <w:r>
        <w:rPr>
          <w:rFonts w:ascii="仿宋_GB2312" w:hAnsi="仿宋_GB2312" w:cs="仿宋_GB2312" w:eastAsia="仿宋_GB2312"/>
          <w:sz w:val="28"/>
          <w:b/>
        </w:rPr>
        <w:t>陕西省住房和城乡建设厅机关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陕西省住房和城乡建设厅机关</w:t>
      </w:r>
      <w:r>
        <w:rPr>
          <w:rFonts w:ascii="仿宋_GB2312" w:hAnsi="仿宋_GB2312" w:cs="仿宋_GB2312" w:eastAsia="仿宋_GB2312"/>
        </w:rPr>
        <w:t>委托，拟对</w:t>
      </w:r>
      <w:r>
        <w:rPr>
          <w:rFonts w:ascii="仿宋_GB2312" w:hAnsi="仿宋_GB2312" w:cs="仿宋_GB2312" w:eastAsia="仿宋_GB2312"/>
        </w:rPr>
        <w:t>《第三轮陕西省志·住房和城乡建设志》编修工作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ZBZB-2026-2898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《第三轮陕西省志·住房和城乡建设志》编修工作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《第三轮陕西省志·住房和城乡建设志》编修工作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陕西省住房和城乡建设厅机关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西安市新城区新城大院省政府大楼9楼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采购包1保证金金额：7,600.00元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伍仟元则供应商按伍仟元支付服务费。 缴交渠道： 开户名称：陕西正邦招标有限责任公司 开户银行：平安银行西安分行营业部/平安银行西安分行 银行账号：30205380002076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陕西省住房和城乡建设厅机关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陕西省住房和城乡建设厅机关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陕西省住房和城乡建设厅机关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《第三轮陕西省志·住房和城乡建设志》编修工作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第三轮陕西省志·住房和城乡建设志 编修工作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标的名称：第三轮陕西省志·住房和城乡建设志 编修工作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b/>
                    </w:rPr>
                    <w:t>（一）项目概况</w:t>
                  </w:r>
                </w:p>
                <w:p>
                  <w:pPr>
                    <w:pStyle w:val="null3"/>
                    <w:ind w:firstLine="400"/>
                  </w:pPr>
                  <w:r>
                    <w:rPr>
                      <w:rFonts w:ascii="仿宋_GB2312" w:hAnsi="仿宋_GB2312" w:cs="仿宋_GB2312" w:eastAsia="仿宋_GB2312"/>
                      <w:sz w:val="21"/>
                    </w:rPr>
                    <w:t>贯通落实总书记关于史志工作的重要论述和历次来陕考察重要讲话重要指示，系统记述</w:t>
                  </w:r>
                  <w:r>
                    <w:rPr>
                      <w:rFonts w:ascii="仿宋_GB2312" w:hAnsi="仿宋_GB2312" w:cs="仿宋_GB2312" w:eastAsia="仿宋_GB2312"/>
                      <w:sz w:val="21"/>
                    </w:rPr>
                    <w:t>1978年以来陕西省住房和城乡建设事业的发展历程、成就经验，根据《陕西省人民政府关于印发第三轮地方志书修编工作方案的通知》（陕政函〔2025〕121号）、《陕西省地方志办公室关于印发第三轮&lt;陕西省志&gt;质量规定细则的通知》（陕志办发〔2025〕10号）文件要求，编修完成第三轮《住房城乡建设志》。修编工作共分为三个阶段，第一阶段为资料收集整理和完成初稿阶段（2026-2027年），第二阶段为完成初审阶段（2028-2029年），第三阶段为完成终审验收阶段（2030-2031年）。本次采购为第三轮《住房城乡建设志》第一阶段工作中资料收集整理服务。</w:t>
                  </w:r>
                </w:p>
                <w:p>
                  <w:pPr>
                    <w:pStyle w:val="null3"/>
                  </w:pPr>
                  <w:r>
                    <w:rPr>
                      <w:rFonts w:ascii="仿宋_GB2312" w:hAnsi="仿宋_GB2312" w:cs="仿宋_GB2312" w:eastAsia="仿宋_GB2312"/>
                      <w:sz w:val="21"/>
                      <w:b/>
                    </w:rPr>
                    <w:t>（二）采购需求</w:t>
                  </w:r>
                </w:p>
                <w:p>
                  <w:pPr>
                    <w:pStyle w:val="null3"/>
                    <w:ind w:firstLine="400"/>
                  </w:pPr>
                  <w:r>
                    <w:rPr>
                      <w:rFonts w:ascii="仿宋_GB2312" w:hAnsi="仿宋_GB2312" w:cs="仿宋_GB2312" w:eastAsia="仿宋_GB2312"/>
                      <w:sz w:val="21"/>
                    </w:rPr>
                    <w:t>全面贯彻落实总书记关于史志工作、住建工作的重要论述，按照</w:t>
                  </w:r>
                  <w:r>
                    <w:rPr>
                      <w:rFonts w:ascii="仿宋_GB2312" w:hAnsi="仿宋_GB2312" w:cs="仿宋_GB2312" w:eastAsia="仿宋_GB2312"/>
                      <w:sz w:val="21"/>
                    </w:rPr>
                    <w:t>“政治站位高、思想观点正确，篇目科学、结构严谨，资料翔实、特色鲜明”编纂要求，全面系统、实事求是地记录自1978年中共十一届三中全会召开以来陕西省在城乡规划、城市建设、建筑业、勘察设计、房地产业、村镇建设、科技与教育、机构与社团、法制与信息化、人物与大事记等住房和城乡建设核心领域取得的一系列发展成就与经验得失。工作范围以现行陕西省行政区划为准，时间断限上限拟定起自1978年中共十一届三中全会召开，下限断至2025年，其中包含对第一轮、第二轮《住房和城乡建设志》进行勘误修订。</w:t>
                  </w:r>
                </w:p>
                <w:p>
                  <w:pPr>
                    <w:pStyle w:val="null3"/>
                  </w:pPr>
                  <w:r>
                    <w:rPr>
                      <w:rFonts w:ascii="仿宋_GB2312" w:hAnsi="仿宋_GB2312" w:cs="仿宋_GB2312" w:eastAsia="仿宋_GB2312"/>
                      <w:sz w:val="21"/>
                    </w:rPr>
                    <w:t>本次采购内容为第一阶段基础资料收集整理服务。具体内容包括资料收集与梳理，形成系统化资料汇编成果，以及完成大纲和凡例评审工作。</w:t>
                  </w:r>
                </w:p>
                <w:p>
                  <w:pPr>
                    <w:pStyle w:val="null3"/>
                  </w:pPr>
                  <w:r>
                    <w:rPr>
                      <w:rFonts w:ascii="仿宋_GB2312" w:hAnsi="仿宋_GB2312" w:cs="仿宋_GB2312" w:eastAsia="仿宋_GB2312"/>
                      <w:sz w:val="21"/>
                      <w:b/>
                    </w:rPr>
                    <w:t>（三）服务期限：</w:t>
                  </w:r>
                  <w:r>
                    <w:rPr>
                      <w:rFonts w:ascii="仿宋_GB2312" w:hAnsi="仿宋_GB2312" w:cs="仿宋_GB2312" w:eastAsia="仿宋_GB2312"/>
                      <w:sz w:val="21"/>
                    </w:rPr>
                    <w:t>合同签订后</w:t>
                  </w:r>
                  <w:r>
                    <w:rPr>
                      <w:rFonts w:ascii="仿宋_GB2312" w:hAnsi="仿宋_GB2312" w:cs="仿宋_GB2312" w:eastAsia="仿宋_GB2312"/>
                      <w:sz w:val="21"/>
                    </w:rPr>
                    <w:t>1年内完成第三轮《住房城乡建设志》第一阶段资料收集整理服务。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合同签订后1年内完成第三轮《住房城乡建设志》第一阶段资料收集整理服务。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10天内不能达成协议时，则采取方式解决争议：（1）向甲方所在地有管辖权的人民法院提起诉讼；（2）向当地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供应商对编修要求的理解</w:t>
            </w:r>
          </w:p>
        </w:tc>
        <w:tc>
          <w:tcPr>
            <w:tcW w:type="dxa" w:w="2492"/>
          </w:tcPr>
          <w:p>
            <w:pPr>
              <w:pStyle w:val="null3"/>
            </w:pPr>
            <w:r>
              <w:rPr>
                <w:rFonts w:ascii="仿宋_GB2312" w:hAnsi="仿宋_GB2312" w:cs="仿宋_GB2312" w:eastAsia="仿宋_GB2312"/>
              </w:rPr>
              <w:t>未提供或理解严重偏差，计0-1分； 基本了解编修背景，但对体例、篇幅、时间节点描述模糊，计2-3分； 准确阐述项目的指导思想、体例要求、断限原则及政治关、史实关要求，完全符合省级规范，计4-5分。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编修实施方案的可行性</w:t>
            </w:r>
          </w:p>
        </w:tc>
        <w:tc>
          <w:tcPr>
            <w:tcW w:type="dxa" w:w="2492"/>
          </w:tcPr>
          <w:p>
            <w:pPr>
              <w:pStyle w:val="null3"/>
            </w:pPr>
            <w:r>
              <w:rPr>
                <w:rFonts w:ascii="仿宋_GB2312" w:hAnsi="仿宋_GB2312" w:cs="仿宋_GB2312" w:eastAsia="仿宋_GB2312"/>
              </w:rPr>
              <w:t>方案空洞，无具体步骤，计0-2分； 方案包含资料收集、初稿编写、总纂、评审等环节，但时间节点或责任人不明确，计3-5分； 方案详细、逻辑严密，包含详细的“资料长编—分纂—总纂—评议—验收”全流程计划，且有明确的时间表（如进度表）和责任分工，计6-8分。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资料收集与考证方案</w:t>
            </w:r>
          </w:p>
        </w:tc>
        <w:tc>
          <w:tcPr>
            <w:tcW w:type="dxa" w:w="2492"/>
          </w:tcPr>
          <w:p>
            <w:pPr>
              <w:pStyle w:val="null3"/>
            </w:pPr>
            <w:r>
              <w:rPr>
                <w:rFonts w:ascii="仿宋_GB2312" w:hAnsi="仿宋_GB2312" w:cs="仿宋_GB2312" w:eastAsia="仿宋_GB2312"/>
              </w:rPr>
              <w:t>仅提及查阅公开资料，计0-2分； 提出档案查阅、部门走访等方式，计3-4分； 提出多渠道（档案馆、图书馆、实地调研、专家访谈）立体化资料收集方案，并有详细的史料鉴别、考证方法，确保资料的权威性和准确性，计5-6分。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无具体措施，计0-2分； 有常规的加班或激励措施，计3-4分； 制定了详尽的风险预警机制、应急预案及阶段性考核指标，确保按时交付，计5-6分。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（1）资历与经验（5分）： 具有正高级技术职称（编审/教授/正高级工程师）得5分；具有副高级职称得2分；具有中级及以下得0分。 （2）稳定性（5分）：承诺项目负责人全程专职在岗（提供承诺书及社保证明）得5分。承诺主要在岗但有兼职得3分。未承诺或无法提供证明得0分。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核心编修人员</w:t>
            </w:r>
          </w:p>
        </w:tc>
        <w:tc>
          <w:tcPr>
            <w:tcW w:type="dxa" w:w="2492"/>
          </w:tcPr>
          <w:p>
            <w:pPr>
              <w:pStyle w:val="null3"/>
            </w:pPr>
            <w:r>
              <w:rPr>
                <w:rFonts w:ascii="仿宋_GB2312" w:hAnsi="仿宋_GB2312" w:cs="仿宋_GB2312" w:eastAsia="仿宋_GB2312"/>
              </w:rPr>
              <w:t>（1）专业结构（10分）：团队中包含志书所涉及各专业领域人员，包括但不限于规划、建筑、交通、给排水、工程等，且比例合理得10分；配置不全得5分；无专业配置说明得0分。 （2）人员数量与资质（10分）：团队人员中具有高级及以上专业技术职称，每满足1人得2分；具有中级及以上专业技术职称，每满足1人得1分。最高10分。（需提供身份证、学历、职称证书/注册证，及近6个月任意一月社保证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技术规范执行情况</w:t>
            </w:r>
          </w:p>
        </w:tc>
        <w:tc>
          <w:tcPr>
            <w:tcW w:type="dxa" w:w="2492"/>
          </w:tcPr>
          <w:p>
            <w:pPr>
              <w:pStyle w:val="null3"/>
            </w:pPr>
            <w:r>
              <w:rPr>
                <w:rFonts w:ascii="仿宋_GB2312" w:hAnsi="仿宋_GB2312" w:cs="仿宋_GB2312" w:eastAsia="仿宋_GB2312"/>
              </w:rPr>
              <w:t>未提供或提供的规范不符合要求，计0分； 承诺执行国家及陕西省地方志编纂规范，计1-3分； 不仅承诺执行规范，且提供技术规范执行方案，计5分。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质量控制体系</w:t>
            </w:r>
          </w:p>
        </w:tc>
        <w:tc>
          <w:tcPr>
            <w:tcW w:type="dxa" w:w="2492"/>
          </w:tcPr>
          <w:p>
            <w:pPr>
              <w:pStyle w:val="null3"/>
            </w:pPr>
            <w:r>
              <w:rPr>
                <w:rFonts w:ascii="仿宋_GB2312" w:hAnsi="仿宋_GB2312" w:cs="仿宋_GB2312" w:eastAsia="仿宋_GB2312"/>
              </w:rPr>
              <w:t>无质量控制描述，计0分； 有简单的三级校对制度，计1-5分； 建立了完善的“初审—复审—终审”三级审稿制度，以及多轮校对（至少三校三查）流程，有明确的质量责任人和差错率控制目标，计6-10分。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数字化与档案管理</w:t>
            </w:r>
          </w:p>
        </w:tc>
        <w:tc>
          <w:tcPr>
            <w:tcW w:type="dxa" w:w="2492"/>
          </w:tcPr>
          <w:p>
            <w:pPr>
              <w:pStyle w:val="null3"/>
            </w:pPr>
            <w:r>
              <w:rPr>
                <w:rFonts w:ascii="仿宋_GB2312" w:hAnsi="仿宋_GB2312" w:cs="仿宋_GB2312" w:eastAsia="仿宋_GB2312"/>
              </w:rPr>
              <w:t>无相关方案，计0分； 承诺交付电子版，计2分； 提供详细的数字化编修方案、资料数据库建设方案及项目档案归档方案，计5分。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出版与排版能力</w:t>
            </w:r>
          </w:p>
        </w:tc>
        <w:tc>
          <w:tcPr>
            <w:tcW w:type="dxa" w:w="2492"/>
          </w:tcPr>
          <w:p>
            <w:pPr>
              <w:pStyle w:val="null3"/>
            </w:pPr>
            <w:r>
              <w:rPr>
                <w:rFonts w:ascii="仿宋_GB2312" w:hAnsi="仿宋_GB2312" w:cs="仿宋_GB2312" w:eastAsia="仿宋_GB2312"/>
              </w:rPr>
              <w:t>无能力或外包描述不清，计0分； 计划外包给普通印刷厂，计2分； 具有图书著作等出版经验，具备专业古籍或社科类图书排版能力，能确保版式设计符合志书庄重、典雅的风格要求，计5分。（需提供著作相关证明材料）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供应商近三年（2023年1月至今）住建领域相关业绩，每提供一份得1分，最高得5分。 备注：证明材料以合同为准(复印件需清晰可见)。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