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版本号：SZT2026-SN-SC-ZC-FW-0528.1B120260710001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5000名建筑业职工及农民工职业健康体检专项活动(二次)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SZT2026-SN-SC-ZC-FW-0528.1B1</w:t>
      </w:r>
      <w:r>
        <w:br/>
      </w:r>
      <w:r>
        <w:br/>
      </w:r>
      <w:r>
        <w:br/>
      </w:r>
    </w:p>
    <w:p>
      <w:pPr>
        <w:pStyle w:val="null3"/>
        <w:jc w:val="center"/>
        <w:outlineLvl w:val="2"/>
      </w:pPr>
      <w:r>
        <w:rPr>
          <w:rFonts w:ascii="仿宋_GB2312" w:hAnsi="仿宋_GB2312" w:cs="仿宋_GB2312" w:eastAsia="仿宋_GB2312"/>
          <w:sz w:val="28"/>
          <w:b/>
        </w:rPr>
        <w:t>省建设工会委员会</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省建设工会委员会</w:t>
      </w:r>
      <w:r>
        <w:rPr>
          <w:rFonts w:ascii="仿宋_GB2312" w:hAnsi="仿宋_GB2312" w:cs="仿宋_GB2312" w:eastAsia="仿宋_GB2312"/>
        </w:rPr>
        <w:t>委托，拟对</w:t>
      </w:r>
      <w:r>
        <w:rPr>
          <w:rFonts w:ascii="仿宋_GB2312" w:hAnsi="仿宋_GB2312" w:cs="仿宋_GB2312" w:eastAsia="仿宋_GB2312"/>
        </w:rPr>
        <w:t>5000名建筑业职工及农民工职业健康体检专项活动(二次)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SZT2026-SN-SC-ZC-FW-0528.1B1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5000名建筑业职工及农民工职业健康体检专项活动(二次)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5000名建筑业职工及农民工职业健康体检专项活动。具体内容详见磋商文件第三章。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1、信用查询：供应商未被“信用中国”网站（www.creditchina.gov.cn）列入失信被执行人和重大税收违法失信主体，未被中国政府采购网（www.ccgp.gov.cn）列入政府采购严重违法失信行为记录名单；</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pPr>
      <w:r>
        <w:rPr>
          <w:rFonts w:ascii="仿宋_GB2312" w:hAnsi="仿宋_GB2312" w:cs="仿宋_GB2312" w:eastAsia="仿宋_GB2312"/>
        </w:rPr>
        <w:t>3、供应商资格条件：供应商具备卫生行政部门颁发的《医疗机构执业许可证》和《放射诊疗许可证》。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省建设工会委员会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陕西省西安市莲湖区莲湖路389号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任梦梦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029-87229008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采购包1：1,980,300.00元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代理服务费收费标准：1、招标代理服务费参照《国家计委关于印发&lt;招标代理服务收费管理暂行办法&gt;的通知》（计价格〔2002〕1980号）规定标准收取。在领取中标通知书时向招标代理机构一次性交纳。 2、中标/成交单位在领取成交通知书前，须向采购代理机构一次性支付招标代理服务费。招标代理服务费缴存账户： 开户名称：陕西中技招标有限公司 开户行名称：招商银行西安分行营业部 账号：1299 1681 2810 001 转账事由/备注：(编号后四位）项目招标代理服务费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省建设工会委员会</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省建设工会委员会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省建设工会委员会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详见采购文件内容和合同条款</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国家相应的标准和规范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5000名建筑业职工及农民工职业健康体检专项活动。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1,980,300.00</w:t>
      </w:r>
    </w:p>
    <w:p>
      <w:pPr>
        <w:pStyle w:val="null3"/>
      </w:pPr>
      <w:r>
        <w:rPr>
          <w:rFonts w:ascii="仿宋_GB2312" w:hAnsi="仿宋_GB2312" w:cs="仿宋_GB2312" w:eastAsia="仿宋_GB2312"/>
        </w:rPr>
        <w:t>采购包最高限价（元）: 1,980,300.00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体检服务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1,980,300.00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标的名称：体检服务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333333"/>
              </w:rPr>
              <w:t>本项目为单价报价，</w:t>
            </w:r>
            <w:r>
              <w:rPr>
                <w:rFonts w:ascii="仿宋_GB2312" w:hAnsi="仿宋_GB2312" w:cs="仿宋_GB2312" w:eastAsia="仿宋_GB2312"/>
                <w:sz w:val="24"/>
                <w:b/>
                <w:color w:val="333333"/>
              </w:rPr>
              <w:t>单人体检含税单价最高限价410.00元/人</w:t>
            </w:r>
            <w:r>
              <w:rPr>
                <w:rFonts w:ascii="仿宋_GB2312" w:hAnsi="仿宋_GB2312" w:cs="仿宋_GB2312" w:eastAsia="仿宋_GB2312"/>
                <w:sz w:val="24"/>
                <w:color w:val="333333"/>
              </w:rPr>
              <w:t>，项目最终含税结算总价款最高限额为1,980,300.00元。</w:t>
            </w:r>
          </w:p>
          <w:p>
            <w:pPr>
              <w:pStyle w:val="null3"/>
            </w:pPr>
            <w:r>
              <w:rPr>
                <w:rFonts w:ascii="仿宋_GB2312" w:hAnsi="仿宋_GB2312" w:cs="仿宋_GB2312" w:eastAsia="仿宋_GB2312"/>
                <w:sz w:val="24"/>
                <w:color w:val="333333"/>
              </w:rPr>
              <w:t>服务完成后，</w:t>
            </w:r>
            <w:r>
              <w:rPr>
                <w:rFonts w:ascii="仿宋_GB2312" w:hAnsi="仿宋_GB2312" w:cs="仿宋_GB2312" w:eastAsia="仿宋_GB2312"/>
                <w:sz w:val="24"/>
                <w:b/>
                <w:color w:val="333333"/>
              </w:rPr>
              <w:t>最终含税结算总价款</w:t>
            </w:r>
            <w:r>
              <w:rPr>
                <w:rFonts w:ascii="仿宋_GB2312" w:hAnsi="仿宋_GB2312" w:cs="仿宋_GB2312" w:eastAsia="仿宋_GB2312"/>
                <w:sz w:val="24"/>
                <w:b/>
                <w:color w:val="333333"/>
              </w:rPr>
              <w:t>=实际参加体检的农民工、职工参检人数x中标</w:t>
            </w:r>
            <w:r>
              <w:rPr>
                <w:rFonts w:ascii="仿宋_GB2312" w:hAnsi="仿宋_GB2312" w:cs="仿宋_GB2312" w:eastAsia="仿宋_GB2312"/>
                <w:sz w:val="24"/>
                <w:b/>
                <w:color w:val="333333"/>
              </w:rPr>
              <w:t>含税</w:t>
            </w:r>
            <w:r>
              <w:rPr>
                <w:rFonts w:ascii="仿宋_GB2312" w:hAnsi="仿宋_GB2312" w:cs="仿宋_GB2312" w:eastAsia="仿宋_GB2312"/>
                <w:sz w:val="24"/>
                <w:b/>
                <w:color w:val="333333"/>
              </w:rPr>
              <w:t>单价</w:t>
            </w:r>
            <w:r>
              <w:rPr>
                <w:rFonts w:ascii="仿宋_GB2312" w:hAnsi="仿宋_GB2312" w:cs="仿宋_GB2312" w:eastAsia="仿宋_GB2312"/>
                <w:sz w:val="24"/>
                <w:color w:val="333333"/>
              </w:rPr>
              <w:t>:若按实际参检人数计算得出的总价款未超过</w:t>
            </w:r>
            <w:r>
              <w:rPr>
                <w:rFonts w:ascii="仿宋_GB2312" w:hAnsi="仿宋_GB2312" w:cs="仿宋_GB2312" w:eastAsia="仿宋_GB2312"/>
                <w:sz w:val="24"/>
                <w:color w:val="333333"/>
              </w:rPr>
              <w:t>1,980,300.00</w:t>
            </w:r>
            <w:r>
              <w:rPr>
                <w:rFonts w:ascii="仿宋_GB2312" w:hAnsi="仿宋_GB2312" w:cs="仿宋_GB2312" w:eastAsia="仿宋_GB2312"/>
                <w:sz w:val="24"/>
                <w:color w:val="333333"/>
              </w:rPr>
              <w:t>元，按实际金额据实结算</w:t>
            </w:r>
            <w:r>
              <w:rPr>
                <w:rFonts w:ascii="仿宋_GB2312" w:hAnsi="仿宋_GB2312" w:cs="仿宋_GB2312" w:eastAsia="仿宋_GB2312"/>
                <w:sz w:val="24"/>
                <w:color w:val="333333"/>
              </w:rPr>
              <w:t>;结算总金额不得超过采购</w:t>
            </w:r>
            <w:r>
              <w:rPr>
                <w:rFonts w:ascii="仿宋_GB2312" w:hAnsi="仿宋_GB2312" w:cs="仿宋_GB2312" w:eastAsia="仿宋_GB2312"/>
                <w:sz w:val="24"/>
                <w:color w:val="333333"/>
              </w:rPr>
              <w:t>包</w:t>
            </w:r>
            <w:r>
              <w:rPr>
                <w:rFonts w:ascii="仿宋_GB2312" w:hAnsi="仿宋_GB2312" w:cs="仿宋_GB2312" w:eastAsia="仿宋_GB2312"/>
                <w:sz w:val="24"/>
                <w:color w:val="333333"/>
              </w:rPr>
              <w:t>预算金额或最高限价金额。</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场所设置要求</w:t>
            </w:r>
          </w:p>
          <w:p>
            <w:pPr>
              <w:pStyle w:val="null3"/>
              <w:ind w:firstLine="256"/>
              <w:jc w:val="left"/>
            </w:pPr>
            <w:r>
              <w:rPr>
                <w:rFonts w:ascii="仿宋_GB2312" w:hAnsi="仿宋_GB2312" w:cs="仿宋_GB2312" w:eastAsia="仿宋_GB2312"/>
                <w:sz w:val="24"/>
                <w:color w:val="000000"/>
              </w:rPr>
              <w:t>1.1农民工及职工体检须</w:t>
            </w:r>
            <w:r>
              <w:rPr>
                <w:rFonts w:ascii="仿宋_GB2312" w:hAnsi="仿宋_GB2312" w:cs="仿宋_GB2312" w:eastAsia="仿宋_GB2312"/>
                <w:sz w:val="24"/>
                <w:color w:val="000000"/>
              </w:rPr>
              <w:t>设置在医疗机构内或</w:t>
            </w:r>
            <w:r>
              <w:rPr>
                <w:rFonts w:ascii="仿宋_GB2312" w:hAnsi="仿宋_GB2312" w:cs="仿宋_GB2312" w:eastAsia="仿宋_GB2312"/>
                <w:sz w:val="24"/>
                <w:color w:val="000000"/>
              </w:rPr>
              <w:t>户外工地厂区内（以院外流动体检形式为主）。</w:t>
            </w:r>
          </w:p>
          <w:p>
            <w:pPr>
              <w:pStyle w:val="null3"/>
              <w:ind w:firstLine="256"/>
              <w:jc w:val="left"/>
            </w:pPr>
            <w:r>
              <w:rPr>
                <w:rFonts w:ascii="仿宋_GB2312" w:hAnsi="仿宋_GB2312" w:cs="仿宋_GB2312" w:eastAsia="仿宋_GB2312"/>
                <w:sz w:val="24"/>
                <w:color w:val="000000"/>
              </w:rPr>
              <w:t>1.2室内候诊区须容纳服务期内单批次最高体检人员数量进行体检；</w:t>
            </w:r>
          </w:p>
          <w:p>
            <w:pPr>
              <w:pStyle w:val="null3"/>
              <w:ind w:firstLine="256"/>
              <w:jc w:val="left"/>
            </w:pPr>
            <w:r>
              <w:rPr>
                <w:rFonts w:ascii="仿宋_GB2312" w:hAnsi="仿宋_GB2312" w:cs="仿宋_GB2312" w:eastAsia="仿宋_GB2312"/>
                <w:sz w:val="24"/>
                <w:color w:val="000000"/>
              </w:rPr>
              <w:t>1.3供应商需提供合规营运大巴车辆，专项用于农民工、职工往返体检点位接送工作；服务管辖区域为西安市全域及西安市下辖各区、各县行政辖区范围内；本次体检专项接送总服务频次不少于25次，单次统计标准为一趟往返（出发至体检点和体检完毕返程）。</w:t>
            </w:r>
          </w:p>
          <w:p>
            <w:pPr>
              <w:pStyle w:val="null3"/>
              <w:ind w:firstLine="256"/>
              <w:jc w:val="left"/>
            </w:pPr>
            <w:r>
              <w:rPr>
                <w:rFonts w:ascii="仿宋_GB2312" w:hAnsi="仿宋_GB2312" w:cs="仿宋_GB2312" w:eastAsia="仿宋_GB2312"/>
                <w:sz w:val="24"/>
                <w:color w:val="000000"/>
              </w:rPr>
              <w:t>1.4院外流动体检车须具备完成所有体检项目的功能。</w:t>
            </w:r>
          </w:p>
          <w:p>
            <w:pPr>
              <w:pStyle w:val="null3"/>
              <w:ind w:firstLine="256"/>
              <w:jc w:val="left"/>
            </w:pPr>
            <w:r>
              <w:rPr>
                <w:rFonts w:ascii="仿宋_GB2312" w:hAnsi="仿宋_GB2312" w:cs="仿宋_GB2312" w:eastAsia="仿宋_GB2312"/>
                <w:sz w:val="24"/>
                <w:color w:val="000000"/>
              </w:rPr>
              <w:t>1.5供应商须单独设置X线骨密度和智能眼底相机检查室各1间；</w:t>
            </w:r>
          </w:p>
          <w:p>
            <w:pPr>
              <w:pStyle w:val="null3"/>
              <w:ind w:firstLine="256"/>
              <w:jc w:val="left"/>
            </w:pPr>
            <w:r>
              <w:rPr>
                <w:rFonts w:ascii="仿宋_GB2312" w:hAnsi="仿宋_GB2312" w:cs="仿宋_GB2312" w:eastAsia="仿宋_GB2312"/>
                <w:sz w:val="24"/>
                <w:color w:val="000000"/>
              </w:rPr>
              <w:t>1.6固定和流动</w:t>
            </w:r>
            <w:r>
              <w:rPr>
                <w:rFonts w:ascii="仿宋_GB2312" w:hAnsi="仿宋_GB2312" w:cs="仿宋_GB2312" w:eastAsia="仿宋_GB2312"/>
                <w:sz w:val="24"/>
                <w:color w:val="000000"/>
              </w:rPr>
              <w:t>体检场所应</w:t>
            </w:r>
            <w:r>
              <w:rPr>
                <w:rFonts w:ascii="仿宋_GB2312" w:hAnsi="仿宋_GB2312" w:cs="仿宋_GB2312" w:eastAsia="仿宋_GB2312"/>
                <w:sz w:val="24"/>
                <w:color w:val="000000"/>
              </w:rPr>
              <w:t>达到</w:t>
            </w:r>
            <w:r>
              <w:rPr>
                <w:rFonts w:ascii="仿宋_GB2312" w:hAnsi="仿宋_GB2312" w:cs="仿宋_GB2312" w:eastAsia="仿宋_GB2312"/>
                <w:sz w:val="24"/>
                <w:color w:val="000000"/>
              </w:rPr>
              <w:t>《</w:t>
            </w:r>
            <w:r>
              <w:rPr>
                <w:rFonts w:ascii="仿宋_GB2312" w:hAnsi="仿宋_GB2312" w:cs="仿宋_GB2312" w:eastAsia="仿宋_GB2312"/>
                <w:sz w:val="24"/>
                <w:color w:val="000000"/>
              </w:rPr>
              <w:t>医疗机构</w:t>
            </w:r>
            <w:r>
              <w:rPr>
                <w:rFonts w:ascii="仿宋_GB2312" w:hAnsi="仿宋_GB2312" w:cs="仿宋_GB2312" w:eastAsia="仿宋_GB2312"/>
                <w:sz w:val="24"/>
                <w:color w:val="000000"/>
              </w:rPr>
              <w:t>消毒技术规范》的</w:t>
            </w:r>
            <w:r>
              <w:rPr>
                <w:rFonts w:ascii="仿宋_GB2312" w:hAnsi="仿宋_GB2312" w:cs="仿宋_GB2312" w:eastAsia="仿宋_GB2312"/>
                <w:sz w:val="24"/>
                <w:color w:val="000000"/>
              </w:rPr>
              <w:t>相关</w:t>
            </w:r>
            <w:r>
              <w:rPr>
                <w:rFonts w:ascii="仿宋_GB2312" w:hAnsi="仿宋_GB2312" w:cs="仿宋_GB2312" w:eastAsia="仿宋_GB2312"/>
                <w:sz w:val="24"/>
                <w:color w:val="000000"/>
              </w:rPr>
              <w:t>要求，符合《</w:t>
            </w:r>
            <w:r>
              <w:rPr>
                <w:rFonts w:ascii="仿宋_GB2312" w:hAnsi="仿宋_GB2312" w:cs="仿宋_GB2312" w:eastAsia="仿宋_GB2312"/>
                <w:sz w:val="24"/>
                <w:color w:val="000000"/>
              </w:rPr>
              <w:t>供应商</w:t>
            </w:r>
            <w:r>
              <w:rPr>
                <w:rFonts w:ascii="仿宋_GB2312" w:hAnsi="仿宋_GB2312" w:cs="仿宋_GB2312" w:eastAsia="仿宋_GB2312"/>
                <w:sz w:val="24"/>
                <w:color w:val="000000"/>
              </w:rPr>
              <w:t>消毒卫生标准（</w:t>
            </w:r>
            <w:r>
              <w:rPr>
                <w:rFonts w:ascii="仿宋_GB2312" w:hAnsi="仿宋_GB2312" w:cs="仿宋_GB2312" w:eastAsia="仿宋_GB2312"/>
                <w:sz w:val="24"/>
                <w:color w:val="000000"/>
              </w:rPr>
              <w:t>GB15982</w:t>
            </w:r>
            <w:r>
              <w:rPr>
                <w:rFonts w:ascii="仿宋_GB2312" w:hAnsi="仿宋_GB2312" w:cs="仿宋_GB2312" w:eastAsia="仿宋_GB2312"/>
                <w:sz w:val="24"/>
                <w:color w:val="000000"/>
              </w:rPr>
              <w:t>-2012</w:t>
            </w:r>
            <w:r>
              <w:rPr>
                <w:rFonts w:ascii="仿宋_GB2312" w:hAnsi="仿宋_GB2312" w:cs="仿宋_GB2312" w:eastAsia="仿宋_GB2312"/>
                <w:sz w:val="24"/>
                <w:color w:val="000000"/>
              </w:rPr>
              <w:t>）》中三类环境的消毒卫生标准，保证卫生安全。</w:t>
            </w:r>
          </w:p>
          <w:p>
            <w:pPr>
              <w:pStyle w:val="null3"/>
              <w:ind w:firstLine="256"/>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医疗废物处理应符合国务院《医疗废物管理条例》的规定。生物样本的采集和留存应符合国家有关卫生标准的规定和相关检验技术规范的要求；生物样本的运输应按照国家相关规定执行。</w:t>
            </w:r>
          </w:p>
          <w:p>
            <w:pPr>
              <w:pStyle w:val="null3"/>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血项检验时效性要求</w:t>
            </w:r>
          </w:p>
          <w:p>
            <w:pPr>
              <w:pStyle w:val="null3"/>
              <w:ind w:firstLine="256"/>
              <w:jc w:val="left"/>
            </w:pPr>
            <w:r>
              <w:rPr>
                <w:rFonts w:ascii="仿宋_GB2312" w:hAnsi="仿宋_GB2312" w:cs="仿宋_GB2312" w:eastAsia="仿宋_GB2312"/>
                <w:sz w:val="24"/>
                <w:color w:val="000000"/>
              </w:rPr>
              <w:t>外检血液标本，特殊情况下，须在</w:t>
            </w:r>
            <w:r>
              <w:rPr>
                <w:rFonts w:ascii="仿宋_GB2312" w:hAnsi="仿宋_GB2312" w:cs="仿宋_GB2312" w:eastAsia="仿宋_GB2312"/>
                <w:sz w:val="24"/>
                <w:color w:val="000000"/>
              </w:rPr>
              <w:t>4~8小时内出具血液检测结果。</w:t>
            </w:r>
          </w:p>
          <w:p>
            <w:pPr>
              <w:pStyle w:val="null3"/>
              <w:jc w:val="left"/>
            </w:pPr>
            <w:r>
              <w:rPr>
                <w:rFonts w:ascii="仿宋_GB2312" w:hAnsi="仿宋_GB2312" w:cs="仿宋_GB2312" w:eastAsia="仿宋_GB2312"/>
                <w:sz w:val="24"/>
                <w:b/>
                <w:color w:val="000000"/>
              </w:rPr>
              <w:t>3.体检设备要求</w:t>
            </w:r>
          </w:p>
          <w:p>
            <w:pPr>
              <w:pStyle w:val="null3"/>
              <w:ind w:firstLine="256"/>
              <w:jc w:val="left"/>
            </w:pPr>
            <w:r>
              <w:rPr>
                <w:rFonts w:ascii="仿宋_GB2312" w:hAnsi="仿宋_GB2312" w:cs="仿宋_GB2312" w:eastAsia="仿宋_GB2312"/>
                <w:sz w:val="24"/>
                <w:color w:val="000000"/>
              </w:rPr>
              <w:t>3.1具有体检专用设备，且覆盖本次体检所有内容。</w:t>
            </w:r>
          </w:p>
          <w:p>
            <w:pPr>
              <w:pStyle w:val="null3"/>
              <w:ind w:firstLine="256"/>
              <w:jc w:val="left"/>
            </w:pPr>
            <w:r>
              <w:rPr>
                <w:rFonts w:ascii="仿宋_GB2312" w:hAnsi="仿宋_GB2312" w:cs="仿宋_GB2312" w:eastAsia="仿宋_GB2312"/>
                <w:sz w:val="24"/>
                <w:color w:val="000000"/>
              </w:rPr>
              <w:t>3.2供应商须配备车载DR车或车载体检车辆或其他类型的综合体检车辆且体检车辆的功能必须覆盖本次体检所有内容。</w:t>
            </w:r>
          </w:p>
          <w:p>
            <w:pPr>
              <w:pStyle w:val="null3"/>
              <w:jc w:val="left"/>
            </w:pPr>
            <w:r>
              <w:rPr>
                <w:rFonts w:ascii="仿宋_GB2312" w:hAnsi="仿宋_GB2312" w:cs="仿宋_GB2312" w:eastAsia="仿宋_GB2312"/>
                <w:sz w:val="24"/>
                <w:b/>
                <w:color w:val="000000"/>
              </w:rPr>
              <w:t>4.人员要求</w:t>
            </w:r>
          </w:p>
          <w:p>
            <w:pPr>
              <w:pStyle w:val="null3"/>
              <w:ind w:firstLine="256"/>
              <w:jc w:val="left"/>
            </w:pPr>
            <w:r>
              <w:rPr>
                <w:rFonts w:ascii="仿宋_GB2312" w:hAnsi="仿宋_GB2312" w:cs="仿宋_GB2312" w:eastAsia="仿宋_GB2312"/>
                <w:sz w:val="24"/>
                <w:color w:val="000000"/>
              </w:rPr>
              <w:t>4.1所有体检项目均由具有相应资质或经验的人员负责。</w:t>
            </w:r>
          </w:p>
          <w:p>
            <w:pPr>
              <w:pStyle w:val="null3"/>
              <w:jc w:val="left"/>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服务要求</w:t>
            </w:r>
          </w:p>
          <w:p>
            <w:pPr>
              <w:pStyle w:val="null3"/>
              <w:ind w:firstLine="256"/>
              <w:jc w:val="left"/>
            </w:pPr>
            <w:r>
              <w:rPr>
                <w:rFonts w:ascii="仿宋_GB2312" w:hAnsi="仿宋_GB2312" w:cs="仿宋_GB2312" w:eastAsia="仿宋_GB2312"/>
                <w:sz w:val="24"/>
                <w:color w:val="000000"/>
              </w:rPr>
              <w:t>5.1供应商须在45日历日内完成全部体检服务。</w:t>
            </w:r>
          </w:p>
          <w:p>
            <w:pPr>
              <w:pStyle w:val="null3"/>
              <w:ind w:firstLine="256"/>
              <w:jc w:val="left"/>
            </w:pPr>
            <w:r>
              <w:rPr>
                <w:rFonts w:ascii="仿宋_GB2312" w:hAnsi="仿宋_GB2312" w:cs="仿宋_GB2312" w:eastAsia="仿宋_GB2312"/>
                <w:sz w:val="24"/>
                <w:color w:val="000000"/>
              </w:rPr>
              <w:t>5.2体检医疗机构须建立电子健康档案，具有相应的体检信息管理系统可进行体检预约和体检信息查询等功能。</w:t>
            </w:r>
          </w:p>
          <w:p>
            <w:pPr>
              <w:pStyle w:val="null3"/>
              <w:ind w:firstLine="256"/>
              <w:jc w:val="left"/>
            </w:pPr>
            <w:r>
              <w:rPr>
                <w:rFonts w:ascii="仿宋_GB2312" w:hAnsi="仿宋_GB2312" w:cs="仿宋_GB2312" w:eastAsia="仿宋_GB2312"/>
                <w:sz w:val="24"/>
                <w:color w:val="000000"/>
              </w:rPr>
              <w:t>5.3针对厂区、户外工地等位置偏远、交通不便的参检人员，供应商须配套提供足量医护人员、体检设备及专用车辆上门接送服务，保障全体人员顺利完成体检。</w:t>
            </w:r>
          </w:p>
          <w:p>
            <w:pPr>
              <w:pStyle w:val="null3"/>
              <w:ind w:firstLine="256"/>
              <w:jc w:val="left"/>
            </w:pPr>
            <w:r>
              <w:rPr>
                <w:rFonts w:ascii="仿宋_GB2312" w:hAnsi="仿宋_GB2312" w:cs="仿宋_GB2312" w:eastAsia="仿宋_GB2312"/>
                <w:sz w:val="24"/>
                <w:color w:val="000000"/>
              </w:rPr>
              <w:t>5.4供应商应在体检结束后7日内，向采购人提交纸质版体检报告，纸质版体检报告须进行密封装订，体检结束15日内向采购人提供所查人员的疾患名单和疾病汇总分析；体检单位应进行一次上门体检报告解析答疑。</w:t>
            </w:r>
          </w:p>
          <w:p>
            <w:pPr>
              <w:pStyle w:val="null3"/>
              <w:ind w:firstLine="256"/>
              <w:jc w:val="left"/>
            </w:pPr>
            <w:r>
              <w:rPr>
                <w:rFonts w:ascii="仿宋_GB2312" w:hAnsi="仿宋_GB2312" w:cs="仿宋_GB2312" w:eastAsia="仿宋_GB2312"/>
                <w:sz w:val="24"/>
                <w:color w:val="000000"/>
              </w:rPr>
              <w:t>5.5供应商应提前告知特殊体检项目的详细要求和注意事项（如B超、心电图等）。</w:t>
            </w:r>
          </w:p>
          <w:p>
            <w:pPr>
              <w:pStyle w:val="null3"/>
              <w:ind w:firstLine="256"/>
              <w:jc w:val="left"/>
            </w:pPr>
            <w:r>
              <w:rPr>
                <w:rFonts w:ascii="仿宋_GB2312" w:hAnsi="仿宋_GB2312" w:cs="仿宋_GB2312" w:eastAsia="仿宋_GB2312"/>
                <w:sz w:val="24"/>
                <w:color w:val="000000"/>
              </w:rPr>
              <w:t>5.6</w:t>
            </w:r>
            <w:r>
              <w:rPr>
                <w:rFonts w:ascii="仿宋_GB2312" w:hAnsi="仿宋_GB2312" w:cs="仿宋_GB2312" w:eastAsia="仿宋_GB2312"/>
                <w:sz w:val="24"/>
                <w:color w:val="000000"/>
              </w:rPr>
              <w:t>对体检套餐项目以外有其他体检项目需求的</w:t>
            </w:r>
            <w:r>
              <w:rPr>
                <w:rFonts w:ascii="仿宋_GB2312" w:hAnsi="仿宋_GB2312" w:cs="仿宋_GB2312" w:eastAsia="仿宋_GB2312"/>
                <w:sz w:val="24"/>
                <w:color w:val="000000"/>
              </w:rPr>
              <w:t>农民工及</w:t>
            </w:r>
            <w:r>
              <w:rPr>
                <w:rFonts w:ascii="仿宋_GB2312" w:hAnsi="仿宋_GB2312" w:cs="仿宋_GB2312" w:eastAsia="仿宋_GB2312"/>
                <w:sz w:val="24"/>
                <w:color w:val="000000"/>
              </w:rPr>
              <w:t>职工给予折扣价（提供折扣率）</w:t>
            </w:r>
          </w:p>
          <w:p>
            <w:pPr>
              <w:pStyle w:val="null3"/>
              <w:ind w:firstLine="240"/>
              <w:jc w:val="left"/>
            </w:pPr>
            <w:r>
              <w:rPr>
                <w:rFonts w:ascii="仿宋_GB2312" w:hAnsi="仿宋_GB2312" w:cs="仿宋_GB2312" w:eastAsia="仿宋_GB2312"/>
                <w:sz w:val="24"/>
                <w:color w:val="000000"/>
              </w:rPr>
              <w:t>5.7</w:t>
            </w:r>
            <w:r>
              <w:rPr>
                <w:rFonts w:ascii="仿宋_GB2312" w:hAnsi="仿宋_GB2312" w:cs="仿宋_GB2312" w:eastAsia="仿宋_GB2312"/>
                <w:sz w:val="24"/>
                <w:color w:val="000000"/>
              </w:rPr>
              <w:t>体检机构当日体检结束后提供早餐</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b/>
                <w:color w:val="000000"/>
              </w:rPr>
              <w:t>6、付款方式</w:t>
            </w:r>
          </w:p>
          <w:p>
            <w:pPr>
              <w:pStyle w:val="null3"/>
              <w:ind w:firstLine="512"/>
              <w:jc w:val="left"/>
            </w:pPr>
            <w:r>
              <w:rPr>
                <w:rFonts w:ascii="仿宋_GB2312" w:hAnsi="仿宋_GB2312" w:cs="仿宋_GB2312" w:eastAsia="仿宋_GB2312"/>
                <w:sz w:val="24"/>
                <w:color w:val="000000"/>
              </w:rPr>
              <w:t>服务完成后，按照实际参加体检的农民工及职工人数和体检项目据实结算。</w:t>
            </w:r>
            <w:r>
              <w:rPr>
                <w:rFonts w:ascii="仿宋_GB2312" w:hAnsi="仿宋_GB2312" w:cs="仿宋_GB2312" w:eastAsia="仿宋_GB2312"/>
                <w:sz w:val="24"/>
                <w:color w:val="000000"/>
              </w:rPr>
              <w:t>达到付款条件起</w:t>
            </w:r>
            <w:r>
              <w:rPr>
                <w:rFonts w:ascii="仿宋_GB2312" w:hAnsi="仿宋_GB2312" w:cs="仿宋_GB2312" w:eastAsia="仿宋_GB2312"/>
                <w:sz w:val="24"/>
                <w:color w:val="000000"/>
              </w:rPr>
              <w:t>15日内，根据结算金额一次性全额公对公转账。</w:t>
            </w:r>
            <w:r>
              <w:rPr>
                <w:rFonts w:ascii="仿宋_GB2312" w:hAnsi="仿宋_GB2312" w:cs="仿宋_GB2312" w:eastAsia="仿宋_GB2312"/>
                <w:sz w:val="24"/>
                <w:color w:val="000000"/>
              </w:rPr>
              <w:t>投标报价包括体检所需的一次性消耗品费、检验费、人工费等一切费用，结算时按实际体检人数</w:t>
            </w:r>
            <w:r>
              <w:rPr>
                <w:rFonts w:ascii="仿宋_GB2312" w:hAnsi="仿宋_GB2312" w:cs="仿宋_GB2312" w:eastAsia="仿宋_GB2312"/>
                <w:sz w:val="24"/>
                <w:color w:val="000000"/>
              </w:rPr>
              <w:t>×中标（成交）单价计算出实际体检费用。</w:t>
            </w:r>
          </w:p>
          <w:p>
            <w:pPr>
              <w:pStyle w:val="null3"/>
              <w:jc w:val="left"/>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其他</w:t>
            </w:r>
          </w:p>
          <w:p>
            <w:pPr>
              <w:pStyle w:val="null3"/>
              <w:jc w:val="left"/>
            </w:pPr>
            <w:r>
              <w:rPr>
                <w:rFonts w:ascii="仿宋_GB2312" w:hAnsi="仿宋_GB2312" w:cs="仿宋_GB2312" w:eastAsia="仿宋_GB2312"/>
                <w:sz w:val="24"/>
                <w:color w:val="000000"/>
              </w:rPr>
              <w:t>7.1.供应商应当安排应急转运车</w:t>
            </w:r>
            <w:r>
              <w:rPr>
                <w:rFonts w:ascii="仿宋_GB2312" w:hAnsi="仿宋_GB2312" w:cs="仿宋_GB2312" w:eastAsia="仿宋_GB2312"/>
                <w:sz w:val="24"/>
                <w:color w:val="000000"/>
              </w:rPr>
              <w:t>（救护车）</w:t>
            </w:r>
            <w:r>
              <w:rPr>
                <w:rFonts w:ascii="仿宋_GB2312" w:hAnsi="仿宋_GB2312" w:cs="仿宋_GB2312" w:eastAsia="仿宋_GB2312"/>
                <w:sz w:val="24"/>
                <w:color w:val="000000"/>
              </w:rPr>
              <w:t>3-4辆，有良好的内务管理，</w:t>
            </w:r>
            <w:r>
              <w:rPr>
                <w:rFonts w:ascii="仿宋_GB2312" w:hAnsi="仿宋_GB2312" w:cs="仿宋_GB2312" w:eastAsia="仿宋_GB2312"/>
                <w:sz w:val="24"/>
                <w:color w:val="000000"/>
              </w:rPr>
              <w:t>检查仪器放置合理，便于操作，配有必要的急救、消毒、防污染、防火、控制进入等安全措施。</w:t>
            </w:r>
          </w:p>
          <w:p>
            <w:pPr>
              <w:pStyle w:val="null3"/>
              <w:jc w:val="left"/>
            </w:pPr>
            <w:r>
              <w:rPr>
                <w:rFonts w:ascii="仿宋_GB2312" w:hAnsi="仿宋_GB2312" w:cs="仿宋_GB2312" w:eastAsia="仿宋_GB2312"/>
                <w:sz w:val="24"/>
                <w:color w:val="000000"/>
              </w:rPr>
              <w:t>7.2.供应商应当编制质量管理体系文件，并严格开展质量控制。</w:t>
            </w:r>
          </w:p>
          <w:p>
            <w:pPr>
              <w:pStyle w:val="null3"/>
              <w:jc w:val="left"/>
            </w:pPr>
            <w:r>
              <w:rPr>
                <w:rFonts w:ascii="仿宋_GB2312" w:hAnsi="仿宋_GB2312" w:cs="仿宋_GB2312" w:eastAsia="仿宋_GB2312"/>
                <w:sz w:val="24"/>
                <w:color w:val="000000"/>
              </w:rPr>
              <w:t>7.3.</w:t>
            </w:r>
            <w:r>
              <w:rPr>
                <w:rFonts w:ascii="仿宋_GB2312" w:hAnsi="仿宋_GB2312" w:cs="仿宋_GB2312" w:eastAsia="仿宋_GB2312"/>
                <w:sz w:val="24"/>
                <w:color w:val="000000"/>
              </w:rPr>
              <w:t>体检机构在体检地点现场设有专人值班，耐心细致地做好宣传解释工作。体检结果及建议详实、可靠、具有指导性和现实操作性。</w:t>
            </w:r>
          </w:p>
          <w:p>
            <w:pPr>
              <w:pStyle w:val="null3"/>
              <w:jc w:val="left"/>
            </w:pPr>
            <w:r>
              <w:rPr>
                <w:rFonts w:ascii="仿宋_GB2312" w:hAnsi="仿宋_GB2312" w:cs="仿宋_GB2312" w:eastAsia="仿宋_GB2312"/>
                <w:sz w:val="24"/>
                <w:color w:val="000000"/>
              </w:rPr>
              <w:t>7.4.</w:t>
            </w:r>
            <w:r>
              <w:rPr>
                <w:rFonts w:ascii="仿宋_GB2312" w:hAnsi="仿宋_GB2312" w:cs="仿宋_GB2312" w:eastAsia="仿宋_GB2312"/>
                <w:sz w:val="24"/>
                <w:color w:val="000000"/>
              </w:rPr>
              <w:t>在体检过程中如出现体检纠纷，双方需友好协商解决。经协商未能达成一致时双方均可经医疗鉴定确定责任，鉴定结果对双方均有约束力。</w:t>
            </w:r>
          </w:p>
          <w:p>
            <w:pPr>
              <w:pStyle w:val="null3"/>
              <w:jc w:val="left"/>
            </w:pPr>
            <w:r>
              <w:rPr>
                <w:rFonts w:ascii="仿宋_GB2312" w:hAnsi="仿宋_GB2312" w:cs="仿宋_GB2312" w:eastAsia="仿宋_GB2312"/>
                <w:sz w:val="24"/>
                <w:color w:val="000000"/>
              </w:rPr>
              <w:t>7.5.</w:t>
            </w:r>
            <w:r>
              <w:rPr>
                <w:rFonts w:ascii="仿宋_GB2312" w:hAnsi="仿宋_GB2312" w:cs="仿宋_GB2312" w:eastAsia="仿宋_GB2312"/>
                <w:sz w:val="24"/>
                <w:color w:val="000000"/>
              </w:rPr>
              <w:t>确保后续服务。对体检结果有异常者提供专家预约、就诊、住院绿色通道；对体检发现的危急重症患者提供急救及转诊绿色通道。</w:t>
            </w:r>
          </w:p>
          <w:p>
            <w:pPr>
              <w:pStyle w:val="null3"/>
              <w:jc w:val="left"/>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提供相关应急预案（不限于晕针晕血、低血糖等预案）</w:t>
            </w:r>
          </w:p>
          <w:p>
            <w:pPr>
              <w:pStyle w:val="null3"/>
              <w:spacing w:before="225"/>
              <w:jc w:val="left"/>
            </w:pPr>
            <w:r>
              <w:rPr>
                <w:rFonts w:ascii="仿宋_GB2312" w:hAnsi="仿宋_GB2312" w:cs="仿宋_GB2312" w:eastAsia="仿宋_GB2312"/>
                <w:sz w:val="24"/>
                <w:b/>
                <w:color w:val="000000"/>
              </w:rPr>
              <w:t>9、本次体检项目如下：</w:t>
            </w:r>
          </w:p>
          <w:tbl>
            <w:tblPr>
              <w:tblBorders>
                <w:top w:val="none" w:color="000000" w:sz="4"/>
                <w:left w:val="none" w:color="000000" w:sz="4"/>
                <w:bottom w:val="none" w:color="000000" w:sz="4"/>
                <w:right w:val="none" w:color="000000" w:sz="4"/>
                <w:insideH w:val="none"/>
                <w:insideV w:val="none"/>
              </w:tblBorders>
            </w:tblPr>
            <w:tblGrid>
              <w:gridCol w:w="235"/>
              <w:gridCol w:w="650"/>
              <w:gridCol w:w="1667"/>
            </w:tblGrid>
            <w:tr>
              <w:tc>
                <w:tcPr>
                  <w:tcW w:type="dxa" w:w="2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rPr>
                    <w:t>序号</w:t>
                  </w:r>
                </w:p>
              </w:tc>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rPr>
                    <w:t>类别</w:t>
                  </w:r>
                </w:p>
              </w:tc>
              <w:tc>
                <w:tcPr>
                  <w:tcW w:type="dxa" w:w="1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rPr>
                    <w:t>体检项目</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1.</w:t>
                  </w:r>
                </w:p>
              </w:tc>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color w:val="000000"/>
                    </w:rPr>
                    <w:t>其它检查</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ind w:left="120"/>
                  </w:pPr>
                  <w:r>
                    <w:rPr>
                      <w:rFonts w:ascii="仿宋_GB2312" w:hAnsi="仿宋_GB2312" w:cs="仿宋_GB2312" w:eastAsia="仿宋_GB2312"/>
                      <w:sz w:val="24"/>
                    </w:rPr>
                    <w:t>身高体重血压</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2.</w:t>
                  </w:r>
                </w:p>
              </w:tc>
              <w:tc>
                <w:tcPr>
                  <w:tcW w:type="dxa" w:w="650"/>
                  <w:vMerge/>
                  <w:tcBorders>
                    <w:top w:val="none" w:color="000000" w:sz="4"/>
                    <w:left w:val="single" w:color="000000" w:sz="4"/>
                    <w:bottom w:val="single" w:color="000000" w:sz="4"/>
                    <w:right w:val="single" w:color="000000" w:sz="4"/>
                  </w:tcBorders>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ind w:left="120"/>
                  </w:pPr>
                  <w:r>
                    <w:rPr>
                      <w:rFonts w:ascii="仿宋_GB2312" w:hAnsi="仿宋_GB2312" w:cs="仿宋_GB2312" w:eastAsia="仿宋_GB2312"/>
                      <w:sz w:val="24"/>
                    </w:rPr>
                    <w:t>人工智能眼底相机</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3.</w:t>
                  </w:r>
                </w:p>
              </w:tc>
              <w:tc>
                <w:tcPr>
                  <w:tcW w:type="dxa" w:w="650"/>
                  <w:vMerge/>
                  <w:tcBorders>
                    <w:top w:val="none" w:color="000000" w:sz="4"/>
                    <w:left w:val="single" w:color="000000" w:sz="4"/>
                    <w:bottom w:val="single" w:color="000000" w:sz="4"/>
                    <w:right w:val="single" w:color="000000" w:sz="4"/>
                  </w:tcBorders>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ind w:left="105"/>
                  </w:pPr>
                  <w:r>
                    <w:rPr>
                      <w:rFonts w:ascii="仿宋_GB2312" w:hAnsi="仿宋_GB2312" w:cs="仿宋_GB2312" w:eastAsia="仿宋_GB2312"/>
                      <w:sz w:val="24"/>
                    </w:rPr>
                    <w:t>X线骨密度</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4.</w:t>
                  </w:r>
                </w:p>
              </w:tc>
              <w:tc>
                <w:tcPr>
                  <w:tcW w:type="dxa" w:w="65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color w:val="000000"/>
                    </w:rPr>
                    <w:t>采血</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ind w:left="120"/>
                  </w:pPr>
                  <w:r>
                    <w:rPr>
                      <w:rFonts w:ascii="仿宋_GB2312" w:hAnsi="仿宋_GB2312" w:cs="仿宋_GB2312" w:eastAsia="仿宋_GB2312"/>
                      <w:sz w:val="24"/>
                    </w:rPr>
                    <w:t>肝功五项</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5.</w:t>
                  </w:r>
                </w:p>
              </w:tc>
              <w:tc>
                <w:tcPr>
                  <w:tcW w:type="dxa" w:w="650"/>
                  <w:vMerge/>
                  <w:tcBorders>
                    <w:top w:val="none" w:color="000000" w:sz="4"/>
                    <w:left w:val="single" w:color="000000" w:sz="4"/>
                    <w:bottom w:val="single" w:color="000000" w:sz="4"/>
                    <w:right w:val="single" w:color="000000" w:sz="4"/>
                  </w:tcBorders>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ind w:left="135"/>
                  </w:pPr>
                  <w:r>
                    <w:rPr>
                      <w:rFonts w:ascii="仿宋_GB2312" w:hAnsi="仿宋_GB2312" w:cs="仿宋_GB2312" w:eastAsia="仿宋_GB2312"/>
                      <w:sz w:val="24"/>
                    </w:rPr>
                    <w:t>肾功四项</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6.</w:t>
                  </w:r>
                </w:p>
              </w:tc>
              <w:tc>
                <w:tcPr>
                  <w:tcW w:type="dxa" w:w="650"/>
                  <w:vMerge/>
                  <w:tcBorders>
                    <w:top w:val="none" w:color="000000" w:sz="4"/>
                    <w:left w:val="single" w:color="000000" w:sz="4"/>
                    <w:bottom w:val="single" w:color="000000" w:sz="4"/>
                    <w:right w:val="single" w:color="000000" w:sz="4"/>
                  </w:tcBorders>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75"/>
                    <w:ind w:left="120"/>
                  </w:pPr>
                  <w:r>
                    <w:rPr>
                      <w:rFonts w:ascii="仿宋_GB2312" w:hAnsi="仿宋_GB2312" w:cs="仿宋_GB2312" w:eastAsia="仿宋_GB2312"/>
                      <w:sz w:val="24"/>
                    </w:rPr>
                    <w:t>血常规五分类</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7.</w:t>
                  </w:r>
                </w:p>
              </w:tc>
              <w:tc>
                <w:tcPr>
                  <w:tcW w:type="dxa" w:w="650"/>
                  <w:vMerge/>
                  <w:tcBorders>
                    <w:top w:val="none" w:color="000000" w:sz="4"/>
                    <w:left w:val="single" w:color="000000" w:sz="4"/>
                    <w:bottom w:val="single" w:color="000000" w:sz="4"/>
                    <w:right w:val="single" w:color="000000" w:sz="4"/>
                  </w:tcBorders>
                </w:tcP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ind w:left="105"/>
                  </w:pPr>
                  <w:r>
                    <w:rPr>
                      <w:rFonts w:ascii="仿宋_GB2312" w:hAnsi="仿宋_GB2312" w:cs="仿宋_GB2312" w:eastAsia="仿宋_GB2312"/>
                      <w:sz w:val="24"/>
                    </w:rPr>
                    <w:t>空腹血糖</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8.</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color w:val="000000"/>
                    </w:rPr>
                    <w:t>B</w:t>
                  </w:r>
                  <w:r>
                    <w:rPr>
                      <w:rFonts w:ascii="仿宋_GB2312" w:hAnsi="仿宋_GB2312" w:cs="仿宋_GB2312" w:eastAsia="仿宋_GB2312"/>
                      <w:sz w:val="20"/>
                      <w:color w:val="000000"/>
                    </w:rPr>
                    <w:t xml:space="preserve"> </w:t>
                  </w:r>
                  <w:r>
                    <w:rPr>
                      <w:rFonts w:ascii="仿宋_GB2312" w:hAnsi="仿宋_GB2312" w:cs="仿宋_GB2312" w:eastAsia="仿宋_GB2312"/>
                      <w:sz w:val="24"/>
                      <w:color w:val="000000"/>
                    </w:rPr>
                    <w:t>超</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ind w:left="105"/>
                  </w:pPr>
                  <w:r>
                    <w:rPr>
                      <w:rFonts w:ascii="仿宋_GB2312" w:hAnsi="仿宋_GB2312" w:cs="仿宋_GB2312" w:eastAsia="仿宋_GB2312"/>
                      <w:sz w:val="24"/>
                    </w:rPr>
                    <w:t>腹部彩色多普勒（肝胆胰脾）</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ind w:left="420"/>
                    <w:jc w:val="left"/>
                  </w:pPr>
                  <w:r>
                    <w:rPr>
                      <w:rFonts w:ascii="仿宋_GB2312" w:hAnsi="仿宋_GB2312" w:cs="仿宋_GB2312" w:eastAsia="仿宋_GB2312"/>
                      <w:sz w:val="24"/>
                      <w:color w:val="000000"/>
                    </w:rPr>
                    <w:t>9.</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color w:val="000000"/>
                    </w:rPr>
                    <w:t>心电图</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ind w:left="105"/>
                  </w:pPr>
                  <w:r>
                    <w:rPr>
                      <w:rFonts w:ascii="仿宋_GB2312" w:hAnsi="仿宋_GB2312" w:cs="仿宋_GB2312" w:eastAsia="仿宋_GB2312"/>
                      <w:sz w:val="24"/>
                    </w:rPr>
                    <w:t>心电图</w:t>
                  </w:r>
                  <w:r>
                    <w:rPr>
                      <w:rFonts w:ascii="仿宋_GB2312" w:hAnsi="仿宋_GB2312" w:cs="仿宋_GB2312" w:eastAsia="仿宋_GB2312"/>
                      <w:sz w:val="24"/>
                    </w:rPr>
                    <w:t>(十二导联)</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left"/>
                  </w:pPr>
                  <w:r>
                    <w:rPr>
                      <w:rFonts w:ascii="仿宋_GB2312" w:hAnsi="仿宋_GB2312" w:cs="仿宋_GB2312" w:eastAsia="仿宋_GB2312"/>
                      <w:sz w:val="24"/>
                      <w:color w:val="000000"/>
                    </w:rPr>
                    <w:t>10.</w:t>
                  </w:r>
                </w:p>
              </w:tc>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25"/>
                    <w:jc w:val="center"/>
                  </w:pPr>
                  <w:r>
                    <w:rPr>
                      <w:rFonts w:ascii="仿宋_GB2312" w:hAnsi="仿宋_GB2312" w:cs="仿宋_GB2312" w:eastAsia="仿宋_GB2312"/>
                      <w:sz w:val="24"/>
                      <w:color w:val="000000"/>
                    </w:rPr>
                    <w:t>DR</w:t>
                  </w:r>
                </w:p>
              </w:tc>
              <w:tc>
                <w:tcPr>
                  <w:tcW w:type="dxa" w:w="1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210"/>
                    <w:ind w:left="105"/>
                  </w:pPr>
                  <w:r>
                    <w:rPr>
                      <w:rFonts w:ascii="仿宋_GB2312" w:hAnsi="仿宋_GB2312" w:cs="仿宋_GB2312" w:eastAsia="仿宋_GB2312"/>
                      <w:sz w:val="24"/>
                    </w:rPr>
                    <w:t>腰椎侧位片</w:t>
                  </w:r>
                </w:p>
              </w:tc>
            </w:tr>
          </w:tbl>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自合同签订之日起45日历日内完成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国家相应的标准和规范，满足采购人要求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进度款，服务完成后，按照实际参加体检的农民工及职工人数和体检项目据实结算，达到付款条件起15个工作日内，支付合同总金额的100.0%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双方在履行合同过程中，若发生争议，可以协商解决。如协商未果，双方向采购人所在地人民法院提起诉讼。乙方如果没有按照本合同约定履行合同，甲方有权终止合同。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包预算金额(元):1,980,300.00；采购包最高限价(元):1,980,300.00；2、本项目采用单价报价，单人体检含税单价最高限价410.00元/人，《报价表》及《标的清单》中填写单价含税报价，数量为1；项目最终含税结算总价款最高限额为1,980,300.00元。3、支付约定为服务完成后，最终含税结算总价款=实际参加体检的农民工、职工参检人数x中标含税单价:若按实际参检人数计算得出的总价款未超过1,980,300.00元，按实际金额据实结算;结算总金额不得超过采购包预算金额或最高限价金额。4、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5、为顺利推进政府采购电子化交易平台应用工作，中标（成交）通知书发出后，中标（成交）供应商须提供胶装后纸质投标（响应）文件贰套交由采购代理机构留存，且提供的纸质投标（响应）文件必须与在陕西省政府采购网电子化交易系统上传提交的电子投标（响应）文件内容一致。(黑白双面打印，需在首页和骑缝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 2、税收缴纳证明：提供响应文件截止时间前6个月内（不含开标当月）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证明不能作为税收缴纳证明。 3、社会保障资金缴纳证明：提供响应文件截止时间前6个月内（不含开标当月）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 4、具有履行合同所必需的设备和专业技术能力的说明及承诺（提供相应承诺）。 5、提供参加本次政府采购活动前三年内在经营活动中没有重大违法记录的书面声明。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注册会计师行业统一监管平台(http://acc.mof.gov.cn)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响应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供应商资格条件</w:t>
            </w:r>
          </w:p>
        </w:tc>
        <w:tc>
          <w:tcPr>
            <w:tcW w:type="dxa" w:w="3322"/>
          </w:tcPr>
          <w:p>
            <w:pPr>
              <w:pStyle w:val="null3"/>
            </w:pPr>
            <w:r>
              <w:rPr>
                <w:rFonts w:ascii="仿宋_GB2312" w:hAnsi="仿宋_GB2312" w:cs="仿宋_GB2312" w:eastAsia="仿宋_GB2312"/>
              </w:rPr>
              <w:t>供应商具备卫生行政部门颁发的《医疗机构执业许可证》和《放射诊疗许可证》。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支付方式</w:t>
            </w:r>
          </w:p>
        </w:tc>
        <w:tc>
          <w:tcPr>
            <w:tcW w:type="dxa" w:w="3322"/>
          </w:tcPr>
          <w:p>
            <w:pPr>
              <w:pStyle w:val="null3"/>
            </w:pPr>
            <w:r>
              <w:rPr>
                <w:rFonts w:ascii="仿宋_GB2312" w:hAnsi="仿宋_GB2312" w:cs="仿宋_GB2312" w:eastAsia="仿宋_GB2312"/>
              </w:rPr>
              <w:t>支付方式符合磋商文件要求；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响应文件封面 供应商应提交的相关资格证明材料.docx 供应商诚信承诺书.docx 拒绝商业贿赂承诺书.docx 商务应答表.docx 服务内容及服务要求应答表.docx 法定代表人授权委托书.docx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具有规范的服务体系和工作流程，针对本项目需求制订切实可行的整体服务方案，包含但不限于①体检流程，具体场次安排；②体检实施时的引导及陪护；③体检结果质量保证措施；④体检发现疾病的后续服务；⑤健康管理建议和健康风险评估；⑥人员接送安排；⑦应急处理方案等要素。 方案各项内容全面详细、阐述条理清晰详尽、符合本项目采购需求，能有效保障本项目实施的得28.0分，每有一个缺项扣4.0分，每项内容存在一处瑕疵扣1.0分，未提供不得分。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服务规范及标准</w:t>
            </w:r>
          </w:p>
        </w:tc>
        <w:tc>
          <w:tcPr>
            <w:tcW w:type="dxa" w:w="2492"/>
          </w:tcPr>
          <w:p>
            <w:pPr>
              <w:pStyle w:val="null3"/>
            </w:pPr>
            <w:r>
              <w:rPr>
                <w:rFonts w:ascii="仿宋_GB2312" w:hAnsi="仿宋_GB2312" w:cs="仿宋_GB2312" w:eastAsia="仿宋_GB2312"/>
              </w:rPr>
              <w:t>供应商针对本项目有相应的服务规范及标准，须完全符合行业要求和国家规定。在服务期间完全按照采购人要求进行检测、及时出具体检报告等。 方案内容全面详细、阐述条理清晰详尽，能有效保障本项目实施的得6.0分，每存在1处瑕疵扣1.0分，未提供不得分。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服务规范及标准.docx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服务态度保障方案</w:t>
            </w:r>
          </w:p>
        </w:tc>
        <w:tc>
          <w:tcPr>
            <w:tcW w:type="dxa" w:w="2492"/>
          </w:tcPr>
          <w:p>
            <w:pPr>
              <w:pStyle w:val="null3"/>
            </w:pPr>
            <w:r>
              <w:rPr>
                <w:rFonts w:ascii="仿宋_GB2312" w:hAnsi="仿宋_GB2312" w:cs="仿宋_GB2312" w:eastAsia="仿宋_GB2312"/>
              </w:rPr>
              <w:t>供应商须提供针对本项目的人员服务态度保障方案，有相应的管理制度及投诉处理措施、补救措施，针对方案的合理性及可实施性计分。 方案内容全面详细、阐述条理清晰详尽，能有效保障本项目实施的得6.0分，每存在1处瑕疵扣1.0分，未提供不得分。 备注：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服务态度保障方案.docx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1）针对本项目提供项目管理组织架构，介绍体检负责人及项目组人员组成情况（包含但不限于采样人员、检测人员、导检人员、值班人员等），所有人员须经过专业培训且熟悉各项操作事项，团队专业全面且人数不少于8人的得2.0分；每增加1人得0.5分，本项最高得3.0分，未提供不得分； （2）上述人员中拟派体检负责人具有副主任医师职称的，得2.0分；上述人员中拟派体检负责人具有主任医师职称的，得4.0分，未提供不得分； （3）项目组人员中的采样人员、检测人员具有专业技术职务任职资格或相关岗位的任职资格证书。提供上述人员证书复印件并加盖供应商公章。每提供1个符合要求的证书得1.0分，最高得2.0分，未提供不得分。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组织架构.docx</w:t>
            </w:r>
          </w:p>
          <w:p>
            <w:pPr>
              <w:pStyle w:val="null3"/>
            </w:pPr>
            <w:r>
              <w:rPr>
                <w:rFonts w:ascii="仿宋_GB2312" w:hAnsi="仿宋_GB2312" w:cs="仿宋_GB2312" w:eastAsia="仿宋_GB2312"/>
              </w:rPr>
              <w:t>拟派团队人员.docx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检测设备</w:t>
            </w:r>
          </w:p>
        </w:tc>
        <w:tc>
          <w:tcPr>
            <w:tcW w:type="dxa" w:w="2492"/>
          </w:tcPr>
          <w:p>
            <w:pPr>
              <w:pStyle w:val="null3"/>
            </w:pPr>
            <w:r>
              <w:rPr>
                <w:rFonts w:ascii="仿宋_GB2312" w:hAnsi="仿宋_GB2312" w:cs="仿宋_GB2312" w:eastAsia="仿宋_GB2312"/>
              </w:rPr>
              <w:t>为保障项目质量，供应商须提供符合医疗机构标准的且符合相关安全管理标准的自有设备，包括但不限于影像放射类等，如DR、高端腹部彩色多普勒超声诊断仪、多道心电图机、双能X射线骨密度仪、眼底照相机设备，须提供设备基本信息（包括设备名称、数量、使用年限、用途等），和相关佐证材料，包括设备照片和采购合同和发票。每提供一个符合要求的证明材料得3.0分，最高得12.0分，其他不得分。（备注：同一设备不重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检测设备.docx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体检功能车</w:t>
            </w:r>
          </w:p>
        </w:tc>
        <w:tc>
          <w:tcPr>
            <w:tcW w:type="dxa" w:w="2492"/>
          </w:tcPr>
          <w:p>
            <w:pPr>
              <w:pStyle w:val="null3"/>
            </w:pPr>
            <w:r>
              <w:rPr>
                <w:rFonts w:ascii="仿宋_GB2312" w:hAnsi="仿宋_GB2312" w:cs="仿宋_GB2312" w:eastAsia="仿宋_GB2312"/>
              </w:rPr>
              <w:t>为保障项目质量，供应商须提供符合医疗机构标准的且符合相关安全管理标准的自有体检车辆，包括DR体检车、基础筛查体检车辆等，须提供车辆基本信息（包括设备车辆名称、数量、使用年限等），和相关佐证材料，包括车辆照片和采购合同和发票。每提供一个符合要求的DR体检车和基础筛查体检车辆证明材料的，得4.0分；或每提供一个符合要求的全科综合体检车辆（需体现含DR体检功能）证明材料的，得4.0分；本项最高得4.0分，其他不得分。 （注：所提供的体检车辆检测功能必须完全覆盖本次体检的全部内容。）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体检功能车.docx</w:t>
            </w:r>
          </w:p>
        </w:tc>
      </w:tr>
      <w:tr>
        <w:tc>
          <w:tcPr>
            <w:tcW w:type="dxa" w:w="831"/>
            <w:vMerge/>
          </w:tcPr>
          <w:p/>
        </w:tc>
        <w:tc>
          <w:tcPr>
            <w:tcW w:type="dxa" w:w="1661"/>
          </w:tcPr>
          <w:p>
            <w:pPr>
              <w:pStyle w:val="null3"/>
            </w:pPr>
            <w:r>
              <w:rPr>
                <w:rFonts w:ascii="仿宋_GB2312" w:hAnsi="仿宋_GB2312" w:cs="仿宋_GB2312" w:eastAsia="仿宋_GB2312"/>
              </w:rPr>
              <w:t>供应商实力</w:t>
            </w:r>
          </w:p>
        </w:tc>
        <w:tc>
          <w:tcPr>
            <w:tcW w:type="dxa" w:w="2492"/>
          </w:tcPr>
          <w:p>
            <w:pPr>
              <w:pStyle w:val="null3"/>
            </w:pPr>
            <w:r>
              <w:rPr>
                <w:rFonts w:ascii="仿宋_GB2312" w:hAnsi="仿宋_GB2312" w:cs="仿宋_GB2312" w:eastAsia="仿宋_GB2312"/>
              </w:rPr>
              <w:t>为保障项目质量，供应商为卫生行政主管部门批准的三级及以上资质的综合医院得4.0分；二级得2.0分，一级或其他体检机构得1.0分，其他不得分。(提供证明材料，加盖供应商公章)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供应商实力.docx</w:t>
            </w:r>
          </w:p>
        </w:tc>
      </w:tr>
      <w:tr>
        <w:tc>
          <w:tcPr>
            <w:tcW w:type="dxa" w:w="831"/>
            <w:vMerge/>
          </w:tcPr>
          <w:p/>
        </w:tc>
        <w:tc>
          <w:tcPr>
            <w:tcW w:type="dxa" w:w="1661"/>
          </w:tcPr>
          <w:p>
            <w:pPr>
              <w:pStyle w:val="null3"/>
            </w:pPr>
            <w:r>
              <w:rPr>
                <w:rFonts w:ascii="仿宋_GB2312" w:hAnsi="仿宋_GB2312" w:cs="仿宋_GB2312" w:eastAsia="仿宋_GB2312"/>
              </w:rPr>
              <w:t>体检环境</w:t>
            </w:r>
          </w:p>
        </w:tc>
        <w:tc>
          <w:tcPr>
            <w:tcW w:type="dxa" w:w="2492"/>
          </w:tcPr>
          <w:p>
            <w:pPr>
              <w:pStyle w:val="null3"/>
            </w:pPr>
            <w:r>
              <w:rPr>
                <w:rFonts w:ascii="仿宋_GB2312" w:hAnsi="仿宋_GB2312" w:cs="仿宋_GB2312" w:eastAsia="仿宋_GB2312"/>
              </w:rPr>
              <w:t>针对本项目提供主要体检服务地点情况，要求各诊室独立，保护参检人员隐私，且可满足高峰接待需求，提供主要体检地点布局图、场地照片及房屋租赁或自有证明。①所提供的体检地点面积≥5000㎡，得6.0分； ②所提供的体检地点面积≥4000㎡，得4.0分；③所提供的体检地点面积≥3000㎡，得3.0分；④所提供的体检地点面积≥2000㎡，得2.0分；⑤所提供的体检地点面积＜2500㎡，得1.0分；未提供不得分。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体检环境.docx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提供供应商2023年1月1日至开标截止时间前同类项目完整业绩（以合同签订日期为准）。每提供1个有效业绩得2.0分，最高得10.0分，未提供不得分。 备注： ①供应商须提供业绩清单和证明材料，以前5个业绩为得分依据。 ②一份完整的业绩包括：中标公告（或中标通知书）、页码连续完整的合同文本。③同类业绩是指体检类项目。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 磋商报价得分=（磋商基准价/最后磋商报价）×15。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详见附件：供应商诚信承诺书.docx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详见附件：服务规范及标准.docx</w:t>
      </w:r>
    </w:p>
    <w:p>
      <w:pPr>
        <w:pStyle w:val="null3"/>
        <w:ind w:firstLine="960"/>
      </w:pPr>
      <w:r>
        <w:rPr>
          <w:rFonts w:ascii="仿宋_GB2312" w:hAnsi="仿宋_GB2312" w:cs="仿宋_GB2312" w:eastAsia="仿宋_GB2312"/>
        </w:rPr>
        <w:t>详见附件：服务态度保障方案.docx</w:t>
      </w:r>
    </w:p>
    <w:p>
      <w:pPr>
        <w:pStyle w:val="null3"/>
        <w:ind w:firstLine="960"/>
      </w:pPr>
      <w:r>
        <w:rPr>
          <w:rFonts w:ascii="仿宋_GB2312" w:hAnsi="仿宋_GB2312" w:cs="仿宋_GB2312" w:eastAsia="仿宋_GB2312"/>
        </w:rPr>
        <w:t>详见附件：组织架构.docx</w:t>
      </w:r>
    </w:p>
    <w:p>
      <w:pPr>
        <w:pStyle w:val="null3"/>
        <w:ind w:firstLine="960"/>
      </w:pPr>
      <w:r>
        <w:rPr>
          <w:rFonts w:ascii="仿宋_GB2312" w:hAnsi="仿宋_GB2312" w:cs="仿宋_GB2312" w:eastAsia="仿宋_GB2312"/>
        </w:rPr>
        <w:t>详见附件：拟派团队人员.docx</w:t>
      </w:r>
    </w:p>
    <w:p>
      <w:pPr>
        <w:pStyle w:val="null3"/>
        <w:ind w:firstLine="960"/>
      </w:pPr>
      <w:r>
        <w:rPr>
          <w:rFonts w:ascii="仿宋_GB2312" w:hAnsi="仿宋_GB2312" w:cs="仿宋_GB2312" w:eastAsia="仿宋_GB2312"/>
        </w:rPr>
        <w:t>详见附件：检测设备.docx</w:t>
      </w:r>
    </w:p>
    <w:p>
      <w:pPr>
        <w:pStyle w:val="null3"/>
        <w:ind w:firstLine="960"/>
      </w:pPr>
      <w:r>
        <w:rPr>
          <w:rFonts w:ascii="仿宋_GB2312" w:hAnsi="仿宋_GB2312" w:cs="仿宋_GB2312" w:eastAsia="仿宋_GB2312"/>
        </w:rPr>
        <w:t>详见附件：体检功能车.docx</w:t>
      </w:r>
    </w:p>
    <w:p>
      <w:pPr>
        <w:pStyle w:val="null3"/>
        <w:ind w:firstLine="960"/>
      </w:pPr>
      <w:r>
        <w:rPr>
          <w:rFonts w:ascii="仿宋_GB2312" w:hAnsi="仿宋_GB2312" w:cs="仿宋_GB2312" w:eastAsia="仿宋_GB2312"/>
        </w:rPr>
        <w:t>详见附件：体检环境.docx</w:t>
      </w:r>
    </w:p>
    <w:p>
      <w:pPr>
        <w:pStyle w:val="null3"/>
        <w:ind w:firstLine="960"/>
      </w:pPr>
      <w:r>
        <w:rPr>
          <w:rFonts w:ascii="仿宋_GB2312" w:hAnsi="仿宋_GB2312" w:cs="仿宋_GB2312" w:eastAsia="仿宋_GB2312"/>
        </w:rPr>
        <w:t>详见附件：供应商实力.docx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