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版本号：GWZC-2026-149、XACH2026-10120260814001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机关办公用房租赁(雁鸣产业园)项目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GWZC-2026-149、XACH2026-101</w:t>
      </w:r>
      <w:r>
        <w:br/>
      </w:r>
      <w:r>
        <w:br/>
      </w:r>
      <w:r>
        <w:br/>
      </w:r>
    </w:p>
    <w:p>
      <w:pPr>
        <w:pStyle w:val="null3"/>
        <w:jc w:val="center"/>
        <w:outlineLvl w:val="5"/>
      </w:pPr>
      <w:r>
        <w:rPr>
          <w:rFonts w:ascii="仿宋_GB2312" w:hAnsi="仿宋_GB2312" w:cs="仿宋_GB2312" w:eastAsia="仿宋_GB2312"/>
          <w:sz w:val="15"/>
          <w:b/>
        </w:rPr>
        <w:t>西安浐灞国际港党政办公室</w:t>
      </w:r>
    </w:p>
    <w:p>
      <w:pPr>
        <w:pStyle w:val="null3"/>
        <w:jc w:val="center"/>
        <w:outlineLvl w:val="5"/>
      </w:pPr>
      <w:r>
        <w:rPr>
          <w:rFonts w:ascii="仿宋_GB2312" w:hAnsi="仿宋_GB2312" w:cs="仿宋_GB2312" w:eastAsia="仿宋_GB2312"/>
          <w:sz w:val="15"/>
          <w:b/>
        </w:rPr>
        <w:t>西安辰和工程咨询有限公司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机关办公用房租赁(雁鸣产业园)项目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GWZC-2026-149、XACH2026-101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机关办公用房租赁(雁鸣产业园)项目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现采购雁鸣产业园所在的办公用房租赁，位于西安市浐灞生态区月登阁以北、规划路以西雁鸣家园(小区)一期9#、8#（3、4层），建筑面积共计2807.6㎡。</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单一来源采购全过程：法定代表人授权委托书（附法定代表人身份证复印件）及被授权委托人身份证（法定代表人参加投标只需提供法定代表人身份证）；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4、本项目不接受联合体投标：本项目不接受联合体投标（提供书面声明）。供应商需在项目电子化交易系统中按要求上传相应证明文件并进行电子签章。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029-88072319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文奕奕、单云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采购包1：696,597.60元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1.5%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西安浐灞国际港党政办公室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符合国家相关合格标准及采购人要求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联系人：文奕奕</w:t>
      </w:r>
    </w:p>
    <w:p>
      <w:pPr>
        <w:pStyle w:val="null3"/>
      </w:pPr>
      <w:r>
        <w:rPr>
          <w:rFonts w:ascii="仿宋_GB2312" w:hAnsi="仿宋_GB2312" w:cs="仿宋_GB2312" w:eastAsia="仿宋_GB2312"/>
        </w:rPr>
        <w:t>联系电话：029-87563729</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现采购雁鸣产业园所在的办公用房租赁，位于西安市浐灞生态区月登阁以北、规划路以西雁鸣家园(小区)一期9#、8#（3、4层），建筑面积共计2807.6㎡。</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696,597.60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机关办公用房租赁(雁鸣产业园)项目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标的名称：机关办公用房租赁(雁鸣产业园)项目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pPr>
            <w:r>
              <w:rPr>
                <w:rFonts w:ascii="仿宋_GB2312" w:hAnsi="仿宋_GB2312" w:cs="仿宋_GB2312" w:eastAsia="仿宋_GB2312"/>
                <w:sz w:val="24"/>
              </w:rPr>
              <w:t>现采购雁鸣产业园所在的办公用房租赁，位于西安市浐灞生态区月登阁以北、规划路以西雁鸣家园</w:t>
            </w:r>
            <w:r>
              <w:rPr>
                <w:rFonts w:ascii="仿宋_GB2312" w:hAnsi="仿宋_GB2312" w:cs="仿宋_GB2312" w:eastAsia="仿宋_GB2312"/>
                <w:sz w:val="24"/>
              </w:rPr>
              <w:t>(小区)一期9#、8#（3、4层），建筑面积共计2807.6㎡</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二、最高限单价</w:t>
            </w:r>
          </w:p>
          <w:tbl>
            <w:tblPr>
              <w:tblBorders>
                <w:top w:val="none" w:color="000000" w:sz="4"/>
                <w:left w:val="none" w:color="000000" w:sz="4"/>
                <w:bottom w:val="none" w:color="000000" w:sz="4"/>
                <w:right w:val="none" w:color="000000" w:sz="4"/>
                <w:insideH w:val="none"/>
                <w:insideV w:val="none"/>
              </w:tblBorders>
            </w:tblPr>
            <w:tblGrid>
              <w:gridCol w:w="851"/>
              <w:gridCol w:w="430"/>
              <w:gridCol w:w="1272"/>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租赁区域</w:t>
                  </w:r>
                </w:p>
              </w:tc>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面积</w:t>
                  </w:r>
                </w:p>
                <w:p>
                  <w:pPr>
                    <w:pStyle w:val="null3"/>
                    <w:jc w:val="both"/>
                  </w:pPr>
                  <w:r>
                    <w:rPr>
                      <w:rFonts w:ascii="仿宋_GB2312" w:hAnsi="仿宋_GB2312" w:cs="仿宋_GB2312" w:eastAsia="仿宋_GB2312"/>
                      <w:sz w:val="24"/>
                      <w:b/>
                    </w:rPr>
                    <w:t>（㎡）</w:t>
                  </w:r>
                </w:p>
              </w:tc>
              <w:tc>
                <w:tcPr>
                  <w:tcW w:type="dxa" w:w="1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月租金单价上限价（含税）</w:t>
                  </w:r>
                </w:p>
                <w:p>
                  <w:pPr>
                    <w:pStyle w:val="null3"/>
                    <w:jc w:val="center"/>
                  </w:pPr>
                  <w:r>
                    <w:rPr>
                      <w:rFonts w:ascii="仿宋_GB2312" w:hAnsi="仿宋_GB2312" w:cs="仿宋_GB2312" w:eastAsia="仿宋_GB2312"/>
                      <w:sz w:val="24"/>
                      <w:b/>
                    </w:rPr>
                    <w:t>(元/㎡/月)</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一期</w:t>
                  </w:r>
                  <w:r>
                    <w:rPr>
                      <w:rFonts w:ascii="仿宋_GB2312" w:hAnsi="仿宋_GB2312" w:cs="仿宋_GB2312" w:eastAsia="仿宋_GB2312"/>
                      <w:sz w:val="24"/>
                    </w:rPr>
                    <w:t>9#（整栋）</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1453.2</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8#（3、4层）</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1354.4</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w:t>
                  </w:r>
                </w:p>
              </w:tc>
            </w:tr>
          </w:tbl>
          <w:p>
            <w:pPr>
              <w:pStyle w:val="null3"/>
              <w:jc w:val="both"/>
            </w:pPr>
            <w:r>
              <w:rPr>
                <w:rFonts w:ascii="仿宋_GB2312" w:hAnsi="仿宋_GB2312" w:cs="仿宋_GB2312" w:eastAsia="仿宋_GB2312"/>
                <w:sz w:val="24"/>
              </w:rPr>
              <w:t>注：供应商所报单价</w:t>
            </w:r>
            <w:r>
              <w:rPr>
                <w:rFonts w:ascii="仿宋_GB2312" w:hAnsi="仿宋_GB2312" w:cs="仿宋_GB2312" w:eastAsia="仿宋_GB2312"/>
                <w:sz w:val="24"/>
              </w:rPr>
              <w:t>&gt;月租金单价上限价时，即为无效报价。</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、服务内容</w:t>
            </w:r>
          </w:p>
          <w:p>
            <w:pPr>
              <w:pStyle w:val="null3"/>
            </w:pPr>
            <w:r>
              <w:rPr>
                <w:rFonts w:ascii="仿宋_GB2312" w:hAnsi="仿宋_GB2312" w:cs="仿宋_GB2312" w:eastAsia="仿宋_GB2312"/>
                <w:sz w:val="24"/>
              </w:rPr>
              <w:t>提供能满足雁鸣产业园办公所需的租赁物及附属设施设备，租赁物需包含完整的办公区域划分并配备符合办公标准的基础装修，采购面积暂定：</w:t>
            </w:r>
            <w:r>
              <w:rPr>
                <w:rFonts w:ascii="仿宋_GB2312" w:hAnsi="仿宋_GB2312" w:cs="仿宋_GB2312" w:eastAsia="仿宋_GB2312"/>
                <w:sz w:val="24"/>
              </w:rPr>
              <w:t>2807.6㎡；采购时限：1年，租赁方保证在提供租赁物时，其对该租赁物有所有权，不存在任何产权争议。</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、技术要求</w:t>
            </w:r>
          </w:p>
          <w:p>
            <w:pPr>
              <w:pStyle w:val="null3"/>
            </w:pPr>
            <w:r>
              <w:rPr>
                <w:rFonts w:ascii="仿宋_GB2312" w:hAnsi="仿宋_GB2312" w:cs="仿宋_GB2312" w:eastAsia="仿宋_GB2312"/>
                <w:sz w:val="24"/>
              </w:rPr>
              <w:t>1、出租方应保证租赁物的建筑结构、设备设施和规划用途以及建筑、消防、水电、排水、排污等配套设施符合承租方使用条件。</w:t>
            </w:r>
          </w:p>
          <w:p>
            <w:pPr>
              <w:pStyle w:val="null3"/>
            </w:pPr>
            <w:r>
              <w:rPr>
                <w:rFonts w:ascii="仿宋_GB2312" w:hAnsi="仿宋_GB2312" w:cs="仿宋_GB2312" w:eastAsia="仿宋_GB2312"/>
                <w:sz w:val="24"/>
              </w:rPr>
              <w:t>2、出租方需在产业园办公、宿舍及食堂等区域按消防要求设立符合要求的微型消防站、灭火器等消防设施设备，定期检查并做好设施设备日常维护工作。</w:t>
            </w:r>
          </w:p>
          <w:p>
            <w:pPr>
              <w:pStyle w:val="null3"/>
            </w:pPr>
            <w:r>
              <w:rPr>
                <w:rFonts w:ascii="仿宋_GB2312" w:hAnsi="仿宋_GB2312" w:cs="仿宋_GB2312" w:eastAsia="仿宋_GB2312"/>
                <w:sz w:val="24"/>
              </w:rPr>
              <w:t>3、出租方保证出租的房屋没有产权纠纷、债权债务纠纷。因出租方原因，造成出租房屋发生产权、债权债务的，则由出租方承担全部责任，出租方应立即排除妨碍，如影响采购人使用或给采购人造成损失的，由出租方给予赔偿，范围包括给采购人造成的实际损失、可预期利益，以及采购人因维权所产生的全部相关费用。</w:t>
            </w:r>
          </w:p>
          <w:p>
            <w:pPr>
              <w:pStyle w:val="null3"/>
            </w:pPr>
            <w:r>
              <w:rPr>
                <w:rFonts w:ascii="仿宋_GB2312" w:hAnsi="仿宋_GB2312" w:cs="仿宋_GB2312" w:eastAsia="仿宋_GB2312"/>
                <w:sz w:val="24"/>
              </w:rPr>
              <w:t>4、在房屋出租前、合同存续期间不允许出租方将房屋作为抵押贷款，否则采购人有权终止合同，并对出租方违约行为进行追究，同时按《中华人民共和国政府采购法》的有关规定进行处罚</w:t>
            </w:r>
            <w:r>
              <w:rPr>
                <w:rFonts w:ascii="仿宋_GB2312" w:hAnsi="仿宋_GB2312" w:cs="仿宋_GB2312" w:eastAsia="仿宋_GB2312"/>
                <w:sz w:val="24"/>
                <w:b/>
              </w:rPr>
              <w:t>。</w:t>
            </w:r>
          </w:p>
          <w:p>
            <w:pPr>
              <w:pStyle w:val="null3"/>
            </w:pPr>
            <w:r>
              <w:rPr>
                <w:rFonts w:ascii="仿宋_GB2312" w:hAnsi="仿宋_GB2312" w:cs="仿宋_GB2312" w:eastAsia="仿宋_GB2312"/>
                <w:sz w:val="24"/>
                <w:b/>
              </w:rPr>
              <w:t>五</w:t>
            </w:r>
            <w:r>
              <w:rPr>
                <w:rFonts w:ascii="仿宋_GB2312" w:hAnsi="仿宋_GB2312" w:cs="仿宋_GB2312" w:eastAsia="仿宋_GB2312"/>
                <w:sz w:val="24"/>
                <w:b/>
              </w:rPr>
              <w:t>、服务要求</w:t>
            </w:r>
          </w:p>
          <w:p>
            <w:pPr>
              <w:pStyle w:val="null3"/>
              <w:jc w:val="both"/>
            </w:pPr>
            <w:r>
              <w:rPr>
                <w:rFonts w:ascii="仿宋_GB2312" w:hAnsi="仿宋_GB2312" w:cs="仿宋_GB2312" w:eastAsia="仿宋_GB2312"/>
                <w:sz w:val="24"/>
              </w:rPr>
              <w:t>租赁标准：符合《党政机关办公用房建设标准》。</w:t>
            </w:r>
          </w:p>
          <w:p>
            <w:pPr>
              <w:pStyle w:val="null3"/>
              <w:jc w:val="both"/>
            </w:pPr>
            <w:r>
              <w:rPr>
                <w:rFonts w:ascii="仿宋_GB2312" w:hAnsi="仿宋_GB2312" w:cs="仿宋_GB2312" w:eastAsia="仿宋_GB2312"/>
                <w:sz w:val="24"/>
                <w:b/>
              </w:rPr>
              <w:t>六</w:t>
            </w:r>
            <w:r>
              <w:rPr>
                <w:rFonts w:ascii="仿宋_GB2312" w:hAnsi="仿宋_GB2312" w:cs="仿宋_GB2312" w:eastAsia="仿宋_GB2312"/>
                <w:sz w:val="24"/>
                <w:b/>
              </w:rPr>
              <w:t>、商务要求</w:t>
            </w:r>
          </w:p>
          <w:p>
            <w:pPr>
              <w:pStyle w:val="null3"/>
              <w:jc w:val="both"/>
            </w:pPr>
            <w:r>
              <w:rPr>
                <w:rFonts w:ascii="仿宋_GB2312" w:hAnsi="仿宋_GB2312" w:cs="仿宋_GB2312" w:eastAsia="仿宋_GB2312"/>
                <w:sz w:val="24"/>
              </w:rPr>
              <w:t>1、服务期限：自合同签订后1年。</w:t>
            </w:r>
          </w:p>
          <w:p>
            <w:pPr>
              <w:pStyle w:val="null3"/>
            </w:pPr>
            <w:r>
              <w:rPr>
                <w:rFonts w:ascii="仿宋_GB2312" w:hAnsi="仿宋_GB2312" w:cs="仿宋_GB2312" w:eastAsia="仿宋_GB2312"/>
                <w:sz w:val="24"/>
              </w:rPr>
              <w:t>2、</w:t>
            </w:r>
            <w:r>
              <w:rPr>
                <w:rFonts w:ascii="仿宋_GB2312" w:hAnsi="仿宋_GB2312" w:cs="仿宋_GB2312" w:eastAsia="仿宋_GB2312"/>
                <w:sz w:val="24"/>
              </w:rPr>
              <w:t>款项结算：</w:t>
            </w:r>
            <w:r>
              <w:rPr>
                <w:rFonts w:ascii="仿宋_GB2312" w:hAnsi="仿宋_GB2312" w:cs="仿宋_GB2312" w:eastAsia="仿宋_GB2312"/>
                <w:sz w:val="24"/>
              </w:rPr>
              <w:t>供应商</w:t>
            </w:r>
            <w:r>
              <w:rPr>
                <w:rFonts w:ascii="仿宋_GB2312" w:hAnsi="仿宋_GB2312" w:cs="仿宋_GB2312" w:eastAsia="仿宋_GB2312"/>
                <w:sz w:val="24"/>
              </w:rPr>
              <w:t>在合同签订后向</w:t>
            </w:r>
            <w:r>
              <w:rPr>
                <w:rFonts w:ascii="仿宋_GB2312" w:hAnsi="仿宋_GB2312" w:cs="仿宋_GB2312" w:eastAsia="仿宋_GB2312"/>
                <w:sz w:val="24"/>
              </w:rPr>
              <w:t>采购人</w:t>
            </w:r>
            <w:r>
              <w:rPr>
                <w:rFonts w:ascii="仿宋_GB2312" w:hAnsi="仿宋_GB2312" w:cs="仿宋_GB2312" w:eastAsia="仿宋_GB2312"/>
                <w:sz w:val="24"/>
              </w:rPr>
              <w:t>开具租金发票，</w:t>
            </w:r>
            <w:r>
              <w:rPr>
                <w:rFonts w:ascii="仿宋_GB2312" w:hAnsi="仿宋_GB2312" w:cs="仿宋_GB2312" w:eastAsia="仿宋_GB2312"/>
                <w:sz w:val="24"/>
              </w:rPr>
              <w:t>采购人</w:t>
            </w:r>
            <w:r>
              <w:rPr>
                <w:rFonts w:ascii="仿宋_GB2312" w:hAnsi="仿宋_GB2312" w:cs="仿宋_GB2312" w:eastAsia="仿宋_GB2312"/>
                <w:sz w:val="24"/>
              </w:rPr>
              <w:t>自收到发票后向</w:t>
            </w:r>
            <w:r>
              <w:rPr>
                <w:rFonts w:ascii="仿宋_GB2312" w:hAnsi="仿宋_GB2312" w:cs="仿宋_GB2312" w:eastAsia="仿宋_GB2312"/>
                <w:sz w:val="24"/>
              </w:rPr>
              <w:t>供应商每半年</w:t>
            </w:r>
            <w:r>
              <w:rPr>
                <w:rFonts w:ascii="仿宋_GB2312" w:hAnsi="仿宋_GB2312" w:cs="仿宋_GB2312" w:eastAsia="仿宋_GB2312"/>
                <w:sz w:val="24"/>
              </w:rPr>
              <w:t>支付</w:t>
            </w:r>
            <w:r>
              <w:rPr>
                <w:rFonts w:ascii="仿宋_GB2312" w:hAnsi="仿宋_GB2312" w:cs="仿宋_GB2312" w:eastAsia="仿宋_GB2312"/>
                <w:sz w:val="24"/>
              </w:rPr>
              <w:t>一次</w:t>
            </w:r>
            <w:r>
              <w:rPr>
                <w:rFonts w:ascii="仿宋_GB2312" w:hAnsi="仿宋_GB2312" w:cs="仿宋_GB2312" w:eastAsia="仿宋_GB2312"/>
                <w:sz w:val="24"/>
              </w:rPr>
              <w:t>租金。</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进度款，供应商在合同签订后向采购人开具租金发票，采购人自收到发票后向供应商每半年支付一次租金，达到付款条件起30个工作日内，支付合同总金额的50.0%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进度款，供应商在合同签订后向采购人开具租金发票，采购人自收到发票后向供应商每半年支付一次租金，达到付款条件起30个工作日内，支付合同总金额的50.0%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采购人按照政府采购合同规定的技术、服务、安全标准组织对供应商履约情况进行验收。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违约责任：详见合同 解决争议办法：双方在履行合同中如发生纠纷，应协商解决，协商不成时，任一方可向房屋所在地人民法院提起诉讼。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3.4.1采购人或采购代理机构将在投标截止日当天资格审查阶段通过〔信用中国（www.creditchina.gov.cn）〕和〔中国政府采购网（www.ccgp.gov.cn）〕网站对供应商的信用情况进行查询（符合《财政部关于在政府采购活动中查询及使用信用记录有关问题的通知》（财库〔2016〕125号）文件中信用查询的要求），并将网页截图附在评审资料中。 3.4.2总报价的组成 合同价款为完成本项目单一来源采购文件中所提出的工作范围及要求的全部内容，并达到国家及采购人验收标准而产生的所有费用，包括但不限于完成本项目房屋租赁费、房屋修缮、维修费、招标代理服务费、利润、税金、风险等完成本项目所需的全部费用。任何错报、漏报由供应商自行负责。 3.4.3本项目所属行业：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3.4.4中标人领取中标通知书时须向代理机构提交纸质版响应文件：正本壹份、副本贰份、电子版（U盘）贰份。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供应商应授权合法的人员参加单一来源采购全过程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法定代表人授权委托书（附法定代表人身份证复印件）及被授权委托人身份证（法定代表人参加投标只需提供法定代表人身份证）；供应商需在项目电子化交易系统中按要求上传相应证明文件并进行电子签章。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中小企业声明函 商务应答表 承诺书 服务内容及服务要求应答表 报价表 响应文件封面 资格证明文件 响应方案说明 残疾人福利性单位声明函 标的清单 首次报价一览表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供应商投标报价有可能影响质量或者不能诚信履约的，评标委员会应当要求其在合理的时间内在项目电子化交易系统中上传说明材料，必要时提交相关证明材料。供应商提交的相关证明材料，应当加盖供应商（法定名称）电子印章，在评标委员会要求的时间内通过项目电子化交易系统进行提交，否则提交的相关证明材料无效。供应商不能证明其响应报价合理性的，评标委员会应当将其响应文件作为无效处理。</w:t>
            </w:r>
          </w:p>
        </w:tc>
        <w:tc>
          <w:tcPr>
            <w:tcW w:type="dxa" w:w="1661"/>
          </w:tcPr>
          <w:p>
            <w:pPr>
              <w:pStyle w:val="null3"/>
            </w:pPr>
            <w:r>
              <w:rPr>
                <w:rFonts w:ascii="仿宋_GB2312" w:hAnsi="仿宋_GB2312" w:cs="仿宋_GB2312" w:eastAsia="仿宋_GB2312"/>
              </w:rPr>
              <w:t>标的清单 首次报价一览表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中小企业声明函 商务应答表 承诺书 服务内容及服务要求应答表 报价表 响应文件封面 资格证明文件 响应方案说明 残疾人福利性单位声明函 标的清单 首次报价一览表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协商响应内容无重大缺项、漏项</w:t>
            </w:r>
          </w:p>
        </w:tc>
        <w:tc>
          <w:tcPr>
            <w:tcW w:type="dxa" w:w="1661"/>
          </w:tcPr>
          <w:p>
            <w:pPr>
              <w:pStyle w:val="null3"/>
            </w:pPr>
            <w:r>
              <w:rPr>
                <w:rFonts w:ascii="仿宋_GB2312" w:hAnsi="仿宋_GB2312" w:cs="仿宋_GB2312" w:eastAsia="仿宋_GB2312"/>
              </w:rPr>
              <w:t>中小企业声明函 商务应答表 承诺书 服务内容及服务要求应答表 报价表 响应文件封面 响应方案说明 资格证明文件 残疾人福利性单位声明函 标的清单 首次报价一览表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响应文件的签署、加盖印章有效</w:t>
            </w:r>
          </w:p>
        </w:tc>
        <w:tc>
          <w:tcPr>
            <w:tcW w:type="dxa" w:w="1661"/>
          </w:tcPr>
          <w:p>
            <w:pPr>
              <w:pStyle w:val="null3"/>
            </w:pPr>
            <w:r>
              <w:rPr>
                <w:rFonts w:ascii="仿宋_GB2312" w:hAnsi="仿宋_GB2312" w:cs="仿宋_GB2312" w:eastAsia="仿宋_GB2312"/>
              </w:rPr>
              <w:t>中小企业声明函 商务应答表 承诺书 服务内容及服务要求应答表 报价表 响应文件封面 响应方案说明 资格证明文件 残疾人福利性单位声明函 标的清单 首次报价一览表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协商响应报价未超过采购预算；协商响应有效期符合单一来源采购文件的要求</w:t>
            </w:r>
          </w:p>
        </w:tc>
        <w:tc>
          <w:tcPr>
            <w:tcW w:type="dxa" w:w="1661"/>
          </w:tcPr>
          <w:p>
            <w:pPr>
              <w:pStyle w:val="null3"/>
            </w:pPr>
            <w:r>
              <w:rPr>
                <w:rFonts w:ascii="仿宋_GB2312" w:hAnsi="仿宋_GB2312" w:cs="仿宋_GB2312" w:eastAsia="仿宋_GB2312"/>
              </w:rPr>
              <w:t>中小企业声明函 商务应答表 承诺书 服务内容及服务要求应答表 报价表 响应文件封面 响应方案说明 资格证明文件 残疾人福利性单位声明函 标的清单 首次报价一览表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详见附件：首次报价一览表</w:t>
      </w:r>
    </w:p>
    <w:p>
      <w:pPr>
        <w:pStyle w:val="null3"/>
        <w:ind w:firstLine="960"/>
      </w:pPr>
      <w:r>
        <w:rPr>
          <w:rFonts w:ascii="仿宋_GB2312" w:hAnsi="仿宋_GB2312" w:cs="仿宋_GB2312" w:eastAsia="仿宋_GB2312"/>
        </w:rPr>
        <w:t>详见附件：响应方案说明</w:t>
      </w:r>
    </w:p>
    <w:p>
      <w:pPr>
        <w:pStyle w:val="null3"/>
        <w:ind w:firstLine="960"/>
      </w:pPr>
      <w:r>
        <w:rPr>
          <w:rFonts w:ascii="仿宋_GB2312" w:hAnsi="仿宋_GB2312" w:cs="仿宋_GB2312" w:eastAsia="仿宋_GB2312"/>
        </w:rPr>
        <w:t>详见附件：承诺书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