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版本号：ZB202600820260731002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镇巴县医共体中医院分院慢病管理综合楼电梯采购项目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ZB2026008</w:t>
      </w:r>
      <w:r>
        <w:br/>
      </w:r>
      <w:r>
        <w:br/>
      </w:r>
      <w:r>
        <w:br/>
      </w:r>
    </w:p>
    <w:p>
      <w:pPr>
        <w:pStyle w:val="null3"/>
        <w:jc w:val="center"/>
        <w:outlineLvl w:val="2"/>
      </w:pPr>
      <w:r>
        <w:rPr>
          <w:rFonts w:ascii="仿宋_GB2312" w:hAnsi="仿宋_GB2312" w:cs="仿宋_GB2312" w:eastAsia="仿宋_GB2312"/>
          <w:sz w:val="28"/>
          <w:b/>
        </w:rPr>
        <w:t>镇巴县中医院</w:t>
      </w:r>
    </w:p>
    <w:p>
      <w:pPr>
        <w:pStyle w:val="null3"/>
        <w:jc w:val="center"/>
        <w:outlineLvl w:val="2"/>
      </w:pPr>
      <w:r>
        <w:rPr>
          <w:rFonts w:ascii="仿宋_GB2312" w:hAnsi="仿宋_GB2312" w:cs="仿宋_GB2312" w:eastAsia="仿宋_GB2312"/>
          <w:sz w:val="28"/>
          <w:b/>
        </w:rPr>
        <w:t>镇巴县政府采购中心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镇巴县政府采购中心</w:t>
      </w:r>
      <w:r>
        <w:rPr>
          <w:rFonts w:ascii="仿宋_GB2312" w:hAnsi="仿宋_GB2312" w:cs="仿宋_GB2312" w:eastAsia="仿宋_GB2312"/>
        </w:rPr>
        <w:t>（以下简称“代理机构”）受</w:t>
      </w:r>
      <w:r>
        <w:rPr>
          <w:rFonts w:ascii="仿宋_GB2312" w:hAnsi="仿宋_GB2312" w:cs="仿宋_GB2312" w:eastAsia="仿宋_GB2312"/>
        </w:rPr>
        <w:t>镇巴县中医院</w:t>
      </w:r>
      <w:r>
        <w:rPr>
          <w:rFonts w:ascii="仿宋_GB2312" w:hAnsi="仿宋_GB2312" w:cs="仿宋_GB2312" w:eastAsia="仿宋_GB2312"/>
        </w:rPr>
        <w:t>委托，拟对</w:t>
      </w:r>
      <w:r>
        <w:rPr>
          <w:rFonts w:ascii="仿宋_GB2312" w:hAnsi="仿宋_GB2312" w:cs="仿宋_GB2312" w:eastAsia="仿宋_GB2312"/>
        </w:rPr>
        <w:t>镇巴县医共体中医院分院慢病管理综合楼电梯采购项目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ZB2026008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镇巴县医共体中医院分院慢病管理综合楼电梯采购项目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镇巴县中医院新建镇巴县医共体中医院分院慢病管理综合楼1栋6层框架结构，地上五层、地下一层，建筑面积4022.77平方米，新增床位数80张，按照设计施工图纸采购2部电梯，其中1部有机房电梯5层，1部电梯为无机房7层电梯。</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投标人需在项目电子化交易系统中按要求上传相应证明文件并进行电子签章;</w:t>
      </w:r>
    </w:p>
    <w:p>
      <w:pPr>
        <w:pStyle w:val="null3"/>
      </w:pPr>
      <w:r>
        <w:rPr>
          <w:rFonts w:ascii="仿宋_GB2312" w:hAnsi="仿宋_GB2312" w:cs="仿宋_GB2312" w:eastAsia="仿宋_GB2312"/>
        </w:rPr>
        <w:t>2、法定代表人授权书或法定代表人身份证明：法定代表人参加投标须提供《法定代表人身份证明》及身份证复印件;法定代表人授权他人参加投标，须提供《法定代表人授权委托书》、委托代理人身份证复印件，投标人需在项目电子化交易系统中按要求上传相应证明文件并进行电子签章;</w:t>
      </w:r>
    </w:p>
    <w:p>
      <w:pPr>
        <w:pStyle w:val="null3"/>
      </w:pPr>
      <w:r>
        <w:rPr>
          <w:rFonts w:ascii="仿宋_GB2312" w:hAnsi="仿宋_GB2312" w:cs="仿宋_GB2312" w:eastAsia="仿宋_GB2312"/>
        </w:rPr>
        <w:t>3、资格承诺函：投标人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投标人需在项目电子化交易系统中按要求上传相应证明文件并进行电子签章;</w:t>
      </w:r>
    </w:p>
    <w:p>
      <w:pPr>
        <w:pStyle w:val="null3"/>
      </w:pPr>
      <w:r>
        <w:rPr>
          <w:rFonts w:ascii="仿宋_GB2312" w:hAnsi="仿宋_GB2312" w:cs="仿宋_GB2312" w:eastAsia="仿宋_GB2312"/>
        </w:rPr>
        <w:t>4、非联合体、不分包响应证明：本项目不接受联合体投标，不允许分包。投标人应提供《非联合体不分包投标声明》，视为独立响应，不分包，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镇巴县中医院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镇巴县城河西南路16号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镇巴县中医院经办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13992698601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镇巴县政府采购中心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陕西省汉中市镇巴县镇巴县泾洋街道办新街16号财政局五楼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龙宁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13093913393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镇巴县中医院</w:t>
      </w:r>
      <w:r>
        <w:rPr>
          <w:rFonts w:ascii="仿宋_GB2312" w:hAnsi="仿宋_GB2312" w:cs="仿宋_GB2312" w:eastAsia="仿宋_GB2312"/>
        </w:rPr>
        <w:t>和</w:t>
      </w:r>
      <w:r>
        <w:rPr>
          <w:rFonts w:ascii="仿宋_GB2312" w:hAnsi="仿宋_GB2312" w:cs="仿宋_GB2312" w:eastAsia="仿宋_GB2312"/>
        </w:rPr>
        <w:t>镇巴县政府采购中心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镇巴县中医院</w:t>
      </w:r>
      <w:r>
        <w:rPr>
          <w:rFonts w:ascii="仿宋_GB2312" w:hAnsi="仿宋_GB2312" w:cs="仿宋_GB2312" w:eastAsia="仿宋_GB2312"/>
        </w:rPr>
        <w:t>负责解释。除上述招标文件内容，其他内容由</w:t>
      </w:r>
      <w:r>
        <w:rPr>
          <w:rFonts w:ascii="仿宋_GB2312" w:hAnsi="仿宋_GB2312" w:cs="仿宋_GB2312" w:eastAsia="仿宋_GB2312"/>
        </w:rPr>
        <w:t>镇巴县政府采购中心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镇巴县中医院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镇巴县政府采购中心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履约验收标准分为技术、商务两部分，电梯设备、安装施工、资料证件、供货工期、售后质保均需符合招标文件、投标文件、合同条款及国家特种设备现行规范标准，全部核查项无偏差、无质量缺陷即为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镇巴县政府采购中心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镇巴县政府采购中心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镇巴县政府采购中心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联系人：龙宁</w:t>
      </w:r>
    </w:p>
    <w:p>
      <w:pPr>
        <w:pStyle w:val="null3"/>
      </w:pPr>
      <w:r>
        <w:rPr>
          <w:rFonts w:ascii="仿宋_GB2312" w:hAnsi="仿宋_GB2312" w:cs="仿宋_GB2312" w:eastAsia="仿宋_GB2312"/>
        </w:rPr>
        <w:t>联系电话：13093913393</w:t>
      </w:r>
    </w:p>
    <w:p>
      <w:pPr>
        <w:pStyle w:val="null3"/>
      </w:pPr>
      <w:r>
        <w:rPr>
          <w:rFonts w:ascii="仿宋_GB2312" w:hAnsi="仿宋_GB2312" w:cs="仿宋_GB2312" w:eastAsia="仿宋_GB2312"/>
        </w:rPr>
        <w:t>地址：陕西省汉中市镇巴县镇巴县泾洋街道办新街16号财政局五楼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镇巴县医共体中医院分院慢病管理综合楼1栋6层框架结构，地上五层、地下一层，建筑面积4022.77平方米，新增床位数80张，按照设计施工图纸采购2部电梯，其中1部有机房电梯5层，1部电梯为无机房7层电梯。所响应标的物达到正常使用条件下的项目总价，包括标的物设备费、所有安装费、运杂费（含仓储费、运输费、装卸费、保险费等）、施工配合费，安装调试费、检测验收费、培训费、税金等其它一切费用，在建设方投入使用前不再产生任何费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镇巴县医共体中医院分院慢病管理综合楼电梯采购项目</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750,000.00</w:t>
            </w:r>
          </w:p>
        </w:tc>
        <w:tc>
          <w:tcPr>
            <w:tcW w:type="dxa" w:w="755"/>
          </w:tcPr>
          <w:p>
            <w:pPr>
              <w:pStyle w:val="null3"/>
            </w:pPr>
            <w:r>
              <w:rPr>
                <w:rFonts w:ascii="仿宋_GB2312" w:hAnsi="仿宋_GB2312" w:cs="仿宋_GB2312" w:eastAsia="仿宋_GB2312"/>
              </w:rPr>
              <w:t>部</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标的名称：镇巴县医共体中医院分院慢病管理综合楼电梯采购项目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电梯采购需求</w:t>
            </w:r>
          </w:p>
          <w:p>
            <w:pPr>
              <w:pStyle w:val="null3"/>
              <w:ind w:firstLine="632"/>
              <w:jc w:val="both"/>
            </w:pPr>
            <w:r>
              <w:rPr>
                <w:rFonts w:ascii="仿宋_GB2312" w:hAnsi="仿宋_GB2312" w:cs="仿宋_GB2312" w:eastAsia="仿宋_GB2312"/>
                <w:sz w:val="21"/>
                <w:b/>
              </w:rPr>
              <w:t>一、产品名称及数量</w:t>
            </w:r>
          </w:p>
          <w:tbl>
            <w:tblPr>
              <w:tblBorders>
                <w:top w:val="none" w:color="000000" w:sz="4"/>
                <w:left w:val="none" w:color="000000" w:sz="4"/>
                <w:bottom w:val="none" w:color="000000" w:sz="4"/>
                <w:right w:val="none" w:color="000000" w:sz="4"/>
                <w:insideH w:val="none"/>
                <w:insideV w:val="none"/>
              </w:tblBorders>
            </w:tblPr>
            <w:tblGrid>
              <w:gridCol w:w="708"/>
              <w:gridCol w:w="2479"/>
            </w:tblGrid>
            <w:tr>
              <w:tc>
                <w:tcPr>
                  <w:tcW w:type="dxa" w:w="7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名称</w:t>
                  </w:r>
                </w:p>
              </w:tc>
              <w:tc>
                <w:tcPr>
                  <w:tcW w:type="dxa" w:w="24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电梯</w:t>
                  </w:r>
                </w:p>
              </w:tc>
            </w:tr>
            <w:tr>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规格</w:t>
                  </w:r>
                </w:p>
              </w:tc>
              <w:tc>
                <w:tcPr>
                  <w:tcW w:type="dxa" w:w="24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rPr>
                    <w:t>额定载重量</w:t>
                  </w:r>
                  <w:r>
                    <w:rPr>
                      <w:rFonts w:ascii="仿宋_GB2312" w:hAnsi="仿宋_GB2312" w:cs="仿宋_GB2312" w:eastAsia="仿宋_GB2312"/>
                      <w:sz w:val="21"/>
                    </w:rPr>
                    <w:t>≥1600kg， 速度≥1.6m/s</w:t>
                  </w:r>
                </w:p>
              </w:tc>
            </w:tr>
            <w:tr>
              <w:tc>
                <w:tcPr>
                  <w:tcW w:type="dxa" w:w="318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rPr>
                    <w:t>主要参数：</w:t>
                  </w:r>
                </w:p>
              </w:tc>
            </w:tr>
            <w:tr>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驱动主机</w:t>
                  </w:r>
                </w:p>
              </w:tc>
              <w:tc>
                <w:tcPr>
                  <w:tcW w:type="dxa" w:w="24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center"/>
                  </w:pPr>
                  <w:r>
                    <w:rPr>
                      <w:rFonts w:ascii="仿宋_GB2312" w:hAnsi="仿宋_GB2312" w:cs="仿宋_GB2312" w:eastAsia="仿宋_GB2312"/>
                      <w:sz w:val="21"/>
                      <w:color w:val="000000"/>
                    </w:rPr>
                    <w:t>永磁同步无齿轮曳引机</w:t>
                  </w:r>
                  <w:r>
                    <w:rPr>
                      <w:rFonts w:ascii="仿宋_GB2312" w:hAnsi="仿宋_GB2312" w:cs="仿宋_GB2312" w:eastAsia="仿宋_GB2312"/>
                      <w:sz w:val="21"/>
                      <w:color w:val="000000"/>
                    </w:rPr>
                    <w:t>、能量回馈，智能故障诊断，远程监控、智能管理。</w:t>
                  </w:r>
                </w:p>
              </w:tc>
            </w:tr>
            <w:tr>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调速方式</w:t>
                  </w:r>
                </w:p>
              </w:tc>
              <w:tc>
                <w:tcPr>
                  <w:tcW w:type="dxa" w:w="24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采用</w:t>
                  </w:r>
                  <w:r>
                    <w:rPr>
                      <w:rFonts w:ascii="仿宋_GB2312" w:hAnsi="仿宋_GB2312" w:cs="仿宋_GB2312" w:eastAsia="仿宋_GB2312"/>
                      <w:sz w:val="21"/>
                      <w:color w:val="000000"/>
                    </w:rPr>
                    <w:t>VVVF变频调压调速系统</w:t>
                  </w:r>
                </w:p>
              </w:tc>
            </w:tr>
            <w:tr>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数量</w:t>
                  </w:r>
                </w:p>
              </w:tc>
              <w:tc>
                <w:tcPr>
                  <w:tcW w:type="dxa" w:w="24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5/5/5</w:t>
                  </w:r>
                  <w:r>
                    <w:rPr>
                      <w:rFonts w:ascii="仿宋_GB2312" w:hAnsi="仿宋_GB2312" w:cs="仿宋_GB2312" w:eastAsia="仿宋_GB2312"/>
                      <w:sz w:val="21"/>
                      <w:color w:val="000000"/>
                    </w:rPr>
                    <w:t>有机房</w:t>
                  </w:r>
                  <w:r>
                    <w:rPr>
                      <w:rFonts w:ascii="仿宋_GB2312" w:hAnsi="仿宋_GB2312" w:cs="仿宋_GB2312" w:eastAsia="仿宋_GB2312"/>
                      <w:sz w:val="21"/>
                      <w:color w:val="000000"/>
                    </w:rPr>
                    <w:t>1台。</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7/7/7</w:t>
                  </w:r>
                  <w:r>
                    <w:rPr>
                      <w:rFonts w:ascii="仿宋_GB2312" w:hAnsi="仿宋_GB2312" w:cs="仿宋_GB2312" w:eastAsia="仿宋_GB2312"/>
                      <w:sz w:val="21"/>
                      <w:color w:val="000000"/>
                    </w:rPr>
                    <w:t>无机房</w:t>
                  </w:r>
                  <w:r>
                    <w:rPr>
                      <w:rFonts w:ascii="仿宋_GB2312" w:hAnsi="仿宋_GB2312" w:cs="仿宋_GB2312" w:eastAsia="仿宋_GB2312"/>
                      <w:sz w:val="21"/>
                      <w:color w:val="000000"/>
                    </w:rPr>
                    <w:t>1台</w:t>
                  </w:r>
                  <w:r>
                    <w:rPr>
                      <w:rFonts w:ascii="仿宋_GB2312" w:hAnsi="仿宋_GB2312" w:cs="仿宋_GB2312" w:eastAsia="仿宋_GB2312"/>
                      <w:sz w:val="21"/>
                      <w:color w:val="000000"/>
                    </w:rPr>
                    <w:t>，</w:t>
                  </w:r>
                  <w:r>
                    <w:rPr>
                      <w:rFonts w:ascii="仿宋_GB2312" w:hAnsi="仿宋_GB2312" w:cs="仿宋_GB2312" w:eastAsia="仿宋_GB2312"/>
                      <w:sz w:val="21"/>
                      <w:color w:val="000000"/>
                    </w:rPr>
                    <w:t>应具备消防电梯功能（符合消防电梯相关国家标准）</w:t>
                  </w:r>
                  <w:r>
                    <w:rPr>
                      <w:rFonts w:ascii="仿宋_GB2312" w:hAnsi="仿宋_GB2312" w:cs="仿宋_GB2312" w:eastAsia="仿宋_GB2312"/>
                      <w:sz w:val="21"/>
                      <w:color w:val="000000"/>
                    </w:rPr>
                    <w:t>。</w:t>
                  </w:r>
                </w:p>
              </w:tc>
            </w:tr>
            <w:tr>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额定载重</w:t>
                  </w:r>
                </w:p>
              </w:tc>
              <w:tc>
                <w:tcPr>
                  <w:tcW w:type="dxa" w:w="24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≥1600kg</w:t>
                  </w:r>
                </w:p>
              </w:tc>
            </w:tr>
            <w:tr>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额定速度</w:t>
                  </w:r>
                </w:p>
              </w:tc>
              <w:tc>
                <w:tcPr>
                  <w:tcW w:type="dxa" w:w="24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≥1.6m/s （超速保护、门锁保护）</w:t>
                  </w:r>
                </w:p>
              </w:tc>
            </w:tr>
            <w:tr>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层</w:t>
                  </w:r>
                  <w:r>
                    <w:rPr>
                      <w:rFonts w:ascii="仿宋_GB2312" w:hAnsi="仿宋_GB2312" w:cs="仿宋_GB2312" w:eastAsia="仿宋_GB2312"/>
                      <w:sz w:val="21"/>
                      <w:color w:val="000000"/>
                    </w:rPr>
                    <w:t>/站/门</w:t>
                  </w:r>
                </w:p>
              </w:tc>
              <w:tc>
                <w:tcPr>
                  <w:tcW w:type="dxa" w:w="24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5/5/5</w:t>
                  </w:r>
                  <w:r>
                    <w:rPr>
                      <w:rFonts w:ascii="仿宋_GB2312" w:hAnsi="仿宋_GB2312" w:cs="仿宋_GB2312" w:eastAsia="仿宋_GB2312"/>
                      <w:sz w:val="21"/>
                      <w:color w:val="000000"/>
                    </w:rPr>
                    <w:t>；</w:t>
                  </w:r>
                  <w:r>
                    <w:rPr>
                      <w:rFonts w:ascii="仿宋_GB2312" w:hAnsi="仿宋_GB2312" w:cs="仿宋_GB2312" w:eastAsia="仿宋_GB2312"/>
                      <w:sz w:val="21"/>
                      <w:color w:val="000000"/>
                    </w:rPr>
                    <w:t>7/7/7</w:t>
                  </w:r>
                  <w:r>
                    <w:rPr>
                      <w:rFonts w:ascii="仿宋_GB2312" w:hAnsi="仿宋_GB2312" w:cs="仿宋_GB2312" w:eastAsia="仿宋_GB2312"/>
                      <w:sz w:val="21"/>
                      <w:color w:val="000000"/>
                    </w:rPr>
                    <w:t>。</w:t>
                  </w:r>
                </w:p>
              </w:tc>
            </w:tr>
            <w:tr>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井道尺寸</w:t>
                  </w:r>
                  <w:r>
                    <w:rPr>
                      <w:rFonts w:ascii="仿宋_GB2312" w:hAnsi="仿宋_GB2312" w:cs="仿宋_GB2312" w:eastAsia="仿宋_GB2312"/>
                      <w:sz w:val="21"/>
                      <w:color w:val="000000"/>
                    </w:rPr>
                    <w:t>(mm)</w:t>
                  </w:r>
                </w:p>
              </w:tc>
              <w:tc>
                <w:tcPr>
                  <w:tcW w:type="dxa" w:w="24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2400(宽）×3000（深）</w:t>
                  </w:r>
                  <w:r>
                    <w:rPr>
                      <w:rFonts w:ascii="仿宋_GB2312" w:hAnsi="仿宋_GB2312" w:cs="仿宋_GB2312" w:eastAsia="仿宋_GB2312"/>
                      <w:sz w:val="21"/>
                      <w:color w:val="000000"/>
                    </w:rPr>
                    <w:t>，</w:t>
                  </w:r>
                  <w:r>
                    <w:rPr>
                      <w:rFonts w:ascii="仿宋_GB2312" w:hAnsi="仿宋_GB2312" w:cs="仿宋_GB2312" w:eastAsia="仿宋_GB2312"/>
                      <w:sz w:val="21"/>
                      <w:color w:val="000000"/>
                    </w:rPr>
                    <w:t>以实际测量为准</w:t>
                  </w:r>
                  <w:r>
                    <w:rPr>
                      <w:rFonts w:ascii="仿宋_GB2312" w:hAnsi="仿宋_GB2312" w:cs="仿宋_GB2312" w:eastAsia="仿宋_GB2312"/>
                      <w:sz w:val="21"/>
                      <w:color w:val="000000"/>
                    </w:rPr>
                    <w:t>。</w:t>
                  </w:r>
                </w:p>
              </w:tc>
            </w:tr>
            <w:tr>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轿厢尺寸</w:t>
                  </w:r>
                  <w:r>
                    <w:rPr>
                      <w:rFonts w:ascii="仿宋_GB2312" w:hAnsi="仿宋_GB2312" w:cs="仿宋_GB2312" w:eastAsia="仿宋_GB2312"/>
                      <w:sz w:val="21"/>
                      <w:color w:val="000000"/>
                    </w:rPr>
                    <w:t>(mm)</w:t>
                  </w:r>
                </w:p>
              </w:tc>
              <w:tc>
                <w:tcPr>
                  <w:tcW w:type="dxa" w:w="24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1400(宽）×2400（深）×</w:t>
                  </w:r>
                  <w:r>
                    <w:rPr>
                      <w:rFonts w:ascii="仿宋_GB2312" w:hAnsi="仿宋_GB2312" w:cs="仿宋_GB2312" w:eastAsia="仿宋_GB2312"/>
                      <w:sz w:val="21"/>
                      <w:color w:val="000000"/>
                    </w:rPr>
                    <w:t>2300</w:t>
                  </w:r>
                  <w:r>
                    <w:rPr>
                      <w:rFonts w:ascii="仿宋_GB2312" w:hAnsi="仿宋_GB2312" w:cs="仿宋_GB2312" w:eastAsia="仿宋_GB2312"/>
                      <w:sz w:val="21"/>
                      <w:color w:val="000000"/>
                    </w:rPr>
                    <w:t>(高)</w:t>
                  </w:r>
                  <w:r>
                    <w:rPr>
                      <w:rFonts w:ascii="仿宋_GB2312" w:hAnsi="仿宋_GB2312" w:cs="仿宋_GB2312" w:eastAsia="仿宋_GB2312"/>
                      <w:sz w:val="21"/>
                      <w:color w:val="000000"/>
                    </w:rPr>
                    <w:t>，</w:t>
                  </w:r>
                  <w:r>
                    <w:rPr>
                      <w:rFonts w:ascii="仿宋_GB2312" w:hAnsi="仿宋_GB2312" w:cs="仿宋_GB2312" w:eastAsia="仿宋_GB2312"/>
                      <w:sz w:val="21"/>
                      <w:color w:val="000000"/>
                    </w:rPr>
                    <w:t>须适配井道实际测量尺寸要求</w:t>
                  </w:r>
                  <w:r>
                    <w:rPr>
                      <w:rFonts w:ascii="仿宋_GB2312" w:hAnsi="仿宋_GB2312" w:cs="仿宋_GB2312" w:eastAsia="仿宋_GB2312"/>
                      <w:sz w:val="21"/>
                      <w:color w:val="000000"/>
                    </w:rPr>
                    <w:t>。</w:t>
                  </w:r>
                </w:p>
              </w:tc>
            </w:tr>
            <w:tr>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提升高度</w:t>
                  </w:r>
                  <w:r>
                    <w:rPr>
                      <w:rFonts w:ascii="仿宋_GB2312" w:hAnsi="仿宋_GB2312" w:cs="仿宋_GB2312" w:eastAsia="仿宋_GB2312"/>
                      <w:sz w:val="21"/>
                      <w:color w:val="000000"/>
                    </w:rPr>
                    <w:t>(mm)</w:t>
                  </w:r>
                </w:p>
              </w:tc>
              <w:tc>
                <w:tcPr>
                  <w:tcW w:type="dxa" w:w="24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须分别满足有机房和无机房电梯提升高度要求。</w:t>
                  </w:r>
                </w:p>
              </w:tc>
            </w:tr>
            <w:tr>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开门方式</w:t>
                  </w:r>
                </w:p>
              </w:tc>
              <w:tc>
                <w:tcPr>
                  <w:tcW w:type="dxa" w:w="24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旁开门</w:t>
                  </w:r>
                </w:p>
              </w:tc>
            </w:tr>
            <w:tr>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开门尺寸</w:t>
                  </w:r>
                </w:p>
              </w:tc>
              <w:tc>
                <w:tcPr>
                  <w:tcW w:type="dxa" w:w="24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≥1100mm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宽</w:t>
                  </w:r>
                  <w:r>
                    <w:rPr>
                      <w:rFonts w:ascii="仿宋_GB2312" w:hAnsi="仿宋_GB2312" w:cs="仿宋_GB2312" w:eastAsia="仿宋_GB2312"/>
                      <w:sz w:val="21"/>
                      <w:color w:val="000000"/>
                    </w:rPr>
                    <w:t>）</w:t>
                  </w:r>
                  <w:r>
                    <w:rPr>
                      <w:rFonts w:ascii="仿宋_GB2312" w:hAnsi="仿宋_GB2312" w:cs="仿宋_GB2312" w:eastAsia="仿宋_GB2312"/>
                      <w:sz w:val="21"/>
                      <w:color w:val="000000"/>
                    </w:rPr>
                    <w:t>×2100mm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高</w:t>
                  </w:r>
                  <w:r>
                    <w:rPr>
                      <w:rFonts w:ascii="仿宋_GB2312" w:hAnsi="仿宋_GB2312" w:cs="仿宋_GB2312" w:eastAsia="仿宋_GB2312"/>
                      <w:sz w:val="21"/>
                      <w:color w:val="000000"/>
                    </w:rPr>
                    <w:t>）</w:t>
                  </w:r>
                </w:p>
              </w:tc>
            </w:tr>
            <w:tr>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控制系统、控制方式</w:t>
                  </w:r>
                </w:p>
              </w:tc>
              <w:tc>
                <w:tcPr>
                  <w:tcW w:type="dxa" w:w="24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控制系统：高集成模块化</w:t>
                  </w:r>
                  <w:r>
                    <w:rPr>
                      <w:rFonts w:ascii="仿宋_GB2312" w:hAnsi="仿宋_GB2312" w:cs="仿宋_GB2312" w:eastAsia="仿宋_GB2312"/>
                      <w:sz w:val="21"/>
                      <w:color w:val="000000"/>
                    </w:rPr>
                    <w:t>32位微机控制系统，控制方式为</w:t>
                  </w:r>
                  <w:r>
                    <w:rPr>
                      <w:rFonts w:ascii="仿宋_GB2312" w:hAnsi="仿宋_GB2312" w:cs="仿宋_GB2312" w:eastAsia="仿宋_GB2312"/>
                      <w:sz w:val="21"/>
                      <w:color w:val="000000"/>
                    </w:rPr>
                    <w:t>集选并联</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支持物联网监控功能</w:t>
                  </w:r>
                  <w:r>
                    <w:rPr>
                      <w:rFonts w:ascii="仿宋_GB2312" w:hAnsi="仿宋_GB2312" w:cs="仿宋_GB2312" w:eastAsia="仿宋_GB2312"/>
                      <w:sz w:val="21"/>
                      <w:color w:val="000000"/>
                    </w:rPr>
                    <w:t>。</w:t>
                  </w:r>
                </w:p>
              </w:tc>
            </w:tr>
            <w:tr>
              <w:tc>
                <w:tcPr>
                  <w:tcW w:type="dxa" w:w="318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color w:val="000000"/>
                    </w:rPr>
                    <w:t>电梯装璜及配置</w:t>
                  </w:r>
                </w:p>
              </w:tc>
            </w:tr>
            <w:tr>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轿厢</w:t>
                  </w:r>
                </w:p>
              </w:tc>
              <w:tc>
                <w:tcPr>
                  <w:tcW w:type="dxa" w:w="24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发纹不锈钢，正面中央轿壁为镜面不锈钢，配置扶手</w:t>
                  </w:r>
                </w:p>
              </w:tc>
            </w:tr>
            <w:tr>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轿顶</w:t>
                  </w:r>
                </w:p>
              </w:tc>
              <w:tc>
                <w:tcPr>
                  <w:tcW w:type="dxa" w:w="24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轿顶为发纹不锈钢，配置</w:t>
                  </w:r>
                  <w:r>
                    <w:rPr>
                      <w:rFonts w:ascii="仿宋_GB2312" w:hAnsi="仿宋_GB2312" w:cs="仿宋_GB2312" w:eastAsia="仿宋_GB2312"/>
                      <w:sz w:val="21"/>
                      <w:color w:val="000000"/>
                    </w:rPr>
                    <w:t>LED节能照明系统</w:t>
                  </w:r>
                  <w:r>
                    <w:rPr>
                      <w:rFonts w:ascii="仿宋_GB2312" w:hAnsi="仿宋_GB2312" w:cs="仿宋_GB2312" w:eastAsia="仿宋_GB2312"/>
                      <w:sz w:val="21"/>
                      <w:color w:val="000000"/>
                    </w:rPr>
                    <w:t>、应急照明，轿顶需留有摄像孔，随行电缆中应预留高清视频电缆线</w:t>
                  </w:r>
                </w:p>
              </w:tc>
            </w:tr>
            <w:tr>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840"/>
                    <w:jc w:val="both"/>
                  </w:pPr>
                  <w:r>
                    <w:rPr>
                      <w:rFonts w:ascii="仿宋_GB2312" w:hAnsi="仿宋_GB2312" w:cs="仿宋_GB2312" w:eastAsia="仿宋_GB2312"/>
                      <w:sz w:val="21"/>
                      <w:color w:val="000000"/>
                    </w:rPr>
                    <w:t>厅门</w:t>
                  </w:r>
                </w:p>
              </w:tc>
              <w:tc>
                <w:tcPr>
                  <w:tcW w:type="dxa" w:w="24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发纹不锈钢厚度不小于</w:t>
                  </w:r>
                  <w:r>
                    <w:rPr>
                      <w:rFonts w:ascii="仿宋_GB2312" w:hAnsi="仿宋_GB2312" w:cs="仿宋_GB2312" w:eastAsia="仿宋_GB2312"/>
                      <w:sz w:val="21"/>
                      <w:color w:val="000000"/>
                    </w:rPr>
                    <w:t>1.2mm</w:t>
                  </w:r>
                  <w:r>
                    <w:rPr>
                      <w:rFonts w:ascii="仿宋_GB2312" w:hAnsi="仿宋_GB2312" w:cs="仿宋_GB2312" w:eastAsia="仿宋_GB2312"/>
                      <w:sz w:val="21"/>
                      <w:color w:val="000000"/>
                    </w:rPr>
                    <w:t>(耐火等级2小时)</w:t>
                  </w:r>
                </w:p>
              </w:tc>
            </w:tr>
            <w:tr>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840"/>
                    <w:jc w:val="both"/>
                  </w:pPr>
                  <w:r>
                    <w:rPr>
                      <w:rFonts w:ascii="仿宋_GB2312" w:hAnsi="仿宋_GB2312" w:cs="仿宋_GB2312" w:eastAsia="仿宋_GB2312"/>
                      <w:sz w:val="21"/>
                      <w:color w:val="000000"/>
                    </w:rPr>
                    <w:t>门套</w:t>
                  </w:r>
                </w:p>
              </w:tc>
              <w:tc>
                <w:tcPr>
                  <w:tcW w:type="dxa" w:w="24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发纹不锈钢宽门套</w:t>
                  </w:r>
                </w:p>
              </w:tc>
            </w:tr>
            <w:tr>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840"/>
                    <w:jc w:val="both"/>
                  </w:pPr>
                  <w:r>
                    <w:rPr>
                      <w:rFonts w:ascii="仿宋_GB2312" w:hAnsi="仿宋_GB2312" w:cs="仿宋_GB2312" w:eastAsia="仿宋_GB2312"/>
                      <w:sz w:val="21"/>
                      <w:color w:val="000000"/>
                    </w:rPr>
                    <w:t>地板</w:t>
                  </w:r>
                </w:p>
              </w:tc>
              <w:tc>
                <w:tcPr>
                  <w:tcW w:type="dxa" w:w="24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轿厢地板采用仿大理石</w:t>
                  </w:r>
                  <w:r>
                    <w:rPr>
                      <w:rFonts w:ascii="仿宋_GB2312" w:hAnsi="仿宋_GB2312" w:cs="仿宋_GB2312" w:eastAsia="仿宋_GB2312"/>
                      <w:sz w:val="21"/>
                      <w:color w:val="000000"/>
                    </w:rPr>
                    <w:t>PVC地板，防滑、耐磨、易清洁；</w:t>
                  </w:r>
                </w:p>
              </w:tc>
            </w:tr>
            <w:tr>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840"/>
                    <w:jc w:val="both"/>
                  </w:pPr>
                  <w:r>
                    <w:rPr>
                      <w:rFonts w:ascii="仿宋_GB2312" w:hAnsi="仿宋_GB2312" w:cs="仿宋_GB2312" w:eastAsia="仿宋_GB2312"/>
                      <w:sz w:val="21"/>
                      <w:color w:val="000000"/>
                    </w:rPr>
                    <w:t>地坎</w:t>
                  </w:r>
                </w:p>
              </w:tc>
              <w:tc>
                <w:tcPr>
                  <w:tcW w:type="dxa" w:w="24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硬质铝合金</w:t>
                  </w:r>
                </w:p>
              </w:tc>
            </w:tr>
            <w:tr>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840"/>
                    <w:jc w:val="both"/>
                  </w:pPr>
                  <w:r>
                    <w:rPr>
                      <w:rFonts w:ascii="仿宋_GB2312" w:hAnsi="仿宋_GB2312" w:cs="仿宋_GB2312" w:eastAsia="仿宋_GB2312"/>
                      <w:sz w:val="21"/>
                      <w:color w:val="000000"/>
                    </w:rPr>
                    <w:t>通风</w:t>
                  </w:r>
                </w:p>
              </w:tc>
              <w:tc>
                <w:tcPr>
                  <w:tcW w:type="dxa" w:w="24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低噪声通风扇、</w:t>
                  </w:r>
                  <w:r>
                    <w:rPr>
                      <w:rFonts w:ascii="仿宋_GB2312" w:hAnsi="仿宋_GB2312" w:cs="仿宋_GB2312" w:eastAsia="仿宋_GB2312"/>
                      <w:sz w:val="21"/>
                      <w:color w:val="000000"/>
                    </w:rPr>
                    <w:t>通风量大于标准风量，带智能紫外线杀菌灯</w:t>
                  </w:r>
                </w:p>
              </w:tc>
            </w:tr>
            <w:tr>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厅外召唤按钮和层站显示器</w:t>
                  </w:r>
                </w:p>
              </w:tc>
              <w:tc>
                <w:tcPr>
                  <w:tcW w:type="dxa" w:w="24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left"/>
                  </w:pPr>
                  <w:r>
                    <w:rPr>
                      <w:rFonts w:ascii="仿宋_GB2312" w:hAnsi="仿宋_GB2312" w:cs="仿宋_GB2312" w:eastAsia="仿宋_GB2312"/>
                      <w:sz w:val="21"/>
                      <w:color w:val="000000"/>
                    </w:rPr>
                    <w:t>面板材料采用发纹不锈钢或玻璃材质，呼梯按钮为装有</w:t>
                  </w:r>
                  <w:r>
                    <w:rPr>
                      <w:rFonts w:ascii="仿宋_GB2312" w:hAnsi="仿宋_GB2312" w:cs="仿宋_GB2312" w:eastAsia="仿宋_GB2312"/>
                      <w:sz w:val="21"/>
                      <w:color w:val="000000"/>
                    </w:rPr>
                    <w:t>LED微动按钮，LED显示楼层位置及运行方向</w:t>
                  </w:r>
                </w:p>
              </w:tc>
            </w:tr>
            <w:tr>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轿厢操作盘和层站</w:t>
                  </w:r>
                  <w:r>
                    <w:br/>
                  </w:r>
                  <w:r>
                    <w:rPr>
                      <w:rFonts w:ascii="仿宋_GB2312" w:hAnsi="仿宋_GB2312" w:cs="仿宋_GB2312" w:eastAsia="仿宋_GB2312"/>
                      <w:sz w:val="21"/>
                      <w:color w:val="000000"/>
                    </w:rPr>
                    <w:t>显示器</w:t>
                  </w:r>
                </w:p>
              </w:tc>
              <w:tc>
                <w:tcPr>
                  <w:tcW w:type="dxa" w:w="24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left"/>
                  </w:pPr>
                  <w:r>
                    <w:rPr>
                      <w:rFonts w:ascii="仿宋_GB2312" w:hAnsi="仿宋_GB2312" w:cs="仿宋_GB2312" w:eastAsia="仿宋_GB2312"/>
                      <w:sz w:val="21"/>
                      <w:color w:val="000000"/>
                    </w:rPr>
                    <w:t>轿厢操作盘：面板材料采用发纹不锈钢玻璃材质，内选楼层按钮为装有</w:t>
                  </w:r>
                  <w:r>
                    <w:rPr>
                      <w:rFonts w:ascii="仿宋_GB2312" w:hAnsi="仿宋_GB2312" w:cs="仿宋_GB2312" w:eastAsia="仿宋_GB2312"/>
                      <w:sz w:val="21"/>
                      <w:color w:val="000000"/>
                    </w:rPr>
                    <w:t>LED微动按钮，LED显示楼层位置及运行方向，盲文按钮</w:t>
                  </w:r>
                </w:p>
              </w:tc>
            </w:tr>
            <w:tr>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曳引机、控制柜</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含控制系统</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、门机</w:t>
                  </w:r>
                </w:p>
              </w:tc>
              <w:tc>
                <w:tcPr>
                  <w:tcW w:type="dxa" w:w="24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3"/>
                    <w:jc w:val="left"/>
                  </w:pPr>
                  <w:r>
                    <w:rPr>
                      <w:rFonts w:ascii="仿宋_GB2312" w:hAnsi="仿宋_GB2312" w:cs="仿宋_GB2312" w:eastAsia="仿宋_GB2312"/>
                      <w:sz w:val="21"/>
                      <w:b/>
                      <w:color w:val="000000"/>
                    </w:rPr>
                    <w:t>为原厂原品牌（须</w:t>
                  </w:r>
                  <w:r>
                    <w:rPr>
                      <w:rFonts w:ascii="仿宋_GB2312" w:hAnsi="仿宋_GB2312" w:cs="仿宋_GB2312" w:eastAsia="仿宋_GB2312"/>
                      <w:sz w:val="21"/>
                      <w:b/>
                      <w:color w:val="000000"/>
                    </w:rPr>
                    <w:t>在投标文件中</w:t>
                  </w:r>
                  <w:r>
                    <w:rPr>
                      <w:rFonts w:ascii="仿宋_GB2312" w:hAnsi="仿宋_GB2312" w:cs="仿宋_GB2312" w:eastAsia="仿宋_GB2312"/>
                      <w:sz w:val="21"/>
                      <w:b/>
                      <w:color w:val="000000"/>
                    </w:rPr>
                    <w:t>附相关证明材料原件扫描件</w:t>
                  </w:r>
                  <w:r>
                    <w:rPr>
                      <w:rFonts w:ascii="仿宋_GB2312" w:hAnsi="仿宋_GB2312" w:cs="仿宋_GB2312" w:eastAsia="仿宋_GB2312"/>
                      <w:sz w:val="21"/>
                      <w:b/>
                      <w:color w:val="000000"/>
                    </w:rPr>
                    <w:t>加盖公章</w:t>
                  </w:r>
                  <w:r>
                    <w:rPr>
                      <w:rFonts w:ascii="仿宋_GB2312" w:hAnsi="仿宋_GB2312" w:cs="仿宋_GB2312" w:eastAsia="仿宋_GB2312"/>
                      <w:sz w:val="21"/>
                      <w:b/>
                      <w:color w:val="000000"/>
                    </w:rPr>
                    <w:t>）</w:t>
                  </w:r>
                </w:p>
              </w:tc>
            </w:tr>
            <w:tr>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国家规定</w:t>
                  </w:r>
                </w:p>
              </w:tc>
              <w:tc>
                <w:tcPr>
                  <w:tcW w:type="dxa" w:w="24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3"/>
                    <w:jc w:val="left"/>
                  </w:pPr>
                  <w:r>
                    <w:rPr>
                      <w:rFonts w:ascii="仿宋_GB2312" w:hAnsi="仿宋_GB2312" w:cs="仿宋_GB2312" w:eastAsia="仿宋_GB2312"/>
                      <w:sz w:val="21"/>
                      <w:b/>
                      <w:color w:val="000000"/>
                    </w:rPr>
                    <w:t>应满足的相关国家标准（包括但不限于）：《电梯制造与安装安全规范，第一部分：乘客电梯和载货电梯》</w:t>
                  </w:r>
                  <w:r>
                    <w:rPr>
                      <w:rFonts w:ascii="仿宋_GB2312" w:hAnsi="仿宋_GB2312" w:cs="仿宋_GB2312" w:eastAsia="仿宋_GB2312"/>
                      <w:sz w:val="21"/>
                      <w:b/>
                      <w:color w:val="000000"/>
                    </w:rPr>
                    <w:t>GB/T7588.1-2020、《电梯制造与安装安全规范，第二部分：电梯部件和设计原则、计算和检验》GB/T7588.2-2020</w:t>
                  </w:r>
                  <w:r>
                    <w:rPr>
                      <w:rFonts w:ascii="仿宋_GB2312" w:hAnsi="仿宋_GB2312" w:cs="仿宋_GB2312" w:eastAsia="仿宋_GB2312"/>
                      <w:sz w:val="21"/>
                      <w:b/>
                      <w:color w:val="000000"/>
                    </w:rPr>
                    <w:t>。</w:t>
                  </w:r>
                </w:p>
              </w:tc>
            </w:tr>
            <w:tr>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其他要求</w:t>
                  </w:r>
                </w:p>
              </w:tc>
              <w:tc>
                <w:tcPr>
                  <w:tcW w:type="dxa" w:w="24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1.加装电梯智能阻止系统；</w:t>
                  </w:r>
                </w:p>
                <w:p>
                  <w:pPr>
                    <w:pStyle w:val="null3"/>
                    <w:jc w:val="left"/>
                  </w:pPr>
                  <w:r>
                    <w:rPr>
                      <w:rFonts w:ascii="仿宋_GB2312" w:hAnsi="仿宋_GB2312" w:cs="仿宋_GB2312" w:eastAsia="仿宋_GB2312"/>
                      <w:sz w:val="21"/>
                      <w:b/>
                      <w:color w:val="000000"/>
                    </w:rPr>
                    <w:t>2、购买至少两年的电梯保险；</w:t>
                  </w:r>
                </w:p>
                <w:p>
                  <w:pPr>
                    <w:pStyle w:val="null3"/>
                    <w:jc w:val="left"/>
                  </w:pPr>
                  <w:r>
                    <w:rPr>
                      <w:rFonts w:ascii="仿宋_GB2312" w:hAnsi="仿宋_GB2312" w:cs="仿宋_GB2312" w:eastAsia="仿宋_GB2312"/>
                      <w:sz w:val="21"/>
                      <w:b/>
                      <w:color w:val="000000"/>
                    </w:rPr>
                    <w:t>3、电梯免保期至少两年</w:t>
                  </w:r>
                  <w:r>
                    <w:rPr>
                      <w:rFonts w:ascii="仿宋_GB2312" w:hAnsi="仿宋_GB2312" w:cs="仿宋_GB2312" w:eastAsia="仿宋_GB2312"/>
                      <w:sz w:val="21"/>
                      <w:b/>
                      <w:color w:val="000000"/>
                    </w:rPr>
                    <w:t>。</w:t>
                  </w:r>
                </w:p>
              </w:tc>
            </w:tr>
          </w:tbl>
          <w:p>
            <w:pPr>
              <w:pStyle w:val="null3"/>
            </w:pPr>
            <w:r>
              <w:rPr>
                <w:rFonts w:ascii="仿宋_GB2312" w:hAnsi="仿宋_GB2312" w:cs="仿宋_GB2312" w:eastAsia="仿宋_GB2312"/>
                <w:sz w:val="21"/>
                <w:b/>
                <w:color w:val="000000"/>
              </w:rPr>
              <w:t>产品基本功能：</w:t>
            </w:r>
          </w:p>
          <w:tbl>
            <w:tblPr>
              <w:tblBorders>
                <w:top w:val="none" w:color="000000" w:sz="4"/>
                <w:left w:val="none" w:color="000000" w:sz="4"/>
                <w:bottom w:val="none" w:color="000000" w:sz="4"/>
                <w:right w:val="none" w:color="000000" w:sz="4"/>
                <w:insideH w:val="none"/>
                <w:insideV w:val="none"/>
              </w:tblBorders>
            </w:tblPr>
            <w:tblGrid>
              <w:gridCol w:w="261"/>
              <w:gridCol w:w="803"/>
              <w:gridCol w:w="2117"/>
            </w:tblGrid>
            <w:tr>
              <w:tc>
                <w:tcPr>
                  <w:tcW w:type="dxa" w:w="2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序号</w:t>
                  </w:r>
                </w:p>
              </w:tc>
              <w:tc>
                <w:tcPr>
                  <w:tcW w:type="dxa" w:w="8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功能</w:t>
                  </w:r>
                </w:p>
              </w:tc>
              <w:tc>
                <w:tcPr>
                  <w:tcW w:type="dxa" w:w="21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功能说明</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曳引机同步运行</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采用永磁同步无齿轮曳引机、能量回馈</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井道高度自学习</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电梯能进行井道自学习，可精确测量楼层高度，以实现精准平层</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启动补偿</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电梯在启动之前自动计算轿厢内载荷施加补偿扭矩，使其在启动时更加舒适、平稳</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专用运行</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操纵盘内设有专用运转开关，打开此开关后只应答轿厢内选层，不应答外呼呼叫</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司机操作功能</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电梯可以配备专业司机人员，由司机控制电梯应答轿厢内与侯梯厅的呼叫</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驻停操作功能</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夜间或休息日等对电梯停用的时候，可由指定楼层呼梯面板上的钥匙开关进行停梯操作。</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7</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故障时自动就近应急平层</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当电梯运行过程中发生故障而未能自动排除，电梯自动检测并判断故障级别在不影响安全运行时，以低速自动运行至最近楼层停靠开门，让乘客离开轿厢</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8</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不能开门时救出运转</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当电梯自动平层后因厅门地坎内有异物（垃圾、小石子等）卡阻不能打开时，电梯将运行到邻近楼层自动开门将乘客救出。</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超载报警</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超过电梯额定载重量，轿厢蜂鸣器发出断续的警告声，并且轿厢操纵盘显示</w:t>
                  </w:r>
                  <w:r>
                    <w:rPr>
                      <w:rFonts w:ascii="仿宋_GB2312" w:hAnsi="仿宋_GB2312" w:cs="仿宋_GB2312" w:eastAsia="仿宋_GB2312"/>
                      <w:sz w:val="21"/>
                      <w:color w:val="000000"/>
                    </w:rPr>
                    <w:t>“超载”，同时阻止轿厢关门动作。</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10</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门异常自动诊断检查</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如轿厢门在预定的时间内无法正常开启，门会自动关闭，</w:t>
                  </w:r>
                  <w:r>
                    <w:rPr>
                      <w:rFonts w:ascii="仿宋_GB2312" w:hAnsi="仿宋_GB2312" w:cs="仿宋_GB2312" w:eastAsia="仿宋_GB2312"/>
                      <w:sz w:val="21"/>
                      <w:color w:val="000000"/>
                    </w:rPr>
                    <w:t>再重新尝试开门；多次尝试后仍然无法正常开门时，自动运行至前方一层开门。如如轿厢门在预定的时间内无法正常关闭，将会重复关闭动作已清除门槛内的的障碍物。</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11</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光幕</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在轿厢门两侧安装光幕和机械安全触板。关门过程中任何一道光束被遮挡，门会立刻停止关闭并反向开门。</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12</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五方通话</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轿厢操纵盘上装设有对讲机，可实现与中控室电梯轿厢、电梯轿顶、电梯底坑、电梯机房五方在线实时对讲（无线接入指定地点）。</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13</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轿厢应急照明</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停电时，充电式锂电池可给轿厢内紧急照明灯供电</w:t>
                  </w:r>
                  <w:r>
                    <w:rPr>
                      <w:rFonts w:ascii="仿宋_GB2312" w:hAnsi="仿宋_GB2312" w:cs="仿宋_GB2312" w:eastAsia="仿宋_GB2312"/>
                      <w:sz w:val="21"/>
                      <w:color w:val="000000"/>
                    </w:rPr>
                    <w:t>1.5 小时</w:t>
                  </w:r>
                </w:p>
                <w:p>
                  <w:pPr>
                    <w:pStyle w:val="null3"/>
                    <w:jc w:val="both"/>
                  </w:pPr>
                  <w:r>
                    <w:rPr>
                      <w:rFonts w:ascii="仿宋_GB2312" w:hAnsi="仿宋_GB2312" w:cs="仿宋_GB2312" w:eastAsia="仿宋_GB2312"/>
                      <w:sz w:val="21"/>
                      <w:color w:val="000000"/>
                    </w:rPr>
                    <w:t>以上。</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14</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闲暇自动检测运转</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避开正常运行时段，在设定的闲暇时段内自动检查电梯运转状况和制动系统工作状况。</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15</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电源自动检测</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供电电源缺相时自动停止电梯运转</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16</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指令误登记取消</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乘客在操纵箱内可以采用连续按动按钮两次的方法来取消误登记的指令。</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17</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防捣乱</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如果同时按下三个按钮或短时间内按下四个以上的按钮，后者轿厢内载重在</w:t>
                  </w:r>
                  <w:r>
                    <w:rPr>
                      <w:rFonts w:ascii="仿宋_GB2312" w:hAnsi="仿宋_GB2312" w:cs="仿宋_GB2312" w:eastAsia="仿宋_GB2312"/>
                      <w:sz w:val="21"/>
                      <w:color w:val="000000"/>
                    </w:rPr>
                    <w:t>100 公斤以下，同时选择四个以上按钮时，则会自动取消轿厢内呼叫</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18</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超速电气保护</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当电梯超速时，电气装置能及时检测并停止电梯运行</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19</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超速机械保护</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当电梯超速时，机械装置能及时检测并停止电梯运行</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20</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曳引机空转保护</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当钢丝绳打滑时，智能故障诊断功能，电梯能有效检测并停止运行</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21</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轿门防扒开保护装置</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能防止电梯在非开锁区域时轿门被打开而导致乘客坠入井道危险发生</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22</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轿厢意外移动</w:t>
                  </w:r>
                </w:p>
                <w:p>
                  <w:pPr>
                    <w:pStyle w:val="null3"/>
                    <w:jc w:val="center"/>
                  </w:pPr>
                  <w:r>
                    <w:rPr>
                      <w:rFonts w:ascii="仿宋_GB2312" w:hAnsi="仿宋_GB2312" w:cs="仿宋_GB2312" w:eastAsia="仿宋_GB2312"/>
                      <w:sz w:val="21"/>
                      <w:color w:val="000000"/>
                    </w:rPr>
                    <w:t>保护装置</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在电梯厅、轿门处于打开状态非正常偏离平层位置系统自动制停轿厢，防止人员以外伤害。</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23</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自动再平层</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轿厢自动检测水平位置，无需担心由于乘客进出引起的平层位置变化。</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24</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耐冲击层门系统</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层门系统加固，有效防止因冲击层门而导致坠入井道危险发生。保障电梯相关人员安全</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25</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基准层返回任意设置</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基站待机层根据使用需要任意设置</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26</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禁止反向运行登录</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轿厢呼叫与实际运行方向相反时，反向轿厢呼叫无法登录</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27</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开门时间自动调整</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因呼叫种类的不同，系统自动设定最适当的开门状态保持时间</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28</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轿厢照明、换气扇自动关闭</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当电梯应答完所有呼叫后经过一段时间内仍无人使用时，电梯会自动关闭照明及风扇，以减少能源消耗。</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29</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消防服务运转</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电梯在自动运行状态下，当设置在首层的消防开关开启，</w:t>
                  </w:r>
                  <w:r>
                    <w:rPr>
                      <w:rFonts w:ascii="仿宋_GB2312" w:hAnsi="仿宋_GB2312" w:cs="仿宋_GB2312" w:eastAsia="仿宋_GB2312"/>
                      <w:sz w:val="21"/>
                      <w:color w:val="000000"/>
                    </w:rPr>
                    <w:t>电梯自动取消所有登录呼叫指令，直接返回避难层，交由消防员使用变为消防专用运行模式。</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30</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消防运行信号反馈</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当消防或火灾管制信号输入时，电梯返回到设定楼层后，系统自动输出反馈信号。</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31</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满载不停</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1"/>
                      <w:color w:val="000000"/>
                    </w:rPr>
                    <w:t>电梯自动称量装置检测到电梯已满载时（约</w:t>
                  </w:r>
                  <w:r>
                    <w:rPr>
                      <w:rFonts w:ascii="仿宋_GB2312" w:hAnsi="仿宋_GB2312" w:cs="仿宋_GB2312" w:eastAsia="仿宋_GB2312"/>
                      <w:sz w:val="21"/>
                      <w:color w:val="000000"/>
                    </w:rPr>
                    <w:t>80％的额定载重），轿厢外呼系统显示满员并不再接受侯梯厅呼叫信号，</w:t>
                  </w:r>
                </w:p>
                <w:p>
                  <w:pPr>
                    <w:pStyle w:val="null3"/>
                    <w:jc w:val="both"/>
                  </w:pPr>
                  <w:r>
                    <w:rPr>
                      <w:rFonts w:ascii="仿宋_GB2312" w:hAnsi="仿宋_GB2312" w:cs="仿宋_GB2312" w:eastAsia="仿宋_GB2312"/>
                      <w:sz w:val="21"/>
                      <w:color w:val="000000"/>
                    </w:rPr>
                    <w:t>自动通过不停，只接受轿厢呼叫</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32</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接触器触点粘连保护</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系统随时检测接触器动作是否可靠，发现可靠，立即停止运行。</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33</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抱闸检测保护</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rFonts w:ascii="仿宋_GB2312" w:hAnsi="仿宋_GB2312" w:cs="仿宋_GB2312" w:eastAsia="仿宋_GB2312"/>
                      <w:sz w:val="21"/>
                      <w:color w:val="000000"/>
                    </w:rPr>
                    <w:t>对抱闸臂的打开和闭合实时检测，若发生异常，或抱闸接触</w:t>
                  </w:r>
                </w:p>
                <w:p>
                  <w:pPr>
                    <w:pStyle w:val="null3"/>
                    <w:jc w:val="both"/>
                  </w:pPr>
                  <w:r>
                    <w:rPr>
                      <w:rFonts w:ascii="仿宋_GB2312" w:hAnsi="仿宋_GB2312" w:cs="仿宋_GB2312" w:eastAsia="仿宋_GB2312"/>
                      <w:sz w:val="21"/>
                      <w:color w:val="000000"/>
                    </w:rPr>
                    <w:t>器粘连，电梯禁止再启动，确保安全</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34</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电磁兼容性</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电梯整梯采用电磁兼容性设计，自身具有抗干扰能力且减少</w:t>
                  </w:r>
                </w:p>
                <w:p>
                  <w:pPr>
                    <w:pStyle w:val="null3"/>
                    <w:jc w:val="both"/>
                  </w:pPr>
                  <w:r>
                    <w:rPr>
                      <w:rFonts w:ascii="仿宋_GB2312" w:hAnsi="仿宋_GB2312" w:cs="仿宋_GB2312" w:eastAsia="仿宋_GB2312"/>
                      <w:sz w:val="21"/>
                      <w:color w:val="000000"/>
                    </w:rPr>
                    <w:t>对外界的电磁干扰设计</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35</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噪音要求</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运行时轿厢内噪音</w:t>
                  </w:r>
                  <w:r>
                    <w:rPr>
                      <w:rFonts w:ascii="仿宋_GB2312" w:hAnsi="仿宋_GB2312" w:cs="仿宋_GB2312" w:eastAsia="仿宋_GB2312"/>
                      <w:sz w:val="21"/>
                      <w:color w:val="000000"/>
                    </w:rPr>
                    <w:t>≤55dB</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36</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消防功能</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消防梯配置</w:t>
                  </w:r>
                  <w:r>
                    <w:rPr>
                      <w:rFonts w:ascii="仿宋_GB2312" w:hAnsi="仿宋_GB2312" w:cs="仿宋_GB2312" w:eastAsia="仿宋_GB2312"/>
                      <w:sz w:val="21"/>
                      <w:color w:val="000000"/>
                    </w:rPr>
                    <w:t>EFO2紧急消防操作（手动）、EFS1紧急消防服务（自动）功能，满足消防应急运行要求；</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37</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其他说明</w:t>
                  </w:r>
                </w:p>
              </w:tc>
              <w:tc>
                <w:tcPr>
                  <w:tcW w:type="dxa" w:w="21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1.两台电梯顶层高度3.4米，地坑深度5层5站的是0.7米， 7层7站的是1.8米 。</w:t>
                  </w:r>
                </w:p>
                <w:p>
                  <w:pPr>
                    <w:pStyle w:val="null3"/>
                    <w:jc w:val="both"/>
                  </w:pPr>
                  <w:r>
                    <w:rPr>
                      <w:rFonts w:ascii="仿宋_GB2312" w:hAnsi="仿宋_GB2312" w:cs="仿宋_GB2312" w:eastAsia="仿宋_GB2312"/>
                      <w:sz w:val="21"/>
                      <w:color w:val="000000"/>
                    </w:rPr>
                    <w:t>2.5层5站有机房电梯不到地下室，下方有人能到达空间位置。</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合同签订后90日历天完成安装交付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镇巴县中医院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进度款，安装调试完成，达到付款条件起30个工作日内，支付合同总金额的40.0%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其他，试运行并验收合格后支付尾款，达到付款条件起30个工作日内，支付合同总金额的30.0%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本项目电梯设备及安装工程需符合国家特种设备、电梯施工相关规范及招标文件设计要求，现场核查尺寸、安装质量、运行功能，全套竣工及特种设备资料齐全即为验收合格。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本项目全部电梯设备、安装配套工程整体保修2年，质保期内免费维修更换所有配件、处理安装故障，因施工安装、设备自身质量产生的问题均属保修范围。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若供货、安装、维保任一环节违约，违约方承担由此造成的一切损失；双方发生合同纠纷优先友好协商，协商无果可向项目属地人民法院诉讼解决。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供应商应提交的相关资格证明材料(1)(1).pdf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供应商应提交的相关资格证明材料(1)(1).pdf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非联合体、不分包响应证明</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本项目不接受联合体投标，不允许分包。投标人应提供《非联合体不分包投标声明》，视为独立响应，不分包，供应商需在项目电子化交易系统中按要求上传相应证明文件并进行电子签章;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供应商应提交的相关资格证明材料(1)(1).pdf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投标文件中，凡格式要求法定代表人或其授权委托人签字或盖章的地方，均须由法定代表人或其授权委托人签字或盖章；同时，整本投标文件须逐页加盖投标供应商的公章。</w:t>
            </w:r>
          </w:p>
        </w:tc>
        <w:tc>
          <w:tcPr>
            <w:tcW w:type="dxa" w:w="1661"/>
          </w:tcPr>
          <w:p>
            <w:pPr>
              <w:pStyle w:val="null3"/>
            </w:pPr>
            <w:r>
              <w:rPr>
                <w:rFonts w:ascii="仿宋_GB2312" w:hAnsi="仿宋_GB2312" w:cs="仿宋_GB2312" w:eastAsia="仿宋_GB2312"/>
              </w:rPr>
              <w:t>开标一览表 技术方案.pdf 中小企业声明函 商务应答表 供应商承诺函.pdf 业绩一览表.pdf 产品技术参数表 投标函 残疾人福利性单位声明函 标的清单 供应商应提交的相关资格证明材料(1)(1).pdf 投标文件封面 监狱企业的证明文件 供应商认为需要补充的其他内容.pdf 分项报价表.pdf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1、报价唯一；2、报价货币符合招标文件要求;3、未超出采购预算或招标文件规定的最高限价;4、超出采购预算或招标文件规定的最高限价的按废标处理。</w:t>
            </w:r>
          </w:p>
        </w:tc>
        <w:tc>
          <w:tcPr>
            <w:tcW w:type="dxa" w:w="1661"/>
          </w:tcPr>
          <w:p>
            <w:pPr>
              <w:pStyle w:val="null3"/>
            </w:pPr>
            <w:r>
              <w:rPr>
                <w:rFonts w:ascii="仿宋_GB2312" w:hAnsi="仿宋_GB2312" w:cs="仿宋_GB2312" w:eastAsia="仿宋_GB2312"/>
              </w:rPr>
              <w:t>开标一览表 投标函 标的清单 分项报价表.pdf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招标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开标一览表 技术方案.pdf 中小企业声明函 商务应答表 供应商承诺函.pdf 业绩一览表.pdf 产品技术参数表 投标函 残疾人福利性单位声明函 标的清单 供应商应提交的相关资格证明材料(1)(1).pdf 投标文件封面 监狱企业的证明文件 供应商认为需要补充的其他内容.pdf 分项报价表.pdf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核心部件自主生产能力及合规检测</w:t>
            </w:r>
          </w:p>
        </w:tc>
        <w:tc>
          <w:tcPr>
            <w:tcW w:type="dxa" w:w="2492"/>
          </w:tcPr>
          <w:p>
            <w:pPr>
              <w:pStyle w:val="null3"/>
            </w:pPr>
            <w:r>
              <w:rPr>
                <w:rFonts w:ascii="仿宋_GB2312" w:hAnsi="仿宋_GB2312" w:cs="仿宋_GB2312" w:eastAsia="仿宋_GB2312"/>
              </w:rPr>
              <w:t>1.曳引机、控制柜、门机系统均为电梯制造厂家自有品牌原厂生产，且整机、限速器、安全钳、缓冲器均为原厂制造。提供整机及限速器、安全钳、缓冲器、曳引机、控制柜型式试验报告，门机系统提供型式（委托）试验报告或CMA/CNAS认证第三方检验报告，且与投标电梯型号、参数完全对应，得12分； 2.上述部件报告完整，但缺少限速器、安全钳、缓冲器中任意1-2项型式试验报告，得7分； 3.仅提供曳引机、控制柜两项核心部件型式试验报告，得3分； 4.仅提供上述任意一项核心部件型式试验报告，得1分； 5.无任何有效型式试验报告，或提供报告型号/参数与投标产品不符，得0分。 注：①型式试验报告须由国家市场监管总局授权的特种设备型式试验机构出具，报告带有TSG标识，报告型号、额定载重、额定速度须与投标电梯参数一一对应；②型式试验报告复印件须加盖电梯制造厂家公章方为有效。</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核心部件性能指标</w:t>
            </w:r>
          </w:p>
        </w:tc>
        <w:tc>
          <w:tcPr>
            <w:tcW w:type="dxa" w:w="2492"/>
          </w:tcPr>
          <w:p>
            <w:pPr>
              <w:pStyle w:val="null3"/>
            </w:pPr>
            <w:r>
              <w:rPr>
                <w:rFonts w:ascii="仿宋_GB2312" w:hAnsi="仿宋_GB2312" w:cs="仿宋_GB2312" w:eastAsia="仿宋_GB2312"/>
              </w:rPr>
              <w:t>须提供CMA/CNAS认证第三方检测报告或国家法定型式试验报告作为佐证，参数与投标产品一致，否则不得分。 1. 制动器稳定性（3分）: 所投电梯驱动主机制动器总成（含电磁铁、制动弹性元件、机械制动部件、被制动部件、基体部件、供电及控制板、状态检测装置等全套组成部件），严格依据《电梯型式试验规则》（TSG T7007-2022）相关标准完成耐久性动作试验。试验要求：制动器总成完成不少于2000万次无间断动作试验，试验全过程禁止开展任何维护、调试、更换零部件等干预操作；试验期间制动器无卡滞、失效、异响、误动作等任何故障，试验结束后制动器各项功能正常、动作灵敏可靠，完全满足规范及产品运行要求。 ①完全满足全部要求：制动器总成完成不少于2000万次无间断动作试验，试验全程无任何维护干预、试验过程无故障、试验后功能动作正常，且佐证报告完整合规、参数与投标产品一致，本项得3分； ②基本满足核心要求：制动器总成试验次数达到1000万次及以上、未达到2000万次，试验全程无维护干预、无故障、试验后功能正常，佐证材料合规匹配，本项得1分； ③不满足要求：试验次数不足1000万次、试验过程存在维护调试等干预行为、试验期间出现故障、试验后功能异常，或未提供有效合规佐证材料、报告参数与投标产品不一致的，本项不得分。 2.控制柜抗雷击性能（3分）:控制柜雷击浪涌抗扰电压≥15kV，得3分；10kV≤抗雷击电压＜15kV，得1分；低于10kV或无合规佐证材料，得0分； 3.门机系统耐久性能（4分）:门机系统（含层门锁、轿门锁装置）机械耐久试验次数≥1000万次，得4分；500万次≤次数＜1000万次，得2分；低于500万次或无合规佐证材料，得0分。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制造商研发与检测实力</w:t>
            </w:r>
          </w:p>
        </w:tc>
        <w:tc>
          <w:tcPr>
            <w:tcW w:type="dxa" w:w="2492"/>
          </w:tcPr>
          <w:p>
            <w:pPr>
              <w:pStyle w:val="null3"/>
            </w:pPr>
            <w:r>
              <w:rPr>
                <w:rFonts w:ascii="仿宋_GB2312" w:hAnsi="仿宋_GB2312" w:cs="仿宋_GB2312" w:eastAsia="仿宋_GB2312"/>
              </w:rPr>
              <w:t>佐证材料真实有效、证书在有效期内即可得分。 1.电梯试验塔配置（2分）:制造商自有或集团控股综合电梯试验塔高度≥90m，得2分；50m≤高度＜90m，得1分；无自有试验塔或高度＜50m，得0分； 2.实验室资质（2分）:制造商自有电梯专项检测实验室通过CNAS国家实验室认证，得2分；未通过或无有效佐证材料，得0分。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整梯能效</w:t>
            </w:r>
          </w:p>
        </w:tc>
        <w:tc>
          <w:tcPr>
            <w:tcW w:type="dxa" w:w="2492"/>
          </w:tcPr>
          <w:p>
            <w:pPr>
              <w:pStyle w:val="null3"/>
            </w:pPr>
            <w:r>
              <w:rPr>
                <w:rFonts w:ascii="仿宋_GB2312" w:hAnsi="仿宋_GB2312" w:cs="仿宋_GB2312" w:eastAsia="仿宋_GB2312"/>
              </w:rPr>
              <w:t>投标整梯依据ISO 25745-1:2012、ISO 25745-2:2015标准能效测试达到A级/1级，提供有效第三方合规检测证书，得3分；达到B级/2级，得1分；未达标或无有效佐证材料，得0分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整机核心配置、国标及消防合规性</w:t>
            </w:r>
          </w:p>
        </w:tc>
        <w:tc>
          <w:tcPr>
            <w:tcW w:type="dxa" w:w="2492"/>
          </w:tcPr>
          <w:p>
            <w:pPr>
              <w:pStyle w:val="null3"/>
            </w:pPr>
            <w:r>
              <w:rPr>
                <w:rFonts w:ascii="仿宋_GB2312" w:hAnsi="仿宋_GB2312" w:cs="仿宋_GB2312" w:eastAsia="仿宋_GB2312"/>
              </w:rPr>
              <w:t>1.曳引机、控制柜、门机全部参数满足招标要求；能量回馈、安全智能保障系统、黑匣子功能齐全；整机符合GB/T7588.1-2020、GB/T7588.2-2020及消防电梯国家标准（GB/T 26465）；全套权威检测、消防合规资料完整，无任何参数负偏离、无功能缺失，得10分； 2.参数无负偏离，强制国标及消防合规资料齐全，上述三项标配功能佐证材料缺失不超过1项，得6分； 3.参数无负偏离，但缺失整机型式试验报告或消防电梯专项检测报告中任意1份核心强制合规资料，得3分； 4.核心参数存在负偏离，或不满足国标/消防强制条款，或无有效合规证明资料，得0分。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评审2023年以来投标人完成的电梯供货及安装类似项目业绩，单份业绩须同时提供有效合同复印件+项目竣工验收合格证明（或安装验收检验报告），缺一不可。1个有效业绩得1分，累计最高得3分；无有效业绩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业绩一览表.pdf</w:t>
            </w:r>
          </w:p>
        </w:tc>
      </w:tr>
      <w:tr>
        <w:tc>
          <w:tcPr>
            <w:tcW w:type="dxa" w:w="831"/>
            <w:vMerge/>
          </w:tcPr>
          <w:p/>
        </w:tc>
        <w:tc>
          <w:tcPr>
            <w:tcW w:type="dxa" w:w="1661"/>
          </w:tcPr>
          <w:p>
            <w:pPr>
              <w:pStyle w:val="null3"/>
            </w:pPr>
            <w:r>
              <w:rPr>
                <w:rFonts w:ascii="仿宋_GB2312" w:hAnsi="仿宋_GB2312" w:cs="仿宋_GB2312" w:eastAsia="仿宋_GB2312"/>
              </w:rPr>
              <w:t>质保、保险及售后响应保障</w:t>
            </w:r>
          </w:p>
        </w:tc>
        <w:tc>
          <w:tcPr>
            <w:tcW w:type="dxa" w:w="2492"/>
          </w:tcPr>
          <w:p>
            <w:pPr>
              <w:pStyle w:val="null3"/>
            </w:pPr>
            <w:r>
              <w:rPr>
                <w:rFonts w:ascii="仿宋_GB2312" w:hAnsi="仿宋_GB2312" w:cs="仿宋_GB2312" w:eastAsia="仿宋_GB2312"/>
              </w:rPr>
              <w:t>1.质保服务（2分）:承诺整机免费质保期不少于2年，得1分；在2年基础上每增加1年加0.5分，本项最高2分（须提供书面质保承诺函）； 2.特种设备保险（2分）:承诺投保不少于2年、单台保额不低于1000万元的电梯特种设备责任险，提供书面承诺函，得2分，否则不得分； 3.应急响应服务（2分）:承诺提供7×24小时维保服务，困人故障30分钟内到场、普通设备故障2小时内响应，提供书面服务承诺，得2分；每缺一项扣1分； 4.售后服务保障能力（2分）:投标人满足以下任意一项条件即可得分：①投标人自有标准化维保服务体系（提供体系说明及服务承诺）；②与具备合法电梯安装维修资质的第三方维保机构签订合作协议或中标后可签约的意向协议；③中标后按招标文件要求搭建本地化专项售后服务团队（提供正式承诺函及实施方案框架）。 满足一项得2分，无有效佐证材料不得分。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安装实施方案</w:t>
            </w:r>
          </w:p>
        </w:tc>
        <w:tc>
          <w:tcPr>
            <w:tcW w:type="dxa" w:w="2492"/>
          </w:tcPr>
          <w:p>
            <w:pPr>
              <w:pStyle w:val="null3"/>
            </w:pPr>
            <w:r>
              <w:rPr>
                <w:rFonts w:ascii="仿宋_GB2312" w:hAnsi="仿宋_GB2312" w:cs="仿宋_GB2312" w:eastAsia="仿宋_GB2312"/>
              </w:rPr>
              <w:t>一、评审内容 根据本项目编写详细可行的安装实施方案，方案包括①安装内容:如主机、厅门、厅门地坎、厅门防护、拼装轿厢、安装对重、隔磁板、随行电缆、控制柜、主钢丝绳、限速器、限速器钢丝绳、主轨、副轨、补偿链、涨紧轮、检修箱、井道照明、校正导轨等②安装程序③安装进度④安装人员技术能力。 二、评审标准 1、完整性:方案必须全面，对评审内容中的各项要求有详细描述: 2、可实施性:切合本项目实际情况，提出步骤清晰、合理的方案; 3、针对性:方案能够紧扣项目实际情况，内容科学合理。 三、赋分标准(满分8分) ①安装内容:每完全满足一个评审标准得0.5分，满分1.5分: ②安装程序:每完全满足一个评审标准得0.5分，满分1.5分: ③安装进度:每完全满足一个评审标准得0.5分，满分1.5分: ④安装人员技术能力证明资料，0-3.5分，满分3.5分。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根据本项目电梯安装到位使用后可能遇到的紧急或意外情况,制定应急方案，方案包括:①火灾、地震、漏水②停电、困梯、坠梯③异响、震动大 二、评审标准 1、完整性:方案必须全面，对评审内容中的各项要求有详细描述: 2、可实施性:切合本项目实际情况，提出步骤清晰、合理的方案; 3、针对性:方案能够紧扣项目实际情况，内容科学合理。 三、赋分标准(满分4.5分) ①火灾、地震、漏水:每完全满足一个评审标准得0.5分，满分1.5分: ②停电、困梯、坠梯:每完全满足一个评审标准得0.5分，满分1.5分: ③异响、震动大:每完全满足一个评审标准得0.5分，满分1.5分。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安全文明施工方案</w:t>
            </w:r>
          </w:p>
        </w:tc>
        <w:tc>
          <w:tcPr>
            <w:tcW w:type="dxa" w:w="2492"/>
          </w:tcPr>
          <w:p>
            <w:pPr>
              <w:pStyle w:val="null3"/>
            </w:pPr>
            <w:r>
              <w:rPr>
                <w:rFonts w:ascii="仿宋_GB2312" w:hAnsi="仿宋_GB2312" w:cs="仿宋_GB2312" w:eastAsia="仿宋_GB2312"/>
              </w:rPr>
              <w:t>一、评审内容 结合本项目实际情况，有明确的安全文明施工方案，方案包括:①安全防护措施专项实施方案②安全警示:安全警戒标语、施工人员安全警示服、安全帽穿配③文明施工:降噪、除尘、建筑垃圾的清运。 二、评审标准 1、完整性:方案必须全面，对评审内容中的各项要求有详细描述; 2、可实施性:切合本项目实际情况，提出步骤清晰、合理的方案; 3、针对性:方案能够紧扣项目实际情况，内容科学合理。 三、赋分标准(满分4.5分) ①安全防护措施专项实施方案:每完全满足一个评审标准得0.5分，满分1.5分: ②安全警示:每完全满足一个评审标准得0.5分，满分1.5分: ③文明施工:每完全满足一个评审标准得0.5分，满分1.5分。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施工技术重点难点及应对措施方案</w:t>
            </w:r>
          </w:p>
        </w:tc>
        <w:tc>
          <w:tcPr>
            <w:tcW w:type="dxa" w:w="2492"/>
          </w:tcPr>
          <w:p>
            <w:pPr>
              <w:pStyle w:val="null3"/>
            </w:pPr>
            <w:r>
              <w:rPr>
                <w:rFonts w:ascii="仿宋_GB2312" w:hAnsi="仿宋_GB2312" w:cs="仿宋_GB2312" w:eastAsia="仿宋_GB2312"/>
              </w:rPr>
              <w:t>一、评审内容 结合本项目实际情况，提供施工技术重点难点及应对措施方案，方案包括①重点、难点:对施工过程中可能出现的重难点进行全面分析;②措施方案:编写详细可行的适用于本项目重难点的应对措施方案。 二、评审标准 1、完整性:方案必须全面，对评审内容中的各项要求有详细描述; 2、可实施性:切合本项目实际情况，提出步骤清晰、合理的方案; 3、针对性:方案能够紧扣项目实际情况，内容科学合理。 三、赋分标准(满分3分) ①重点、难点:每完全满足一个评审标准得0.5分，满分1.5分: ②措施方案:每完全满足一个评审标准得0.5分，满分1.5分。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招标文件要求且投标价格最低的投标报价为评标基准价，其价格分为满分30分，其他投标单位的价格分按照下列公式计算:投标报价得分=(评标基准价/投标报价)x30%x100。经评标委员会一致认定，投标单位的投标最终总报价低于公认市场成本，或超过采购预算,其响应将被拒绝;(得分计算结果保留小数点后两位，小数点第三位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详见附件：技术方案.pdf</w:t>
      </w:r>
    </w:p>
    <w:p>
      <w:pPr>
        <w:pStyle w:val="null3"/>
        <w:ind w:firstLine="960"/>
      </w:pPr>
      <w:r>
        <w:rPr>
          <w:rFonts w:ascii="仿宋_GB2312" w:hAnsi="仿宋_GB2312" w:cs="仿宋_GB2312" w:eastAsia="仿宋_GB2312"/>
        </w:rPr>
        <w:t>详见附件：业绩一览表.pdf</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详见附件：供应商应提交的相关资格证明材料(1)(1).pdf</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详见附件：供应商承诺函.pdf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