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5DC0B">
      <w:pPr>
        <w:rPr>
          <w:rFonts w:hint="eastAsia" w:ascii="宋体" w:hAnsi="宋体" w:eastAsia="宋体" w:cs="宋体"/>
          <w:b/>
          <w:bCs/>
          <w:color w:val="auto"/>
          <w:sz w:val="36"/>
          <w:szCs w:val="36"/>
          <w:lang w:val="zh-CN"/>
        </w:rPr>
      </w:pPr>
      <w:bookmarkStart w:id="0" w:name="_Toc9000"/>
      <w:bookmarkStart w:id="1" w:name="_Toc24346"/>
      <w:bookmarkStart w:id="2" w:name="_Toc1883"/>
      <w:bookmarkStart w:id="3" w:name="_Toc19954"/>
      <w:bookmarkStart w:id="4" w:name="_Toc2413"/>
      <w:bookmarkStart w:id="391" w:name="_GoBack"/>
      <w:bookmarkEnd w:id="391"/>
      <w:r>
        <w:drawing>
          <wp:anchor distT="0" distB="0" distL="114300" distR="114300" simplePos="0" relativeHeight="251659264" behindDoc="1" locked="0" layoutInCell="1" allowOverlap="1">
            <wp:simplePos x="0" y="0"/>
            <wp:positionH relativeFrom="column">
              <wp:posOffset>-428625</wp:posOffset>
            </wp:positionH>
            <wp:positionV relativeFrom="paragraph">
              <wp:posOffset>-43180</wp:posOffset>
            </wp:positionV>
            <wp:extent cx="6315075" cy="8714740"/>
            <wp:effectExtent l="0" t="0" r="9525" b="10160"/>
            <wp:wrapNone/>
            <wp:docPr id="2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7"/>
                    <pic:cNvPicPr>
                      <a:picLocks noChangeAspect="1"/>
                    </pic:cNvPicPr>
                  </pic:nvPicPr>
                  <pic:blipFill>
                    <a:blip r:embed="rId19"/>
                    <a:stretch>
                      <a:fillRect/>
                    </a:stretch>
                  </pic:blipFill>
                  <pic:spPr>
                    <a:xfrm>
                      <a:off x="0" y="0"/>
                      <a:ext cx="6315075" cy="8714740"/>
                    </a:xfrm>
                    <a:prstGeom prst="rect">
                      <a:avLst/>
                    </a:prstGeom>
                    <a:noFill/>
                    <a:ln>
                      <a:noFill/>
                    </a:ln>
                  </pic:spPr>
                </pic:pic>
              </a:graphicData>
            </a:graphic>
          </wp:anchor>
        </w:drawing>
      </w:r>
      <w:r>
        <w:rPr>
          <w:rFonts w:hint="eastAsia" w:ascii="宋体" w:hAnsi="宋体" w:eastAsia="宋体" w:cs="宋体"/>
          <w:b/>
          <w:bCs/>
          <w:color w:val="auto"/>
          <w:sz w:val="36"/>
          <w:szCs w:val="36"/>
          <w:lang w:val="zh-CN"/>
        </w:rPr>
        <w:br w:type="page"/>
      </w:r>
    </w:p>
    <w:p w14:paraId="20D04383">
      <w:pPr>
        <w:pStyle w:val="29"/>
        <w:keepNext/>
        <w:keepLines/>
        <w:pageBreakBefore w:val="0"/>
        <w:widowControl/>
        <w:tabs>
          <w:tab w:val="right" w:leader="dot" w:pos="8305"/>
        </w:tabs>
        <w:kinsoku/>
        <w:wordWrap/>
        <w:overflowPunct/>
        <w:topLinePunct w:val="0"/>
        <w:autoSpaceDE/>
        <w:autoSpaceDN/>
        <w:bidi w:val="0"/>
        <w:adjustRightInd/>
        <w:snapToGrid/>
        <w:spacing w:before="0" w:beforeLines="0" w:afterLines="0" w:line="360" w:lineRule="auto"/>
        <w:ind w:left="0" w:leftChars="0" w:firstLine="0" w:firstLineChars="0"/>
        <w:jc w:val="center"/>
        <w:textAlignment w:val="auto"/>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t xml:space="preserve">目 </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lang w:val="zh-CN"/>
        </w:rPr>
        <w:t>录</w:t>
      </w:r>
      <w:bookmarkEnd w:id="0"/>
      <w:bookmarkEnd w:id="1"/>
      <w:bookmarkEnd w:id="2"/>
      <w:bookmarkEnd w:id="3"/>
      <w:bookmarkEnd w:id="4"/>
      <w:bookmarkStart w:id="5" w:name="_Toc8046"/>
      <w:bookmarkStart w:id="6" w:name="_Toc19866"/>
      <w:bookmarkStart w:id="7" w:name="_Toc1509"/>
      <w:bookmarkStart w:id="8" w:name="_Toc458617729"/>
      <w:bookmarkStart w:id="9" w:name="_Toc30185"/>
      <w:bookmarkStart w:id="10" w:name="_Toc458617452"/>
    </w:p>
    <w:p w14:paraId="45A41185">
      <w:pPr>
        <w:pStyle w:val="17"/>
        <w:tabs>
          <w:tab w:val="right" w:leader="dot" w:pos="9032"/>
        </w:tabs>
        <w:spacing w:line="360" w:lineRule="auto"/>
        <w:rPr>
          <w:sz w:val="24"/>
          <w:szCs w:val="32"/>
        </w:rPr>
      </w:pPr>
      <w:r>
        <w:rPr>
          <w:rFonts w:hint="eastAsia"/>
          <w:sz w:val="24"/>
          <w:szCs w:val="32"/>
        </w:rPr>
        <w:fldChar w:fldCharType="begin"/>
      </w:r>
      <w:r>
        <w:rPr>
          <w:rFonts w:hint="eastAsia"/>
          <w:sz w:val="24"/>
          <w:szCs w:val="32"/>
        </w:rPr>
        <w:instrText xml:space="preserve">TOC \o "1-1" \h \u </w:instrText>
      </w:r>
      <w:r>
        <w:rPr>
          <w:rFonts w:hint="eastAsia"/>
          <w:sz w:val="24"/>
          <w:szCs w:val="32"/>
        </w:rPr>
        <w:fldChar w:fldCharType="separate"/>
      </w:r>
      <w:r>
        <w:rPr>
          <w:rFonts w:hint="eastAsia"/>
          <w:sz w:val="24"/>
          <w:szCs w:val="32"/>
        </w:rPr>
        <w:fldChar w:fldCharType="begin"/>
      </w:r>
      <w:r>
        <w:rPr>
          <w:rFonts w:hint="eastAsia"/>
          <w:sz w:val="24"/>
          <w:szCs w:val="32"/>
        </w:rPr>
        <w:instrText xml:space="preserve"> HYPERLINK \l _Toc3665 </w:instrText>
      </w:r>
      <w:r>
        <w:rPr>
          <w:rFonts w:hint="eastAsia"/>
          <w:sz w:val="24"/>
          <w:szCs w:val="32"/>
        </w:rPr>
        <w:fldChar w:fldCharType="separate"/>
      </w:r>
      <w:r>
        <w:rPr>
          <w:rFonts w:hint="eastAsia" w:ascii="宋体" w:hAnsi="宋体" w:eastAsia="宋体" w:cs="宋体"/>
          <w:sz w:val="24"/>
          <w:szCs w:val="32"/>
        </w:rPr>
        <w:t>第一章  竞争性磋商公告</w:t>
      </w:r>
      <w:r>
        <w:rPr>
          <w:sz w:val="24"/>
          <w:szCs w:val="32"/>
        </w:rPr>
        <w:tab/>
      </w:r>
      <w:r>
        <w:rPr>
          <w:sz w:val="24"/>
          <w:szCs w:val="32"/>
        </w:rPr>
        <w:fldChar w:fldCharType="begin"/>
      </w:r>
      <w:r>
        <w:rPr>
          <w:sz w:val="24"/>
          <w:szCs w:val="32"/>
        </w:rPr>
        <w:instrText xml:space="preserve"> PAGEREF _Toc3665 \h </w:instrText>
      </w:r>
      <w:r>
        <w:rPr>
          <w:sz w:val="24"/>
          <w:szCs w:val="32"/>
        </w:rPr>
        <w:fldChar w:fldCharType="separate"/>
      </w:r>
      <w:r>
        <w:rPr>
          <w:sz w:val="24"/>
          <w:szCs w:val="32"/>
        </w:rPr>
        <w:t>1</w:t>
      </w:r>
      <w:r>
        <w:rPr>
          <w:sz w:val="24"/>
          <w:szCs w:val="32"/>
        </w:rPr>
        <w:fldChar w:fldCharType="end"/>
      </w:r>
      <w:r>
        <w:rPr>
          <w:rFonts w:hint="eastAsia"/>
          <w:sz w:val="24"/>
          <w:szCs w:val="32"/>
        </w:rPr>
        <w:fldChar w:fldCharType="end"/>
      </w:r>
    </w:p>
    <w:p w14:paraId="5A4F2F27">
      <w:pPr>
        <w:pStyle w:val="17"/>
        <w:tabs>
          <w:tab w:val="right" w:leader="dot" w:pos="9032"/>
        </w:tabs>
        <w:spacing w:line="360" w:lineRule="auto"/>
        <w:rPr>
          <w:sz w:val="24"/>
          <w:szCs w:val="32"/>
        </w:rPr>
      </w:pPr>
      <w:r>
        <w:rPr>
          <w:rFonts w:hint="eastAsia"/>
          <w:sz w:val="24"/>
          <w:szCs w:val="32"/>
        </w:rPr>
        <w:fldChar w:fldCharType="begin"/>
      </w:r>
      <w:r>
        <w:rPr>
          <w:rFonts w:hint="eastAsia"/>
          <w:sz w:val="24"/>
          <w:szCs w:val="32"/>
        </w:rPr>
        <w:instrText xml:space="preserve"> HYPERLINK \l _Toc3975 </w:instrText>
      </w:r>
      <w:r>
        <w:rPr>
          <w:rFonts w:hint="eastAsia"/>
          <w:sz w:val="24"/>
          <w:szCs w:val="32"/>
        </w:rPr>
        <w:fldChar w:fldCharType="separate"/>
      </w:r>
      <w:r>
        <w:rPr>
          <w:rFonts w:hint="eastAsia" w:ascii="宋体" w:hAnsi="宋体" w:eastAsia="宋体" w:cs="宋体"/>
          <w:sz w:val="24"/>
          <w:szCs w:val="32"/>
          <w:lang w:val="en-US" w:eastAsia="zh-CN" w:bidi="ar-SA"/>
        </w:rPr>
        <w:t>第二章 供应商须知</w:t>
      </w:r>
      <w:r>
        <w:rPr>
          <w:sz w:val="24"/>
          <w:szCs w:val="32"/>
        </w:rPr>
        <w:tab/>
      </w:r>
      <w:r>
        <w:rPr>
          <w:sz w:val="24"/>
          <w:szCs w:val="32"/>
        </w:rPr>
        <w:fldChar w:fldCharType="begin"/>
      </w:r>
      <w:r>
        <w:rPr>
          <w:sz w:val="24"/>
          <w:szCs w:val="32"/>
        </w:rPr>
        <w:instrText xml:space="preserve"> PAGEREF _Toc3975 \h </w:instrText>
      </w:r>
      <w:r>
        <w:rPr>
          <w:sz w:val="24"/>
          <w:szCs w:val="32"/>
        </w:rPr>
        <w:fldChar w:fldCharType="separate"/>
      </w:r>
      <w:r>
        <w:rPr>
          <w:sz w:val="24"/>
          <w:szCs w:val="32"/>
        </w:rPr>
        <w:t>6</w:t>
      </w:r>
      <w:r>
        <w:rPr>
          <w:sz w:val="24"/>
          <w:szCs w:val="32"/>
        </w:rPr>
        <w:fldChar w:fldCharType="end"/>
      </w:r>
      <w:r>
        <w:rPr>
          <w:rFonts w:hint="eastAsia"/>
          <w:sz w:val="24"/>
          <w:szCs w:val="32"/>
        </w:rPr>
        <w:fldChar w:fldCharType="end"/>
      </w:r>
    </w:p>
    <w:p w14:paraId="2E336BA8">
      <w:pPr>
        <w:pStyle w:val="17"/>
        <w:tabs>
          <w:tab w:val="right" w:leader="dot" w:pos="9032"/>
        </w:tabs>
        <w:spacing w:line="360" w:lineRule="auto"/>
        <w:rPr>
          <w:sz w:val="24"/>
          <w:szCs w:val="32"/>
        </w:rPr>
      </w:pPr>
      <w:r>
        <w:rPr>
          <w:rFonts w:hint="eastAsia"/>
          <w:sz w:val="24"/>
          <w:szCs w:val="32"/>
        </w:rPr>
        <w:fldChar w:fldCharType="begin"/>
      </w:r>
      <w:r>
        <w:rPr>
          <w:rFonts w:hint="eastAsia"/>
          <w:sz w:val="24"/>
          <w:szCs w:val="32"/>
        </w:rPr>
        <w:instrText xml:space="preserve"> HYPERLINK \l _Toc2359 </w:instrText>
      </w:r>
      <w:r>
        <w:rPr>
          <w:rFonts w:hint="eastAsia"/>
          <w:sz w:val="24"/>
          <w:szCs w:val="32"/>
        </w:rPr>
        <w:fldChar w:fldCharType="separate"/>
      </w:r>
      <w:r>
        <w:rPr>
          <w:rFonts w:hint="eastAsia" w:ascii="宋体" w:hAnsi="宋体" w:eastAsia="宋体" w:cs="宋体"/>
          <w:sz w:val="24"/>
          <w:szCs w:val="32"/>
          <w:lang w:eastAsia="zh-CN"/>
        </w:rPr>
        <w:t>第三章</w:t>
      </w:r>
      <w:r>
        <w:rPr>
          <w:rFonts w:hint="eastAsia" w:ascii="宋体" w:hAnsi="宋体" w:eastAsia="宋体" w:cs="宋体"/>
          <w:sz w:val="24"/>
          <w:szCs w:val="32"/>
          <w:lang w:val="en-US" w:eastAsia="zh-CN"/>
        </w:rPr>
        <w:t xml:space="preserve"> </w:t>
      </w:r>
      <w:r>
        <w:rPr>
          <w:rFonts w:hint="eastAsia" w:ascii="宋体" w:hAnsi="宋体" w:eastAsia="宋体" w:cs="宋体"/>
          <w:sz w:val="24"/>
          <w:szCs w:val="32"/>
          <w:lang w:eastAsia="zh-CN"/>
        </w:rPr>
        <w:t>商务要求</w:t>
      </w:r>
      <w:r>
        <w:rPr>
          <w:sz w:val="24"/>
          <w:szCs w:val="32"/>
        </w:rPr>
        <w:tab/>
      </w:r>
      <w:r>
        <w:rPr>
          <w:sz w:val="24"/>
          <w:szCs w:val="32"/>
        </w:rPr>
        <w:fldChar w:fldCharType="begin"/>
      </w:r>
      <w:r>
        <w:rPr>
          <w:sz w:val="24"/>
          <w:szCs w:val="32"/>
        </w:rPr>
        <w:instrText xml:space="preserve"> PAGEREF _Toc2359 \h </w:instrText>
      </w:r>
      <w:r>
        <w:rPr>
          <w:sz w:val="24"/>
          <w:szCs w:val="32"/>
        </w:rPr>
        <w:fldChar w:fldCharType="separate"/>
      </w:r>
      <w:r>
        <w:rPr>
          <w:sz w:val="24"/>
          <w:szCs w:val="32"/>
        </w:rPr>
        <w:t>26</w:t>
      </w:r>
      <w:r>
        <w:rPr>
          <w:sz w:val="24"/>
          <w:szCs w:val="32"/>
        </w:rPr>
        <w:fldChar w:fldCharType="end"/>
      </w:r>
      <w:r>
        <w:rPr>
          <w:rFonts w:hint="eastAsia"/>
          <w:sz w:val="24"/>
          <w:szCs w:val="32"/>
        </w:rPr>
        <w:fldChar w:fldCharType="end"/>
      </w:r>
    </w:p>
    <w:p w14:paraId="44CD8B84">
      <w:pPr>
        <w:pStyle w:val="17"/>
        <w:tabs>
          <w:tab w:val="right" w:leader="dot" w:pos="9032"/>
        </w:tabs>
        <w:spacing w:line="360" w:lineRule="auto"/>
        <w:rPr>
          <w:sz w:val="24"/>
          <w:szCs w:val="32"/>
        </w:rPr>
      </w:pPr>
      <w:r>
        <w:rPr>
          <w:rFonts w:hint="eastAsia"/>
          <w:sz w:val="24"/>
          <w:szCs w:val="32"/>
        </w:rPr>
        <w:fldChar w:fldCharType="begin"/>
      </w:r>
      <w:r>
        <w:rPr>
          <w:rFonts w:hint="eastAsia"/>
          <w:sz w:val="24"/>
          <w:szCs w:val="32"/>
        </w:rPr>
        <w:instrText xml:space="preserve"> HYPERLINK \l _Toc11677 </w:instrText>
      </w:r>
      <w:r>
        <w:rPr>
          <w:rFonts w:hint="eastAsia"/>
          <w:sz w:val="24"/>
          <w:szCs w:val="32"/>
        </w:rPr>
        <w:fldChar w:fldCharType="separate"/>
      </w:r>
      <w:r>
        <w:rPr>
          <w:rFonts w:hint="eastAsia"/>
          <w:sz w:val="24"/>
          <w:szCs w:val="32"/>
          <w:lang w:eastAsia="zh-CN"/>
        </w:rPr>
        <w:t>第四章</w:t>
      </w:r>
      <w:r>
        <w:rPr>
          <w:rFonts w:hint="eastAsia"/>
          <w:sz w:val="24"/>
          <w:szCs w:val="32"/>
          <w:lang w:val="en-US" w:eastAsia="zh-CN"/>
        </w:rPr>
        <w:t xml:space="preserve"> </w:t>
      </w:r>
      <w:r>
        <w:rPr>
          <w:rFonts w:hint="eastAsia"/>
          <w:sz w:val="24"/>
          <w:szCs w:val="32"/>
        </w:rPr>
        <w:t>合同条款及格式</w:t>
      </w:r>
      <w:r>
        <w:rPr>
          <w:sz w:val="24"/>
          <w:szCs w:val="32"/>
        </w:rPr>
        <w:tab/>
      </w:r>
      <w:r>
        <w:rPr>
          <w:sz w:val="24"/>
          <w:szCs w:val="32"/>
        </w:rPr>
        <w:fldChar w:fldCharType="begin"/>
      </w:r>
      <w:r>
        <w:rPr>
          <w:sz w:val="24"/>
          <w:szCs w:val="32"/>
        </w:rPr>
        <w:instrText xml:space="preserve"> PAGEREF _Toc11677 \h </w:instrText>
      </w:r>
      <w:r>
        <w:rPr>
          <w:sz w:val="24"/>
          <w:szCs w:val="32"/>
        </w:rPr>
        <w:fldChar w:fldCharType="separate"/>
      </w:r>
      <w:r>
        <w:rPr>
          <w:sz w:val="24"/>
          <w:szCs w:val="32"/>
        </w:rPr>
        <w:t>28</w:t>
      </w:r>
      <w:r>
        <w:rPr>
          <w:sz w:val="24"/>
          <w:szCs w:val="32"/>
        </w:rPr>
        <w:fldChar w:fldCharType="end"/>
      </w:r>
      <w:r>
        <w:rPr>
          <w:rFonts w:hint="eastAsia"/>
          <w:sz w:val="24"/>
          <w:szCs w:val="32"/>
        </w:rPr>
        <w:fldChar w:fldCharType="end"/>
      </w:r>
    </w:p>
    <w:p w14:paraId="6C29D8AA">
      <w:pPr>
        <w:pStyle w:val="17"/>
        <w:tabs>
          <w:tab w:val="right" w:leader="dot" w:pos="9032"/>
        </w:tabs>
        <w:spacing w:line="360" w:lineRule="auto"/>
        <w:rPr>
          <w:sz w:val="24"/>
          <w:szCs w:val="32"/>
        </w:rPr>
      </w:pPr>
      <w:r>
        <w:rPr>
          <w:rFonts w:hint="eastAsia"/>
          <w:sz w:val="24"/>
          <w:szCs w:val="32"/>
        </w:rPr>
        <w:fldChar w:fldCharType="begin"/>
      </w:r>
      <w:r>
        <w:rPr>
          <w:rFonts w:hint="eastAsia"/>
          <w:sz w:val="24"/>
          <w:szCs w:val="32"/>
        </w:rPr>
        <w:instrText xml:space="preserve"> HYPERLINK \l _Toc12219 </w:instrText>
      </w:r>
      <w:r>
        <w:rPr>
          <w:rFonts w:hint="eastAsia"/>
          <w:sz w:val="24"/>
          <w:szCs w:val="32"/>
        </w:rPr>
        <w:fldChar w:fldCharType="separate"/>
      </w:r>
      <w:r>
        <w:rPr>
          <w:rFonts w:hint="eastAsia"/>
          <w:sz w:val="24"/>
          <w:szCs w:val="32"/>
          <w:lang w:val="en-US" w:eastAsia="zh-CN"/>
        </w:rPr>
        <w:t>第五章 工程量清单</w:t>
      </w:r>
      <w:r>
        <w:rPr>
          <w:sz w:val="24"/>
          <w:szCs w:val="32"/>
        </w:rPr>
        <w:tab/>
      </w:r>
      <w:r>
        <w:rPr>
          <w:sz w:val="24"/>
          <w:szCs w:val="32"/>
        </w:rPr>
        <w:fldChar w:fldCharType="begin"/>
      </w:r>
      <w:r>
        <w:rPr>
          <w:sz w:val="24"/>
          <w:szCs w:val="32"/>
        </w:rPr>
        <w:instrText xml:space="preserve"> PAGEREF _Toc12219 \h </w:instrText>
      </w:r>
      <w:r>
        <w:rPr>
          <w:sz w:val="24"/>
          <w:szCs w:val="32"/>
        </w:rPr>
        <w:fldChar w:fldCharType="separate"/>
      </w:r>
      <w:r>
        <w:rPr>
          <w:sz w:val="24"/>
          <w:szCs w:val="32"/>
        </w:rPr>
        <w:t>34</w:t>
      </w:r>
      <w:r>
        <w:rPr>
          <w:sz w:val="24"/>
          <w:szCs w:val="32"/>
        </w:rPr>
        <w:fldChar w:fldCharType="end"/>
      </w:r>
      <w:r>
        <w:rPr>
          <w:rFonts w:hint="eastAsia"/>
          <w:sz w:val="24"/>
          <w:szCs w:val="32"/>
        </w:rPr>
        <w:fldChar w:fldCharType="end"/>
      </w:r>
    </w:p>
    <w:p w14:paraId="679D820D">
      <w:pPr>
        <w:pStyle w:val="17"/>
        <w:tabs>
          <w:tab w:val="right" w:leader="dot" w:pos="9032"/>
        </w:tabs>
        <w:spacing w:line="360" w:lineRule="auto"/>
        <w:rPr>
          <w:sz w:val="24"/>
          <w:szCs w:val="32"/>
        </w:rPr>
      </w:pPr>
      <w:r>
        <w:rPr>
          <w:rFonts w:hint="eastAsia"/>
          <w:sz w:val="24"/>
          <w:szCs w:val="32"/>
        </w:rPr>
        <w:fldChar w:fldCharType="begin"/>
      </w:r>
      <w:r>
        <w:rPr>
          <w:rFonts w:hint="eastAsia"/>
          <w:sz w:val="24"/>
          <w:szCs w:val="32"/>
        </w:rPr>
        <w:instrText xml:space="preserve"> HYPERLINK \l _Toc12384 </w:instrText>
      </w:r>
      <w:r>
        <w:rPr>
          <w:rFonts w:hint="eastAsia"/>
          <w:sz w:val="24"/>
          <w:szCs w:val="32"/>
        </w:rPr>
        <w:fldChar w:fldCharType="separate"/>
      </w:r>
      <w:r>
        <w:rPr>
          <w:rFonts w:hint="eastAsia"/>
          <w:sz w:val="24"/>
          <w:szCs w:val="32"/>
          <w:lang w:eastAsia="zh-CN"/>
        </w:rPr>
        <w:t>第六章</w:t>
      </w:r>
      <w:r>
        <w:rPr>
          <w:rFonts w:hint="eastAsia"/>
          <w:sz w:val="24"/>
          <w:szCs w:val="32"/>
          <w:lang w:val="en-US" w:eastAsia="zh-CN"/>
        </w:rPr>
        <w:t xml:space="preserve"> 评标办法</w:t>
      </w:r>
      <w:r>
        <w:rPr>
          <w:sz w:val="24"/>
          <w:szCs w:val="32"/>
        </w:rPr>
        <w:tab/>
      </w:r>
      <w:r>
        <w:rPr>
          <w:sz w:val="24"/>
          <w:szCs w:val="32"/>
        </w:rPr>
        <w:fldChar w:fldCharType="begin"/>
      </w:r>
      <w:r>
        <w:rPr>
          <w:sz w:val="24"/>
          <w:szCs w:val="32"/>
        </w:rPr>
        <w:instrText xml:space="preserve"> PAGEREF _Toc12384 \h </w:instrText>
      </w:r>
      <w:r>
        <w:rPr>
          <w:sz w:val="24"/>
          <w:szCs w:val="32"/>
        </w:rPr>
        <w:fldChar w:fldCharType="separate"/>
      </w:r>
      <w:r>
        <w:rPr>
          <w:sz w:val="24"/>
          <w:szCs w:val="32"/>
        </w:rPr>
        <w:t>55</w:t>
      </w:r>
      <w:r>
        <w:rPr>
          <w:sz w:val="24"/>
          <w:szCs w:val="32"/>
        </w:rPr>
        <w:fldChar w:fldCharType="end"/>
      </w:r>
      <w:r>
        <w:rPr>
          <w:rFonts w:hint="eastAsia"/>
          <w:sz w:val="24"/>
          <w:szCs w:val="32"/>
        </w:rPr>
        <w:fldChar w:fldCharType="end"/>
      </w:r>
    </w:p>
    <w:p w14:paraId="0F8AAFB1">
      <w:pPr>
        <w:pStyle w:val="17"/>
        <w:tabs>
          <w:tab w:val="right" w:leader="dot" w:pos="9032"/>
        </w:tabs>
        <w:spacing w:line="360" w:lineRule="auto"/>
        <w:rPr>
          <w:sz w:val="24"/>
          <w:szCs w:val="32"/>
        </w:rPr>
      </w:pPr>
      <w:r>
        <w:rPr>
          <w:rFonts w:hint="eastAsia"/>
          <w:sz w:val="24"/>
          <w:szCs w:val="32"/>
        </w:rPr>
        <w:fldChar w:fldCharType="begin"/>
      </w:r>
      <w:r>
        <w:rPr>
          <w:rFonts w:hint="eastAsia"/>
          <w:sz w:val="24"/>
          <w:szCs w:val="32"/>
        </w:rPr>
        <w:instrText xml:space="preserve"> HYPERLINK \l _Toc19407 </w:instrText>
      </w:r>
      <w:r>
        <w:rPr>
          <w:rFonts w:hint="eastAsia"/>
          <w:sz w:val="24"/>
          <w:szCs w:val="32"/>
        </w:rPr>
        <w:fldChar w:fldCharType="separate"/>
      </w:r>
      <w:r>
        <w:rPr>
          <w:rFonts w:hint="eastAsia" w:ascii="宋体" w:hAnsi="宋体" w:eastAsia="宋体" w:cs="宋体"/>
          <w:sz w:val="24"/>
          <w:szCs w:val="32"/>
        </w:rPr>
        <w:t>第</w:t>
      </w:r>
      <w:r>
        <w:rPr>
          <w:rFonts w:hint="eastAsia" w:ascii="宋体" w:hAnsi="宋体" w:eastAsia="宋体" w:cs="宋体"/>
          <w:sz w:val="24"/>
          <w:szCs w:val="32"/>
          <w:lang w:eastAsia="zh-CN"/>
        </w:rPr>
        <w:t>七</w:t>
      </w:r>
      <w:r>
        <w:rPr>
          <w:rFonts w:hint="eastAsia" w:ascii="宋体" w:hAnsi="宋体" w:eastAsia="宋体" w:cs="宋体"/>
          <w:sz w:val="24"/>
          <w:szCs w:val="32"/>
        </w:rPr>
        <w:t>章 响应文件格式</w:t>
      </w:r>
      <w:r>
        <w:rPr>
          <w:sz w:val="24"/>
          <w:szCs w:val="32"/>
        </w:rPr>
        <w:tab/>
      </w:r>
      <w:r>
        <w:rPr>
          <w:sz w:val="24"/>
          <w:szCs w:val="32"/>
        </w:rPr>
        <w:fldChar w:fldCharType="begin"/>
      </w:r>
      <w:r>
        <w:rPr>
          <w:sz w:val="24"/>
          <w:szCs w:val="32"/>
        </w:rPr>
        <w:instrText xml:space="preserve"> PAGEREF _Toc19407 \h </w:instrText>
      </w:r>
      <w:r>
        <w:rPr>
          <w:sz w:val="24"/>
          <w:szCs w:val="32"/>
        </w:rPr>
        <w:fldChar w:fldCharType="separate"/>
      </w:r>
      <w:r>
        <w:rPr>
          <w:sz w:val="24"/>
          <w:szCs w:val="32"/>
        </w:rPr>
        <w:t>64</w:t>
      </w:r>
      <w:r>
        <w:rPr>
          <w:sz w:val="24"/>
          <w:szCs w:val="32"/>
        </w:rPr>
        <w:fldChar w:fldCharType="end"/>
      </w:r>
      <w:r>
        <w:rPr>
          <w:rFonts w:hint="eastAsia"/>
          <w:sz w:val="24"/>
          <w:szCs w:val="32"/>
        </w:rPr>
        <w:fldChar w:fldCharType="end"/>
      </w:r>
    </w:p>
    <w:p w14:paraId="770BAF61">
      <w:pPr>
        <w:spacing w:line="360" w:lineRule="auto"/>
        <w:rPr>
          <w:rFonts w:hint="eastAsia"/>
          <w:sz w:val="32"/>
          <w:szCs w:val="22"/>
        </w:rPr>
      </w:pPr>
      <w:r>
        <w:rPr>
          <w:rFonts w:hint="eastAsia"/>
          <w:sz w:val="32"/>
          <w:szCs w:val="22"/>
        </w:rPr>
        <w:fldChar w:fldCharType="end"/>
      </w:r>
    </w:p>
    <w:p w14:paraId="4FAC6F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30"/>
          <w:rFonts w:hint="eastAsia" w:ascii="宋体" w:hAnsi="宋体" w:eastAsia="宋体" w:cs="宋体"/>
          <w:color w:val="auto"/>
          <w:sz w:val="40"/>
          <w:szCs w:val="52"/>
        </w:rPr>
        <w:sectPr>
          <w:headerReference r:id="rId3" w:type="default"/>
          <w:pgSz w:w="11900" w:h="16838"/>
          <w:pgMar w:top="1332" w:right="1196" w:bottom="1417" w:left="1672" w:header="680" w:footer="680" w:gutter="0"/>
          <w:pgNumType w:fmt="decimal"/>
          <w:cols w:space="0" w:num="1"/>
          <w:rtlGutter w:val="0"/>
          <w:docGrid w:linePitch="312" w:charSpace="0"/>
        </w:sectPr>
      </w:pPr>
    </w:p>
    <w:p w14:paraId="414D45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30"/>
          <w:rFonts w:hint="eastAsia" w:ascii="宋体" w:hAnsi="宋体" w:eastAsia="宋体" w:cs="宋体"/>
          <w:color w:val="auto"/>
        </w:rPr>
      </w:pPr>
      <w:bookmarkStart w:id="11" w:name="_Toc11051"/>
      <w:bookmarkStart w:id="12" w:name="_Toc3665"/>
      <w:r>
        <w:rPr>
          <w:rStyle w:val="30"/>
          <w:rFonts w:hint="eastAsia" w:ascii="宋体" w:hAnsi="宋体" w:eastAsia="宋体" w:cs="宋体"/>
          <w:color w:val="auto"/>
        </w:rPr>
        <w:t>第一章  竞争性磋商公告</w:t>
      </w:r>
      <w:bookmarkEnd w:id="5"/>
      <w:bookmarkEnd w:id="6"/>
      <w:bookmarkEnd w:id="7"/>
      <w:bookmarkEnd w:id="8"/>
      <w:bookmarkEnd w:id="9"/>
      <w:bookmarkEnd w:id="10"/>
    </w:p>
    <w:bookmarkEnd w:id="11"/>
    <w:bookmarkEnd w:id="12"/>
    <w:p w14:paraId="7D98DA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color w:val="auto"/>
          <w:sz w:val="24"/>
          <w:szCs w:val="24"/>
        </w:rPr>
      </w:pPr>
      <w:bookmarkStart w:id="13" w:name="_Toc21622"/>
      <w:bookmarkStart w:id="14" w:name="_Toc27526"/>
      <w:bookmarkStart w:id="15" w:name="_Toc20542"/>
      <w:r>
        <w:rPr>
          <w:rStyle w:val="27"/>
          <w:rFonts w:hint="eastAsia" w:ascii="宋体" w:hAnsi="宋体" w:eastAsia="宋体" w:cs="宋体"/>
          <w:b/>
          <w:bCs/>
          <w:i w:val="0"/>
          <w:iCs w:val="0"/>
          <w:caps w:val="0"/>
          <w:color w:val="auto"/>
          <w:spacing w:val="0"/>
          <w:sz w:val="24"/>
          <w:szCs w:val="24"/>
          <w:shd w:val="clear" w:fill="FFFFFF"/>
        </w:rPr>
        <w:t>项目概况</w:t>
      </w:r>
    </w:p>
    <w:p w14:paraId="139F946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消防改造工程采购项目的潜在供应商应在全国公共资源交易中心平台 (陕西省) 使用CA 锁报名后自行下载获取采购文件，并于 2026年07月20日 09时30分 （北京时间）前提交响应文件。</w:t>
      </w:r>
    </w:p>
    <w:p w14:paraId="16B5F2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i w:val="0"/>
          <w:iCs w:val="0"/>
          <w:caps w:val="0"/>
          <w:color w:val="auto"/>
          <w:spacing w:val="0"/>
          <w:sz w:val="24"/>
          <w:szCs w:val="24"/>
        </w:rPr>
      </w:pPr>
      <w:r>
        <w:rPr>
          <w:rStyle w:val="27"/>
          <w:rFonts w:hint="eastAsia" w:ascii="宋体" w:hAnsi="宋体" w:eastAsia="宋体" w:cs="宋体"/>
          <w:b/>
          <w:bCs/>
          <w:i w:val="0"/>
          <w:iCs w:val="0"/>
          <w:caps w:val="0"/>
          <w:color w:val="auto"/>
          <w:spacing w:val="0"/>
          <w:sz w:val="24"/>
          <w:szCs w:val="24"/>
          <w:shd w:val="clear" w:fill="FFFFFF"/>
        </w:rPr>
        <w:t>一、项目基本情况</w:t>
      </w:r>
    </w:p>
    <w:p w14:paraId="25FB7D5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项目编号：TDJC2026-06</w:t>
      </w:r>
    </w:p>
    <w:p w14:paraId="769CF1E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项目名称：消防改造工程</w:t>
      </w:r>
    </w:p>
    <w:p w14:paraId="47D03A9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0F68DE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预算金额：681,862.75元</w:t>
      </w:r>
    </w:p>
    <w:p w14:paraId="58EBB25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34A6BF4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合同包1(米脂县第三中学消防改造工程):</w:t>
      </w:r>
    </w:p>
    <w:p w14:paraId="3C8822A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合同包预算金额：681,862.75元</w:t>
      </w:r>
    </w:p>
    <w:p w14:paraId="71EFDED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合同包最高限价：681,862.75元</w:t>
      </w:r>
    </w:p>
    <w:tbl>
      <w:tblPr>
        <w:tblStyle w:val="24"/>
        <w:tblW w:w="94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8"/>
        <w:gridCol w:w="1973"/>
        <w:gridCol w:w="1648"/>
        <w:gridCol w:w="1278"/>
        <w:gridCol w:w="1666"/>
        <w:gridCol w:w="1865"/>
      </w:tblGrid>
      <w:tr w14:paraId="58FFE6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45" w:hRule="atLeast"/>
          <w:tblHeader/>
        </w:trPr>
        <w:tc>
          <w:tcPr>
            <w:tcW w:w="10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90509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9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BE1E7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6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8B784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2AB59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5F69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8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32A66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1CA58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1"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58394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9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6BDC3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消防工程和安防工程</w:t>
            </w:r>
          </w:p>
        </w:tc>
        <w:tc>
          <w:tcPr>
            <w:tcW w:w="16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206CC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消防设施</w:t>
            </w:r>
          </w:p>
        </w:tc>
        <w:tc>
          <w:tcPr>
            <w:tcW w:w="12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5859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1(元)</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37E6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03F2D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681,862.75</w:t>
            </w:r>
          </w:p>
        </w:tc>
      </w:tr>
    </w:tbl>
    <w:p w14:paraId="063D4A8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1F3C5D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合同履行期限：30日历天</w:t>
      </w:r>
    </w:p>
    <w:p w14:paraId="0311F04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i w:val="0"/>
          <w:iCs w:val="0"/>
          <w:caps w:val="0"/>
          <w:color w:val="auto"/>
          <w:spacing w:val="0"/>
          <w:sz w:val="24"/>
          <w:szCs w:val="24"/>
        </w:rPr>
      </w:pPr>
      <w:r>
        <w:rPr>
          <w:rStyle w:val="27"/>
          <w:rFonts w:hint="eastAsia" w:ascii="宋体" w:hAnsi="宋体" w:eastAsia="宋体" w:cs="宋体"/>
          <w:b/>
          <w:bCs/>
          <w:i w:val="0"/>
          <w:iCs w:val="0"/>
          <w:caps w:val="0"/>
          <w:color w:val="auto"/>
          <w:spacing w:val="0"/>
          <w:sz w:val="24"/>
          <w:szCs w:val="24"/>
          <w:shd w:val="clear" w:fill="FFFFFF"/>
        </w:rPr>
        <w:t>二、申请人的资格要求：</w:t>
      </w:r>
    </w:p>
    <w:p w14:paraId="5EE6D01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266430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27469E2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合同包1(米脂县第三中学消防改造工程)落实政府采购政策需满足的资格要求如下:</w:t>
      </w:r>
    </w:p>
    <w:p w14:paraId="1EA8769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（4）陕西省财政厅关于印发《陕西省中小企业政府采购信用融资办法》（陕财办采〔2018〕23号）；相关政策、业务流程、办理平台(</w:t>
      </w:r>
      <w:r>
        <w:rPr>
          <w:rFonts w:hint="eastAsia" w:ascii="宋体" w:hAnsi="宋体" w:cs="宋体"/>
          <w:i w:val="0"/>
          <w:iCs w:val="0"/>
          <w:caps w:val="0"/>
          <w:color w:val="auto"/>
          <w:spacing w:val="0"/>
          <w:sz w:val="24"/>
          <w:szCs w:val="24"/>
          <w:shd w:val="clear" w:fill="FFFFFF"/>
          <w:lang w:eastAsia="zh-CN"/>
        </w:rPr>
        <w:t>https://www.ccgp-shaanxi.gov.cn/zcdservice/zcd/shanxi/</w:t>
      </w:r>
      <w:r>
        <w:rPr>
          <w:rFonts w:hint="eastAsia" w:ascii="宋体" w:hAnsi="宋体" w:eastAsia="宋体" w:cs="宋体"/>
          <w:i w:val="0"/>
          <w:iCs w:val="0"/>
          <w:caps w:val="0"/>
          <w:color w:val="auto"/>
          <w:spacing w:val="0"/>
          <w:sz w:val="24"/>
          <w:szCs w:val="24"/>
          <w:shd w:val="clear" w:fill="FFFFFF"/>
        </w:rPr>
        <w:t>/zcdservice/zcd/shanxi/)；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（9）其他需要落实的政府采购政策（如有最新颁布的政府采购政策，按最新文件执行）。</w:t>
      </w:r>
    </w:p>
    <w:p w14:paraId="7B9FE50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3ED1C6E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合同包1(米脂县第三中学消防改造工程)特定资格要求如下:</w:t>
      </w:r>
    </w:p>
    <w:p w14:paraId="51E14CF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供应商须具备建设行政主管部门核发的【消防设施工程专业承包二级】及以上资质，有效的安全生产许可证，并在人员、设备、资金等方面具备相应的施工能力；拟派往本项目的项目负责人须具备【机电工程二级】及以上注册建造师执业资格，具备有效的安全生产考核合格证书（B证），且未担任其他在建工程项目的项目负责人（提供网页截图或承诺），供应商及项目负责人的基本信息须在“陕西省住房和城乡建设厅”网站录入并可查询；</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企业赋码后2025年经会计师事务所或审计机构审计的财务审计报告，（提供的财务审计报告需在注册会计师行业统一监管平台（http://acc.mof.gov.cn/）可查询并提供网页截图），成立时间至提交响应文件递交截止时间不足一年的，须提供其基本存款账户开户银行近三个月内出具的银行资信证明或自成立以来的财务报表；其他组织和自然人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对列入“信用中国”网站(www.creditchina.gov.cn)“经营（活动）异常名录信息查询、重大税收违法失信主体、失信被执行人”记录名单及中国政府采购网(www.ccgp.gov.cn)“政府采购严重违法失信行为信息记录”的单位，应当拒绝参与政府采购活动（附投标截止日前的查询结果但以投标截止日当天查询结果为准）。提供“信用中国”网站(www.creditchina.gov.cn)、中国政府采购网(www.ccgp.gov.cn)等网页截图；</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应在“信用中国（陕西榆林）”网站进行注册、登录，自主上报信用承诺书（网址：https://www.ylcredit.gov.cn/）；（注：需提供《榆林市政府采购工程类项目供应商信用承诺书》《投标人信用承诺》、《投标人委托代理人员信用承诺书》、《投标信用（保证金）承诺书》公示网页截图）；</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（10）本项目专门面向中小企业采购，供应商须填写《中小企业声明函》。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234E39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i w:val="0"/>
          <w:iCs w:val="0"/>
          <w:caps w:val="0"/>
          <w:color w:val="auto"/>
          <w:spacing w:val="0"/>
          <w:sz w:val="24"/>
          <w:szCs w:val="24"/>
        </w:rPr>
      </w:pPr>
      <w:r>
        <w:rPr>
          <w:rStyle w:val="27"/>
          <w:rFonts w:hint="eastAsia" w:ascii="宋体" w:hAnsi="宋体" w:eastAsia="宋体" w:cs="宋体"/>
          <w:b/>
          <w:bCs/>
          <w:i w:val="0"/>
          <w:iCs w:val="0"/>
          <w:caps w:val="0"/>
          <w:color w:val="auto"/>
          <w:spacing w:val="0"/>
          <w:sz w:val="24"/>
          <w:szCs w:val="24"/>
          <w:shd w:val="clear" w:fill="FFFFFF"/>
        </w:rPr>
        <w:t>三、获取采购文件</w:t>
      </w:r>
    </w:p>
    <w:p w14:paraId="761ABD7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2026年07月08日 至 2026年07月14日 ，每天上午 08:00:00 至 12:00:00 ，下午 12:00:00 至 18:00:00 （北京时间）</w:t>
      </w:r>
    </w:p>
    <w:p w14:paraId="2B9726B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 (陕西省) 使用CA 锁报名后自行下载</w:t>
      </w:r>
    </w:p>
    <w:p w14:paraId="5C3373F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6B97439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5F555D1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i w:val="0"/>
          <w:iCs w:val="0"/>
          <w:caps w:val="0"/>
          <w:color w:val="auto"/>
          <w:spacing w:val="0"/>
          <w:sz w:val="24"/>
          <w:szCs w:val="24"/>
        </w:rPr>
      </w:pPr>
      <w:r>
        <w:rPr>
          <w:rStyle w:val="27"/>
          <w:rFonts w:hint="eastAsia" w:ascii="宋体" w:hAnsi="宋体" w:eastAsia="宋体" w:cs="宋体"/>
          <w:b/>
          <w:bCs/>
          <w:i w:val="0"/>
          <w:iCs w:val="0"/>
          <w:caps w:val="0"/>
          <w:color w:val="auto"/>
          <w:spacing w:val="0"/>
          <w:sz w:val="24"/>
          <w:szCs w:val="24"/>
          <w:shd w:val="clear" w:fill="FFFFFF"/>
        </w:rPr>
        <w:t>四、响应文件提交</w:t>
      </w:r>
    </w:p>
    <w:p w14:paraId="7F040D5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2026年07月20日 09时30分00秒 （北京时间）</w:t>
      </w:r>
    </w:p>
    <w:p w14:paraId="7F286F2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地点：陕西省公共资源交易平台</w:t>
      </w:r>
    </w:p>
    <w:p w14:paraId="7474EC7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i w:val="0"/>
          <w:iCs w:val="0"/>
          <w:caps w:val="0"/>
          <w:color w:val="auto"/>
          <w:spacing w:val="0"/>
          <w:sz w:val="24"/>
          <w:szCs w:val="24"/>
        </w:rPr>
      </w:pPr>
      <w:r>
        <w:rPr>
          <w:rStyle w:val="27"/>
          <w:rFonts w:hint="eastAsia" w:ascii="宋体" w:hAnsi="宋体" w:eastAsia="宋体" w:cs="宋体"/>
          <w:b/>
          <w:bCs/>
          <w:i w:val="0"/>
          <w:iCs w:val="0"/>
          <w:caps w:val="0"/>
          <w:color w:val="auto"/>
          <w:spacing w:val="0"/>
          <w:sz w:val="24"/>
          <w:szCs w:val="24"/>
          <w:shd w:val="clear" w:fill="FFFFFF"/>
        </w:rPr>
        <w:t>五、开启</w:t>
      </w:r>
    </w:p>
    <w:p w14:paraId="0CDDC6C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2026年07月20日 09时30分00秒 （北京时间）</w:t>
      </w:r>
    </w:p>
    <w:p w14:paraId="3BCF215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地点：榆林市公共资源交易中心18楼开标室1804B</w:t>
      </w:r>
    </w:p>
    <w:p w14:paraId="476C4E7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i w:val="0"/>
          <w:iCs w:val="0"/>
          <w:caps w:val="0"/>
          <w:color w:val="auto"/>
          <w:spacing w:val="0"/>
          <w:sz w:val="24"/>
          <w:szCs w:val="24"/>
        </w:rPr>
      </w:pPr>
      <w:r>
        <w:rPr>
          <w:rStyle w:val="27"/>
          <w:rFonts w:hint="eastAsia" w:ascii="宋体" w:hAnsi="宋体" w:eastAsia="宋体" w:cs="宋体"/>
          <w:b/>
          <w:bCs/>
          <w:i w:val="0"/>
          <w:iCs w:val="0"/>
          <w:caps w:val="0"/>
          <w:color w:val="auto"/>
          <w:spacing w:val="0"/>
          <w:sz w:val="24"/>
          <w:szCs w:val="24"/>
          <w:shd w:val="clear" w:fill="FFFFFF"/>
        </w:rPr>
        <w:t>六、公告期限</w:t>
      </w:r>
    </w:p>
    <w:p w14:paraId="363EFC7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413C59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i w:val="0"/>
          <w:iCs w:val="0"/>
          <w:caps w:val="0"/>
          <w:color w:val="auto"/>
          <w:spacing w:val="0"/>
          <w:sz w:val="24"/>
          <w:szCs w:val="24"/>
        </w:rPr>
      </w:pPr>
      <w:r>
        <w:rPr>
          <w:rStyle w:val="27"/>
          <w:rFonts w:hint="eastAsia" w:ascii="宋体" w:hAnsi="宋体" w:eastAsia="宋体" w:cs="宋体"/>
          <w:b/>
          <w:bCs/>
          <w:i w:val="0"/>
          <w:iCs w:val="0"/>
          <w:caps w:val="0"/>
          <w:color w:val="auto"/>
          <w:spacing w:val="0"/>
          <w:sz w:val="24"/>
          <w:szCs w:val="24"/>
          <w:shd w:val="clear" w:fill="FFFFFF"/>
        </w:rPr>
        <w:t>七、其他补充事宜</w:t>
      </w:r>
    </w:p>
    <w:p w14:paraId="7DE54E8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注：（1）供应商可登录全国公共资源交易中心平台（陕西省） （http://www.sxggzyjy.cn/）,选择“电子交易平台-陕西政府采购交易系统-陕西省公共资源交易平台-供应商”进行登录，登录后选择“交易乙方”身份进入供应商界面进行报名并免费下载竞争性磋商文件。（2）本项目采用电子化招投标的方式，供应商使用数字认证证书（CA 锁）对响应文件进行签章、加密、递交及开标时解密等相关招投标事宜。（3）电子响应文件制作软件技术支持热线：400-998-0000 ，CA锁购买：供应商未办理陕西省公共资源交易中心 CA 锁的可到榆林市市民大厦3楼，E18、E19窗口办理，联系电话：0912-3452148或 4006-369-888（陕西 CA 联系电话）。 (4)请各供应商获取竞争性磋商文件后，按照陕西省财政厅《关于政府采购投标供应商注册登记有关事项的通知》要求，通过陕西省政府采购（http://www.ccgp-shaanxi.gov.cn/）注册登记加入陕西省政府采购投标供应商库。（5）本项目采用“不见面”开标形式，不见面开标系统操作手册下载方式：登录【全国公共资源交易平台（陕西省）】 网站首页选择【服务指南】-【下载专区】-点击【关于陕西省公共资源交易平台多CA互认系统正式上线运行的通知】进行下载。</w:t>
      </w:r>
    </w:p>
    <w:p w14:paraId="424BB70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i w:val="0"/>
          <w:iCs w:val="0"/>
          <w:caps w:val="0"/>
          <w:color w:val="auto"/>
          <w:spacing w:val="0"/>
          <w:sz w:val="24"/>
          <w:szCs w:val="24"/>
        </w:rPr>
      </w:pPr>
      <w:r>
        <w:rPr>
          <w:rStyle w:val="2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4AA9DB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448CDA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名称：米脂县第三中学</w:t>
      </w:r>
    </w:p>
    <w:p w14:paraId="6C3FD71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地址：米脂县城隍庙湾12号</w:t>
      </w:r>
    </w:p>
    <w:p w14:paraId="4743734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联系方式：0912-6238169</w:t>
      </w:r>
    </w:p>
    <w:p w14:paraId="6AC283F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0F24980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名称：榆林腾达建诚信息咨询有限公司</w:t>
      </w:r>
    </w:p>
    <w:p w14:paraId="0F323A7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地址：陕西省榆林市榆阳区南郊上郡中路东塞北枫景小区（东区）3幢3层305号</w:t>
      </w:r>
    </w:p>
    <w:p w14:paraId="139706E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联系方式：18109129286</w:t>
      </w:r>
    </w:p>
    <w:p w14:paraId="2E9F89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090A17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项目联系人：艾俊卫</w:t>
      </w:r>
    </w:p>
    <w:p w14:paraId="6C1EE8E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电话：18109129286</w:t>
      </w:r>
    </w:p>
    <w:p w14:paraId="49791E99">
      <w:pPr>
        <w:keepNext w:val="0"/>
        <w:keepLines w:val="0"/>
        <w:pageBreakBefore w:val="0"/>
        <w:kinsoku/>
        <w:overflowPunct/>
        <w:topLinePunct w:val="0"/>
        <w:autoSpaceDE/>
        <w:autoSpaceDN/>
        <w:bidi w:val="0"/>
        <w:adjustRightInd/>
        <w:snapToGrid/>
        <w:spacing w:line="360" w:lineRule="auto"/>
        <w:ind w:left="0" w:firstLine="643" w:firstLineChars="200"/>
        <w:textAlignment w:val="auto"/>
        <w:rPr>
          <w:rStyle w:val="30"/>
          <w:rFonts w:hint="eastAsia" w:ascii="宋体" w:hAnsi="宋体" w:eastAsia="宋体" w:cs="宋体"/>
          <w:b/>
          <w:color w:val="auto"/>
          <w:lang w:val="en-US" w:eastAsia="zh-CN" w:bidi="ar-SA"/>
        </w:rPr>
      </w:pPr>
      <w:r>
        <w:rPr>
          <w:rStyle w:val="30"/>
          <w:rFonts w:hint="eastAsia" w:ascii="宋体" w:hAnsi="宋体" w:eastAsia="宋体" w:cs="宋体"/>
          <w:b/>
          <w:color w:val="auto"/>
          <w:lang w:val="en-US" w:eastAsia="zh-CN" w:bidi="ar-SA"/>
        </w:rPr>
        <w:br w:type="page"/>
      </w:r>
    </w:p>
    <w:p w14:paraId="3996A0FA">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Style w:val="30"/>
          <w:rFonts w:hint="eastAsia" w:ascii="宋体" w:hAnsi="宋体" w:eastAsia="宋体" w:cs="宋体"/>
          <w:b/>
          <w:color w:val="auto"/>
          <w:lang w:val="en-US" w:eastAsia="zh-CN" w:bidi="ar-SA"/>
        </w:rPr>
      </w:pPr>
      <w:bookmarkStart w:id="16" w:name="_Toc30660"/>
      <w:bookmarkStart w:id="17" w:name="_Toc3975"/>
      <w:r>
        <w:rPr>
          <w:rStyle w:val="30"/>
          <w:rFonts w:hint="eastAsia" w:ascii="宋体" w:hAnsi="宋体" w:eastAsia="宋体" w:cs="宋体"/>
          <w:b/>
          <w:color w:val="auto"/>
          <w:lang w:val="en-US" w:eastAsia="zh-CN" w:bidi="ar-SA"/>
        </w:rPr>
        <w:t>第二章 供应商须知</w:t>
      </w:r>
      <w:bookmarkEnd w:id="13"/>
      <w:bookmarkEnd w:id="14"/>
      <w:bookmarkEnd w:id="15"/>
      <w:bookmarkEnd w:id="16"/>
      <w:bookmarkEnd w:id="17"/>
    </w:p>
    <w:p w14:paraId="58F11272">
      <w:pPr>
        <w:pStyle w:val="3"/>
        <w:keepNext/>
        <w:keepLines/>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15"/>
          <w:szCs w:val="15"/>
        </w:rPr>
      </w:pPr>
      <w:bookmarkStart w:id="18" w:name="_Toc30624"/>
      <w:bookmarkStart w:id="19" w:name="_Toc9419"/>
      <w:bookmarkStart w:id="20" w:name="_Toc23179"/>
      <w:bookmarkStart w:id="21" w:name="_Toc18384"/>
      <w:bookmarkStart w:id="22" w:name="_Toc7032"/>
      <w:r>
        <w:rPr>
          <w:rFonts w:hint="eastAsia" w:ascii="宋体" w:hAnsi="宋体" w:eastAsia="宋体" w:cs="宋体"/>
          <w:color w:val="auto"/>
          <w:sz w:val="28"/>
          <w:szCs w:val="28"/>
        </w:rPr>
        <w:t>供应商须知前附表</w:t>
      </w:r>
      <w:bookmarkEnd w:id="18"/>
      <w:bookmarkEnd w:id="19"/>
      <w:bookmarkEnd w:id="20"/>
      <w:bookmarkEnd w:id="21"/>
      <w:bookmarkEnd w:id="22"/>
    </w:p>
    <w:tbl>
      <w:tblPr>
        <w:tblStyle w:val="2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69"/>
        <w:gridCol w:w="7245"/>
      </w:tblGrid>
      <w:tr w14:paraId="60501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09" w:type="dxa"/>
            <w:noWrap w:val="0"/>
            <w:vAlign w:val="center"/>
          </w:tcPr>
          <w:p w14:paraId="24CF1823">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969" w:type="dxa"/>
            <w:noWrap w:val="0"/>
            <w:vAlign w:val="center"/>
          </w:tcPr>
          <w:p w14:paraId="6AC5282A">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条款名称</w:t>
            </w:r>
          </w:p>
        </w:tc>
        <w:tc>
          <w:tcPr>
            <w:tcW w:w="7245" w:type="dxa"/>
            <w:noWrap w:val="0"/>
            <w:vAlign w:val="center"/>
          </w:tcPr>
          <w:p w14:paraId="477BCC0C">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说明和要求</w:t>
            </w:r>
          </w:p>
        </w:tc>
      </w:tr>
      <w:tr w14:paraId="7EAB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03A4CFD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969" w:type="dxa"/>
            <w:noWrap w:val="0"/>
            <w:vAlign w:val="center"/>
          </w:tcPr>
          <w:p w14:paraId="5D7DC4D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7245" w:type="dxa"/>
            <w:noWrap w:val="0"/>
            <w:vAlign w:val="center"/>
          </w:tcPr>
          <w:p w14:paraId="38C5A65C">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cs="宋体"/>
                <w:i w:val="0"/>
                <w:iCs w:val="0"/>
                <w:caps w:val="0"/>
                <w:color w:val="auto"/>
                <w:spacing w:val="0"/>
                <w:sz w:val="24"/>
                <w:szCs w:val="24"/>
                <w:shd w:val="clear" w:color="auto" w:fill="FFFFFF"/>
                <w:lang w:eastAsia="zh-CN"/>
              </w:rPr>
              <w:t>米脂县第三中学</w:t>
            </w:r>
          </w:p>
          <w:p w14:paraId="463F2BC6">
            <w:pPr>
              <w:spacing w:line="360" w:lineRule="auto"/>
              <w:jc w:val="lef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eastAsia="zh-CN"/>
              </w:rPr>
              <w:t>联系</w:t>
            </w:r>
            <w:r>
              <w:rPr>
                <w:rFonts w:hint="eastAsia" w:ascii="宋体" w:hAnsi="宋体" w:eastAsia="宋体" w:cs="宋体"/>
                <w:color w:val="auto"/>
                <w:sz w:val="24"/>
                <w:szCs w:val="24"/>
                <w:highlight w:val="none"/>
                <w:lang w:eastAsia="zh-CN"/>
              </w:rPr>
              <w:t>地址：</w:t>
            </w:r>
            <w:r>
              <w:rPr>
                <w:rFonts w:hint="eastAsia" w:ascii="宋体" w:hAnsi="宋体" w:cs="宋体"/>
                <w:i w:val="0"/>
                <w:iCs w:val="0"/>
                <w:caps w:val="0"/>
                <w:color w:val="auto"/>
                <w:spacing w:val="0"/>
                <w:sz w:val="24"/>
                <w:szCs w:val="24"/>
                <w:highlight w:val="none"/>
                <w:shd w:val="clear" w:color="auto" w:fill="FFFFFF"/>
                <w:lang w:eastAsia="zh-CN"/>
              </w:rPr>
              <w:t>米脂县城隍庙湾12号</w:t>
            </w:r>
          </w:p>
          <w:p w14:paraId="7377AA33">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cs="宋体"/>
                <w:i w:val="0"/>
                <w:iCs w:val="0"/>
                <w:caps w:val="0"/>
                <w:color w:val="000000"/>
                <w:spacing w:val="0"/>
                <w:sz w:val="24"/>
                <w:szCs w:val="24"/>
                <w:shd w:val="clear" w:color="auto" w:fill="FFFFFF"/>
                <w:lang w:eastAsia="zh-CN"/>
              </w:rPr>
              <w:t>0912-6238169</w:t>
            </w:r>
          </w:p>
        </w:tc>
      </w:tr>
      <w:tr w14:paraId="57449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jc w:val="center"/>
        </w:trPr>
        <w:tc>
          <w:tcPr>
            <w:tcW w:w="709" w:type="dxa"/>
            <w:noWrap w:val="0"/>
            <w:vAlign w:val="center"/>
          </w:tcPr>
          <w:p w14:paraId="0BEC988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969" w:type="dxa"/>
            <w:noWrap w:val="0"/>
            <w:vAlign w:val="center"/>
          </w:tcPr>
          <w:p w14:paraId="3BF5B35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7245" w:type="dxa"/>
            <w:noWrap w:val="0"/>
            <w:vAlign w:val="center"/>
          </w:tcPr>
          <w:p w14:paraId="6A87992F">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采购代理机构名称：</w:t>
            </w:r>
            <w:r>
              <w:rPr>
                <w:rFonts w:hint="eastAsia" w:ascii="宋体" w:hAnsi="宋体" w:eastAsia="宋体" w:cs="宋体"/>
                <w:color w:val="auto"/>
                <w:sz w:val="24"/>
                <w:szCs w:val="24"/>
                <w:lang w:eastAsia="zh-CN"/>
              </w:rPr>
              <w:t>榆林腾达建诚信息咨询有限公司</w:t>
            </w:r>
          </w:p>
          <w:p w14:paraId="04107775">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陕西省榆林市榆阳区南郊上郡中路东塞北枫景小区（东区）3幢3层305号</w:t>
            </w:r>
          </w:p>
          <w:p w14:paraId="1287E7A9">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联系人：</w:t>
            </w:r>
            <w:r>
              <w:rPr>
                <w:rFonts w:hint="eastAsia" w:ascii="宋体" w:hAnsi="宋体" w:cs="宋体"/>
                <w:color w:val="auto"/>
                <w:sz w:val="24"/>
                <w:szCs w:val="24"/>
                <w:lang w:val="en-US" w:eastAsia="zh-CN"/>
              </w:rPr>
              <w:t>白琳</w:t>
            </w:r>
          </w:p>
          <w:p w14:paraId="5979B1E4">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电话：</w:t>
            </w:r>
            <w:r>
              <w:rPr>
                <w:rFonts w:hint="eastAsia" w:ascii="宋体" w:hAnsi="宋体" w:cs="宋体"/>
                <w:color w:val="auto"/>
                <w:sz w:val="24"/>
                <w:szCs w:val="24"/>
                <w:lang w:eastAsia="zh-CN"/>
              </w:rPr>
              <w:t>18109129286</w:t>
            </w:r>
          </w:p>
        </w:tc>
      </w:tr>
      <w:tr w14:paraId="539A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09" w:type="dxa"/>
            <w:noWrap w:val="0"/>
            <w:vAlign w:val="center"/>
          </w:tcPr>
          <w:p w14:paraId="4217152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969" w:type="dxa"/>
            <w:noWrap w:val="0"/>
            <w:vAlign w:val="center"/>
          </w:tcPr>
          <w:p w14:paraId="5FF1D9D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监督管理机构</w:t>
            </w:r>
          </w:p>
        </w:tc>
        <w:tc>
          <w:tcPr>
            <w:tcW w:w="7245" w:type="dxa"/>
            <w:noWrap w:val="0"/>
            <w:vAlign w:val="center"/>
          </w:tcPr>
          <w:p w14:paraId="59C58849">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米脂县财政局</w:t>
            </w:r>
          </w:p>
        </w:tc>
      </w:tr>
      <w:tr w14:paraId="01275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9" w:type="dxa"/>
            <w:noWrap w:val="0"/>
            <w:vAlign w:val="center"/>
          </w:tcPr>
          <w:p w14:paraId="4EC66A0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969" w:type="dxa"/>
            <w:noWrap w:val="0"/>
            <w:vAlign w:val="center"/>
          </w:tcPr>
          <w:p w14:paraId="2835E43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7245" w:type="dxa"/>
            <w:noWrap w:val="0"/>
            <w:vAlign w:val="center"/>
          </w:tcPr>
          <w:p w14:paraId="6B7E133C">
            <w:pPr>
              <w:spacing w:line="360" w:lineRule="auto"/>
              <w:jc w:val="lef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米脂县第三中学消防改造工程</w:t>
            </w:r>
          </w:p>
        </w:tc>
      </w:tr>
      <w:tr w14:paraId="4C72F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5553AFD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969" w:type="dxa"/>
            <w:noWrap w:val="0"/>
            <w:vAlign w:val="center"/>
          </w:tcPr>
          <w:p w14:paraId="37298C9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7245" w:type="dxa"/>
            <w:noWrap w:val="0"/>
            <w:vAlign w:val="center"/>
          </w:tcPr>
          <w:p w14:paraId="55E3FEC9">
            <w:pPr>
              <w:spacing w:line="360" w:lineRule="auto"/>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TDJC2026-06</w:t>
            </w:r>
          </w:p>
        </w:tc>
      </w:tr>
      <w:tr w14:paraId="01A22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09" w:type="dxa"/>
            <w:noWrap w:val="0"/>
            <w:vAlign w:val="center"/>
          </w:tcPr>
          <w:p w14:paraId="676A1DC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969" w:type="dxa"/>
            <w:noWrap w:val="0"/>
            <w:vAlign w:val="center"/>
          </w:tcPr>
          <w:p w14:paraId="6BA9CF2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项目性质</w:t>
            </w:r>
          </w:p>
        </w:tc>
        <w:tc>
          <w:tcPr>
            <w:tcW w:w="7245" w:type="dxa"/>
            <w:noWrap w:val="0"/>
            <w:vAlign w:val="center"/>
          </w:tcPr>
          <w:p w14:paraId="2E1AD44C">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工程类</w:t>
            </w:r>
          </w:p>
        </w:tc>
      </w:tr>
      <w:tr w14:paraId="117D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09" w:type="dxa"/>
            <w:noWrap w:val="0"/>
            <w:vAlign w:val="center"/>
          </w:tcPr>
          <w:p w14:paraId="1F8FF2D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969" w:type="dxa"/>
            <w:noWrap w:val="0"/>
            <w:vAlign w:val="center"/>
          </w:tcPr>
          <w:p w14:paraId="60FF73CC">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项目预算</w:t>
            </w:r>
          </w:p>
        </w:tc>
        <w:tc>
          <w:tcPr>
            <w:tcW w:w="7245" w:type="dxa"/>
            <w:noWrap w:val="0"/>
            <w:vAlign w:val="center"/>
          </w:tcPr>
          <w:p w14:paraId="454E48EC">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人民币：</w:t>
            </w:r>
            <w:r>
              <w:rPr>
                <w:rFonts w:hint="eastAsia" w:ascii="宋体" w:hAnsi="宋体" w:cs="宋体"/>
                <w:color w:val="auto"/>
                <w:sz w:val="24"/>
                <w:szCs w:val="24"/>
                <w:lang w:val="en-US" w:eastAsia="zh-CN"/>
              </w:rPr>
              <w:t>陆拾捌万壹仟捌佰陆拾贰元柒角伍分</w:t>
            </w:r>
            <w:r>
              <w:rPr>
                <w:rFonts w:hint="eastAsia" w:ascii="宋体" w:hAnsi="宋体" w:eastAsia="宋体" w:cs="宋体"/>
                <w:color w:val="auto"/>
                <w:sz w:val="24"/>
                <w:szCs w:val="24"/>
                <w:lang w:val="en-US" w:eastAsia="zh-CN"/>
              </w:rPr>
              <w:t>（￥</w:t>
            </w:r>
            <w:r>
              <w:rPr>
                <w:rFonts w:hint="eastAsia" w:ascii="宋体" w:hAnsi="宋体" w:eastAsia="宋体" w:cs="宋体"/>
                <w:i w:val="0"/>
                <w:iCs w:val="0"/>
                <w:caps w:val="0"/>
                <w:color w:val="000000"/>
                <w:spacing w:val="0"/>
                <w:sz w:val="24"/>
                <w:szCs w:val="24"/>
                <w:shd w:val="clear" w:color="auto" w:fill="FFFFFF"/>
              </w:rPr>
              <w:t>681862.75</w:t>
            </w:r>
            <w:r>
              <w:rPr>
                <w:rFonts w:hint="eastAsia" w:ascii="宋体" w:hAnsi="宋体" w:eastAsia="宋体" w:cs="宋体"/>
                <w:color w:val="auto"/>
                <w:sz w:val="24"/>
                <w:szCs w:val="24"/>
                <w:lang w:val="en-US" w:eastAsia="zh-CN"/>
              </w:rPr>
              <w:t>元）</w:t>
            </w:r>
          </w:p>
        </w:tc>
      </w:tr>
      <w:tr w14:paraId="4FC90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48750F2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969" w:type="dxa"/>
            <w:noWrap w:val="0"/>
            <w:vAlign w:val="center"/>
          </w:tcPr>
          <w:p w14:paraId="5CE735F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项目用途</w:t>
            </w:r>
          </w:p>
        </w:tc>
        <w:tc>
          <w:tcPr>
            <w:tcW w:w="7245" w:type="dxa"/>
            <w:noWrap w:val="0"/>
            <w:vAlign w:val="center"/>
          </w:tcPr>
          <w:p w14:paraId="1F8A964B">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自用</w:t>
            </w:r>
          </w:p>
        </w:tc>
      </w:tr>
      <w:tr w14:paraId="61592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0EA422C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969" w:type="dxa"/>
            <w:noWrap w:val="0"/>
            <w:vAlign w:val="center"/>
          </w:tcPr>
          <w:p w14:paraId="6509E11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采购内容和要求</w:t>
            </w:r>
          </w:p>
        </w:tc>
        <w:tc>
          <w:tcPr>
            <w:tcW w:w="7245" w:type="dxa"/>
            <w:noWrap w:val="0"/>
            <w:vAlign w:val="center"/>
          </w:tcPr>
          <w:p w14:paraId="3E8278C8">
            <w:pPr>
              <w:spacing w:line="360" w:lineRule="auto"/>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米脂县第三中学消防改造工程</w:t>
            </w:r>
            <w:r>
              <w:rPr>
                <w:rFonts w:hint="eastAsia" w:ascii="宋体" w:hAnsi="宋体" w:eastAsia="宋体" w:cs="宋体"/>
                <w:color w:val="auto"/>
                <w:sz w:val="24"/>
                <w:szCs w:val="24"/>
                <w:lang w:val="en-US" w:eastAsia="zh-CN"/>
              </w:rPr>
              <w:t>，具体见磋商文件第五章工程量清单</w:t>
            </w:r>
          </w:p>
        </w:tc>
      </w:tr>
      <w:tr w14:paraId="454EC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09" w:type="dxa"/>
            <w:noWrap w:val="0"/>
            <w:vAlign w:val="center"/>
          </w:tcPr>
          <w:p w14:paraId="487D5A8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969" w:type="dxa"/>
            <w:noWrap w:val="0"/>
            <w:vAlign w:val="center"/>
          </w:tcPr>
          <w:p w14:paraId="3619615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tc>
        <w:tc>
          <w:tcPr>
            <w:tcW w:w="7245" w:type="dxa"/>
            <w:noWrap w:val="0"/>
            <w:vAlign w:val="center"/>
          </w:tcPr>
          <w:p w14:paraId="64AF963B">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响应</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"http://baike.baidu.com/view/8707.htm"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招标</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并且符合磋商文件规定资格条件和参加投标竞争的法人或其他组织。</w:t>
            </w:r>
          </w:p>
        </w:tc>
      </w:tr>
      <w:tr w14:paraId="3AAA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6D50C5A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969" w:type="dxa"/>
            <w:noWrap w:val="0"/>
            <w:vAlign w:val="center"/>
          </w:tcPr>
          <w:p w14:paraId="18F7791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供应商资格要求</w:t>
            </w:r>
          </w:p>
        </w:tc>
        <w:tc>
          <w:tcPr>
            <w:tcW w:w="7245" w:type="dxa"/>
            <w:noWrap w:val="0"/>
            <w:vAlign w:val="top"/>
          </w:tcPr>
          <w:p w14:paraId="376BD360">
            <w:pPr>
              <w:shd w:val="clear" w:color="auto" w:fill="auto"/>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供应商</w:t>
            </w:r>
            <w:r>
              <w:rPr>
                <w:rFonts w:hint="eastAsia" w:ascii="宋体" w:hAnsi="宋体" w:eastAsia="宋体" w:cs="宋体"/>
                <w:color w:val="auto"/>
                <w:sz w:val="24"/>
                <w:szCs w:val="24"/>
                <w:highlight w:val="none"/>
                <w:lang w:val="zh-CN"/>
              </w:rPr>
              <w:t>应具备《中华人民共和国政府采购法》第二十二条规定的条件；并提供以下资格证明文件：</w:t>
            </w:r>
          </w:p>
          <w:p w14:paraId="0B994AF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供应商须具备建设行政主管部门核发的【消防设施工程专业承包二级】及以上资质，有效的安全生产许可证，并在人员、设备、资金等方面具备相应的施工能力；拟派往本项目的项目负责人须具备【机电工程二级】及以上注册建造师执业资格，具备有效的安全生产考核合格证书（B证），且未担任其他在建工程项目的项目负责人（提供网页截图或承诺），供应商及项目负责人的基本信息须在“陕西省住房和城乡建设厅”网站录入并可查询；</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企业赋码后2025年经会计师事务所或审计机构审计的财务审计报告，（提供的财务审计报告需在注册会计师行业统一监管平台（http://acc.mof.gov.cn/）可查询并提供网页截图），成立时间至提交响应文件递交截止时间不足一年的，须提供其基本存款账户开户银行近三个月内出具的银行资信证明或自成立以来的财务报表；其他组织和自然人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对列入“信用中国”网站(www.creditchina.gov.cn)“经营（活动）异常名录信息查询、重大税收违法失信主体、失信被执行人”记录名单及中国政府采购网(www.ccgp.gov.cn)“政府采购严重违法失信行为信息记录”的单位，应当拒绝参与政府采购活动（附投标截止日前的查询结果但以投标截止日当天查询结果为准）。提供“信用中国”网站(www.creditchina.gov.cn)、中国政府采购网(www.ccgp.gov.cn)等网页截图；</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应在“信用中国（陕西榆林）”网站进行注册、登录，自主上报信用承诺书（网址：https://www.ylcredit.gov.cn/）；（注：需提供《榆林市政府采购工程类项目供应商信用承诺书》《投标人信用承诺》、《投标人委托代理人员信用承诺书》、《投标信用（保证金）承诺书》公示网页截图）；</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（10）本项目专门面向中小企业采购，供应商须填写《中小企业声明函》。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18627D92">
            <w:pPr>
              <w:keepNext w:val="0"/>
              <w:keepLines w:val="0"/>
              <w:pageBreakBefore w:val="0"/>
              <w:widowControl/>
              <w:numPr>
                <w:ilvl w:val="0"/>
                <w:numId w:val="0"/>
              </w:numPr>
              <w:suppressLineNumbers w:val="0"/>
              <w:shd w:val="clear" w:color="auto" w:fill="auto"/>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highlight w:val="none"/>
              </w:rPr>
              <w:t>以上资质为必备资质，缺一项或某项达不到要求，按无效投标处理。</w:t>
            </w:r>
          </w:p>
        </w:tc>
      </w:tr>
      <w:tr w14:paraId="588B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2142B32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969" w:type="dxa"/>
            <w:noWrap w:val="0"/>
            <w:vAlign w:val="center"/>
          </w:tcPr>
          <w:p w14:paraId="4376FAE6">
            <w:pPr>
              <w:spacing w:line="360" w:lineRule="auto"/>
              <w:jc w:val="center"/>
              <w:rPr>
                <w:rFonts w:hint="eastAsia" w:ascii="宋体" w:hAnsi="宋体" w:eastAsia="宋体" w:cs="宋体"/>
                <w:b w:val="0"/>
                <w:bCs w:val="0"/>
                <w:color w:val="auto"/>
                <w:kern w:val="2"/>
                <w:sz w:val="24"/>
                <w:szCs w:val="24"/>
                <w:highlight w:val="none"/>
                <w:lang w:val="en-US" w:eastAsia="zh-CN" w:bidi="ar"/>
              </w:rPr>
            </w:pPr>
            <w:r>
              <w:rPr>
                <w:rFonts w:hint="eastAsia" w:ascii="宋体" w:hAnsi="宋体" w:eastAsia="宋体" w:cs="宋体"/>
                <w:b w:val="0"/>
                <w:bCs w:val="0"/>
                <w:color w:val="auto"/>
                <w:kern w:val="2"/>
                <w:sz w:val="24"/>
                <w:szCs w:val="24"/>
                <w:highlight w:val="none"/>
                <w:lang w:val="en-US" w:eastAsia="zh-CN" w:bidi="ar"/>
              </w:rPr>
              <w:t>工期</w:t>
            </w:r>
          </w:p>
        </w:tc>
        <w:tc>
          <w:tcPr>
            <w:tcW w:w="7245" w:type="dxa"/>
            <w:noWrap w:val="0"/>
            <w:vAlign w:val="top"/>
          </w:tcPr>
          <w:p w14:paraId="2C89F025">
            <w:pPr>
              <w:spacing w:line="360" w:lineRule="auto"/>
              <w:rPr>
                <w:rFonts w:hint="eastAsia" w:ascii="宋体" w:hAnsi="宋体" w:eastAsia="宋体" w:cs="宋体"/>
                <w:b w:val="0"/>
                <w:bCs w:val="0"/>
                <w:color w:val="auto"/>
                <w:kern w:val="2"/>
                <w:sz w:val="24"/>
                <w:szCs w:val="24"/>
                <w:highlight w:val="none"/>
                <w:lang w:val="en-US" w:eastAsia="zh-CN" w:bidi="ar"/>
              </w:rPr>
            </w:pPr>
            <w:r>
              <w:rPr>
                <w:rFonts w:hint="eastAsia" w:ascii="宋体" w:hAnsi="宋体" w:eastAsia="宋体" w:cs="宋体"/>
                <w:color w:val="auto"/>
                <w:sz w:val="24"/>
                <w:szCs w:val="24"/>
                <w:highlight w:val="none"/>
                <w:lang w:val="en-US" w:eastAsia="zh-CN"/>
              </w:rPr>
              <w:t>合同签订之日起</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0日历天</w:t>
            </w:r>
          </w:p>
        </w:tc>
      </w:tr>
      <w:tr w14:paraId="022A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370EDA21">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13</w:t>
            </w:r>
          </w:p>
        </w:tc>
        <w:tc>
          <w:tcPr>
            <w:tcW w:w="1969" w:type="dxa"/>
            <w:noWrap w:val="0"/>
            <w:vAlign w:val="center"/>
          </w:tcPr>
          <w:p w14:paraId="470E4D33">
            <w:pPr>
              <w:spacing w:line="360" w:lineRule="auto"/>
              <w:jc w:val="center"/>
              <w:rPr>
                <w:rFonts w:hint="default" w:ascii="宋体" w:hAnsi="宋体" w:eastAsia="宋体" w:cs="宋体"/>
                <w:b w:val="0"/>
                <w:bCs w:val="0"/>
                <w:color w:val="auto"/>
                <w:kern w:val="2"/>
                <w:sz w:val="24"/>
                <w:szCs w:val="24"/>
                <w:highlight w:val="none"/>
                <w:lang w:val="en-US" w:eastAsia="zh-CN" w:bidi="ar"/>
              </w:rPr>
            </w:pPr>
            <w:r>
              <w:rPr>
                <w:rFonts w:hint="eastAsia" w:ascii="宋体" w:hAnsi="宋体" w:cs="宋体"/>
                <w:b w:val="0"/>
                <w:bCs w:val="0"/>
                <w:color w:val="auto"/>
                <w:kern w:val="2"/>
                <w:sz w:val="24"/>
                <w:szCs w:val="24"/>
                <w:highlight w:val="none"/>
                <w:lang w:val="en-US" w:eastAsia="zh-CN" w:bidi="ar"/>
              </w:rPr>
              <w:t>质量标准及质保期</w:t>
            </w:r>
          </w:p>
        </w:tc>
        <w:tc>
          <w:tcPr>
            <w:tcW w:w="7245" w:type="dxa"/>
            <w:noWrap w:val="0"/>
            <w:vAlign w:val="top"/>
          </w:tcPr>
          <w:p w14:paraId="2E8A5DA6">
            <w:pPr>
              <w:spacing w:line="360" w:lineRule="auto"/>
              <w:rPr>
                <w:rFonts w:hint="eastAsia" w:ascii="宋体" w:hAnsi="宋体" w:eastAsia="宋体" w:cs="宋体"/>
                <w:b/>
                <w:color w:val="auto"/>
                <w:kern w:val="0"/>
                <w:sz w:val="24"/>
                <w:szCs w:val="24"/>
                <w:lang w:eastAsia="zh-CN"/>
              </w:rPr>
            </w:pPr>
            <w:r>
              <w:rPr>
                <w:rFonts w:hint="eastAsia" w:ascii="宋体" w:hAnsi="宋体" w:eastAsia="宋体" w:cs="宋体"/>
                <w:b/>
                <w:color w:val="auto"/>
                <w:kern w:val="0"/>
                <w:sz w:val="24"/>
                <w:szCs w:val="24"/>
                <w:lang w:val="en-US" w:eastAsia="zh-CN"/>
              </w:rPr>
              <w:t>质量标准：</w:t>
            </w:r>
            <w:r>
              <w:rPr>
                <w:rFonts w:hint="eastAsia" w:ascii="宋体" w:hAnsi="宋体" w:cs="宋体"/>
                <w:b/>
                <w:color w:val="auto"/>
                <w:kern w:val="0"/>
                <w:sz w:val="24"/>
                <w:szCs w:val="24"/>
                <w:lang w:val="en-US" w:eastAsia="zh-CN"/>
              </w:rPr>
              <w:t>符合</w:t>
            </w:r>
            <w:r>
              <w:rPr>
                <w:rFonts w:hint="eastAsia" w:ascii="宋体" w:hAnsi="宋体" w:eastAsia="宋体" w:cs="宋体"/>
                <w:b/>
                <w:color w:val="auto"/>
                <w:kern w:val="0"/>
                <w:sz w:val="24"/>
                <w:szCs w:val="24"/>
                <w:lang w:eastAsia="zh-CN"/>
              </w:rPr>
              <w:t>国家现行验收规范“合格”</w:t>
            </w:r>
            <w:r>
              <w:rPr>
                <w:rFonts w:hint="eastAsia" w:ascii="宋体" w:hAnsi="宋体" w:cs="宋体"/>
                <w:b/>
                <w:color w:val="auto"/>
                <w:kern w:val="0"/>
                <w:sz w:val="24"/>
                <w:szCs w:val="24"/>
                <w:lang w:val="en-US" w:eastAsia="zh-CN"/>
              </w:rPr>
              <w:t>标准</w:t>
            </w:r>
            <w:r>
              <w:rPr>
                <w:rFonts w:hint="eastAsia" w:ascii="宋体" w:hAnsi="宋体" w:eastAsia="宋体" w:cs="宋体"/>
                <w:b/>
                <w:color w:val="auto"/>
                <w:kern w:val="0"/>
                <w:sz w:val="24"/>
                <w:szCs w:val="24"/>
                <w:lang w:eastAsia="zh-CN"/>
              </w:rPr>
              <w:t>。</w:t>
            </w:r>
          </w:p>
          <w:p w14:paraId="0B4055D1">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kern w:val="0"/>
                <w:sz w:val="24"/>
                <w:szCs w:val="24"/>
                <w:lang w:val="en-US" w:eastAsia="zh-CN"/>
              </w:rPr>
              <w:t>质保期</w:t>
            </w:r>
            <w:r>
              <w:rPr>
                <w:rFonts w:hint="eastAsia" w:ascii="宋体" w:hAnsi="宋体" w:cs="宋体"/>
                <w:b/>
                <w:color w:val="auto"/>
                <w:kern w:val="0"/>
                <w:sz w:val="24"/>
                <w:szCs w:val="24"/>
                <w:lang w:val="en-US" w:eastAsia="zh-CN"/>
              </w:rPr>
              <w:t>：二年</w:t>
            </w:r>
          </w:p>
        </w:tc>
      </w:tr>
      <w:tr w14:paraId="38E7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9" w:type="dxa"/>
            <w:noWrap w:val="0"/>
            <w:vAlign w:val="center"/>
          </w:tcPr>
          <w:p w14:paraId="5C0A3115">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14</w:t>
            </w:r>
          </w:p>
        </w:tc>
        <w:tc>
          <w:tcPr>
            <w:tcW w:w="1969" w:type="dxa"/>
            <w:noWrap w:val="0"/>
            <w:vAlign w:val="center"/>
          </w:tcPr>
          <w:p w14:paraId="46426AE7">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付款方式</w:t>
            </w:r>
          </w:p>
        </w:tc>
        <w:tc>
          <w:tcPr>
            <w:tcW w:w="7245" w:type="dxa"/>
            <w:noWrap w:val="0"/>
            <w:vAlign w:val="top"/>
          </w:tcPr>
          <w:p w14:paraId="40DD1644">
            <w:pPr>
              <w:spacing w:line="360" w:lineRule="auto"/>
              <w:rPr>
                <w:rFonts w:hint="eastAsia" w:ascii="宋体" w:hAnsi="宋体" w:eastAsia="宋体" w:cs="宋体"/>
                <w:b w:val="0"/>
                <w:bCs w:val="0"/>
                <w:color w:val="auto"/>
                <w:kern w:val="2"/>
                <w:sz w:val="24"/>
                <w:szCs w:val="24"/>
                <w:highlight w:val="none"/>
                <w:lang w:val="en-US" w:eastAsia="zh-CN" w:bidi="ar"/>
              </w:rPr>
            </w:pPr>
            <w:r>
              <w:rPr>
                <w:rFonts w:hint="eastAsia" w:ascii="宋体" w:hAnsi="宋体"/>
                <w:sz w:val="24"/>
                <w:szCs w:val="24"/>
                <w:u w:val="none"/>
                <w:lang w:val="en-US" w:eastAsia="zh-CN"/>
              </w:rPr>
              <w:t>按照工程建设进度结合财政拨付资金到位情况支付工程款，双方签订合同后，预付工程款 40%，工程完工付总工程款 40%。竣工验收合格、决算审计后，支付其余的工程款20%。每次付款均需提供正式发票。</w:t>
            </w:r>
          </w:p>
        </w:tc>
      </w:tr>
      <w:tr w14:paraId="46521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1FB59157">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15</w:t>
            </w:r>
          </w:p>
        </w:tc>
        <w:tc>
          <w:tcPr>
            <w:tcW w:w="1969" w:type="dxa"/>
            <w:noWrap w:val="0"/>
            <w:vAlign w:val="center"/>
          </w:tcPr>
          <w:p w14:paraId="5BE6F3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磋商文件获取</w:t>
            </w:r>
          </w:p>
        </w:tc>
        <w:tc>
          <w:tcPr>
            <w:tcW w:w="7245" w:type="dxa"/>
            <w:noWrap w:val="0"/>
            <w:vAlign w:val="top"/>
          </w:tcPr>
          <w:p w14:paraId="773C4F84">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获取时间</w:t>
            </w:r>
            <w:r>
              <w:rPr>
                <w:rFonts w:hint="eastAsia" w:ascii="宋体" w:hAnsi="宋体" w:eastAsia="宋体" w:cs="宋体"/>
                <w:color w:val="000000"/>
                <w:sz w:val="24"/>
                <w:szCs w:val="24"/>
                <w:highlight w:val="none"/>
              </w:rPr>
              <w:t>：</w:t>
            </w:r>
            <w:r>
              <w:rPr>
                <w:rFonts w:hint="eastAsia" w:ascii="宋体" w:hAnsi="宋体" w:eastAsia="宋体" w:cs="宋体"/>
                <w:color w:val="000000"/>
                <w:kern w:val="0"/>
                <w:sz w:val="24"/>
                <w:szCs w:val="24"/>
                <w:highlight w:val="none"/>
                <w:lang w:val="en-US" w:eastAsia="zh-CN" w:bidi="ar-SA"/>
              </w:rPr>
              <w:t>2026年0</w:t>
            </w:r>
            <w:r>
              <w:rPr>
                <w:rFonts w:hint="eastAsia" w:ascii="宋体" w:hAnsi="宋体" w:cs="宋体"/>
                <w:color w:val="000000"/>
                <w:kern w:val="0"/>
                <w:sz w:val="24"/>
                <w:szCs w:val="24"/>
                <w:highlight w:val="none"/>
                <w:lang w:val="en-US" w:eastAsia="zh-CN" w:bidi="ar-SA"/>
              </w:rPr>
              <w:t>7</w:t>
            </w:r>
            <w:r>
              <w:rPr>
                <w:rFonts w:hint="eastAsia" w:ascii="宋体" w:hAnsi="宋体" w:eastAsia="宋体" w:cs="宋体"/>
                <w:color w:val="000000"/>
                <w:kern w:val="0"/>
                <w:sz w:val="24"/>
                <w:szCs w:val="24"/>
                <w:highlight w:val="none"/>
                <w:lang w:val="en-US" w:eastAsia="zh-CN" w:bidi="ar-SA"/>
              </w:rPr>
              <w:t>月</w:t>
            </w:r>
            <w:r>
              <w:rPr>
                <w:rFonts w:hint="eastAsia" w:ascii="宋体" w:hAnsi="宋体" w:cs="宋体"/>
                <w:color w:val="000000"/>
                <w:kern w:val="0"/>
                <w:sz w:val="24"/>
                <w:szCs w:val="24"/>
                <w:highlight w:val="none"/>
                <w:lang w:val="en-US" w:eastAsia="zh-CN" w:bidi="ar-SA"/>
              </w:rPr>
              <w:t>0</w:t>
            </w:r>
            <w:r>
              <w:rPr>
                <w:rFonts w:hint="eastAsia" w:ascii="宋体" w:hAnsi="宋体" w:eastAsia="宋体" w:cs="宋体"/>
                <w:color w:val="000000"/>
                <w:kern w:val="0"/>
                <w:sz w:val="24"/>
                <w:szCs w:val="24"/>
                <w:highlight w:val="none"/>
                <w:lang w:val="en-US" w:eastAsia="zh-CN" w:bidi="ar-SA"/>
              </w:rPr>
              <w:t>8日至2026年0</w:t>
            </w:r>
            <w:r>
              <w:rPr>
                <w:rFonts w:hint="eastAsia" w:ascii="宋体" w:hAnsi="宋体" w:cs="宋体"/>
                <w:color w:val="000000"/>
                <w:kern w:val="0"/>
                <w:sz w:val="24"/>
                <w:szCs w:val="24"/>
                <w:highlight w:val="none"/>
                <w:lang w:val="en-US" w:eastAsia="zh-CN" w:bidi="ar-SA"/>
              </w:rPr>
              <w:t>7</w:t>
            </w:r>
            <w:r>
              <w:rPr>
                <w:rFonts w:hint="eastAsia" w:ascii="宋体" w:hAnsi="宋体" w:eastAsia="宋体" w:cs="宋体"/>
                <w:color w:val="000000"/>
                <w:kern w:val="0"/>
                <w:sz w:val="24"/>
                <w:szCs w:val="24"/>
                <w:highlight w:val="none"/>
                <w:lang w:val="en-US" w:eastAsia="zh-CN" w:bidi="ar-SA"/>
              </w:rPr>
              <w:t>月</w:t>
            </w:r>
            <w:r>
              <w:rPr>
                <w:rFonts w:hint="eastAsia" w:ascii="宋体" w:hAnsi="宋体" w:cs="宋体"/>
                <w:color w:val="000000"/>
                <w:kern w:val="0"/>
                <w:sz w:val="24"/>
                <w:szCs w:val="24"/>
                <w:highlight w:val="none"/>
                <w:lang w:val="en-US" w:eastAsia="zh-CN" w:bidi="ar-SA"/>
              </w:rPr>
              <w:t>14</w:t>
            </w:r>
            <w:r>
              <w:rPr>
                <w:rFonts w:hint="eastAsia" w:ascii="宋体" w:hAnsi="宋体" w:eastAsia="宋体" w:cs="宋体"/>
                <w:color w:val="000000"/>
                <w:kern w:val="0"/>
                <w:sz w:val="24"/>
                <w:szCs w:val="24"/>
                <w:highlight w:val="none"/>
                <w:lang w:val="en-US" w:eastAsia="zh-CN" w:bidi="ar-SA"/>
              </w:rPr>
              <w:t>日，</w:t>
            </w:r>
            <w:r>
              <w:rPr>
                <w:rFonts w:hint="eastAsia" w:ascii="宋体" w:hAnsi="宋体" w:eastAsia="宋体" w:cs="宋体"/>
                <w:color w:val="auto"/>
                <w:kern w:val="0"/>
                <w:sz w:val="24"/>
                <w:szCs w:val="24"/>
                <w:highlight w:val="none"/>
                <w:lang w:val="en-US" w:eastAsia="zh-CN" w:bidi="ar-SA"/>
              </w:rPr>
              <w:t>每天上午08:00:00至12:00:00，下午12:00:00至18:00:00（北京时间,法定节假日除外）</w:t>
            </w:r>
          </w:p>
          <w:p w14:paraId="7373F40E">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获取地点：</w:t>
            </w:r>
            <w:r>
              <w:rPr>
                <w:rFonts w:hint="eastAsia" w:ascii="宋体" w:hAnsi="宋体" w:eastAsia="宋体" w:cs="宋体"/>
                <w:i w:val="0"/>
                <w:iCs w:val="0"/>
                <w:caps w:val="0"/>
                <w:color w:val="auto"/>
                <w:spacing w:val="0"/>
                <w:sz w:val="24"/>
                <w:szCs w:val="24"/>
                <w:highlight w:val="none"/>
                <w:shd w:val="clear" w:color="auto" w:fill="FFFFFF"/>
              </w:rPr>
              <w:t>登录全国公共资源交易中心平台（陕西省）使用CA锁报名后自行下载</w:t>
            </w:r>
            <w:r>
              <w:rPr>
                <w:rFonts w:hint="eastAsia" w:ascii="宋体" w:hAnsi="宋体" w:eastAsia="宋体" w:cs="宋体"/>
                <w:color w:val="auto"/>
                <w:sz w:val="24"/>
                <w:szCs w:val="24"/>
                <w:highlight w:val="none"/>
              </w:rPr>
              <w:t xml:space="preserve"> </w:t>
            </w:r>
          </w:p>
        </w:tc>
      </w:tr>
      <w:tr w14:paraId="59711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1BE1E3CA">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16</w:t>
            </w:r>
          </w:p>
        </w:tc>
        <w:tc>
          <w:tcPr>
            <w:tcW w:w="1969" w:type="dxa"/>
            <w:noWrap w:val="0"/>
            <w:vAlign w:val="center"/>
          </w:tcPr>
          <w:p w14:paraId="3F0EF3D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联合体投标</w:t>
            </w:r>
          </w:p>
        </w:tc>
        <w:tc>
          <w:tcPr>
            <w:tcW w:w="7245" w:type="dxa"/>
            <w:noWrap w:val="0"/>
            <w:vAlign w:val="center"/>
          </w:tcPr>
          <w:p w14:paraId="71F54344">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不接受</w:t>
            </w:r>
          </w:p>
        </w:tc>
      </w:tr>
      <w:tr w14:paraId="5DE7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498F7467">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17</w:t>
            </w:r>
          </w:p>
        </w:tc>
        <w:tc>
          <w:tcPr>
            <w:tcW w:w="1969" w:type="dxa"/>
            <w:noWrap w:val="0"/>
            <w:vAlign w:val="center"/>
          </w:tcPr>
          <w:p w14:paraId="46C5235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现场勘查、标前答疑会</w:t>
            </w:r>
          </w:p>
        </w:tc>
        <w:tc>
          <w:tcPr>
            <w:tcW w:w="7245" w:type="dxa"/>
            <w:noWrap w:val="0"/>
            <w:vAlign w:val="center"/>
          </w:tcPr>
          <w:p w14:paraId="3A2AEAA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不组织</w:t>
            </w:r>
          </w:p>
        </w:tc>
      </w:tr>
      <w:tr w14:paraId="67797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0A993851">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18</w:t>
            </w:r>
          </w:p>
        </w:tc>
        <w:tc>
          <w:tcPr>
            <w:tcW w:w="1969" w:type="dxa"/>
            <w:noWrap w:val="0"/>
            <w:vAlign w:val="center"/>
          </w:tcPr>
          <w:p w14:paraId="18DFE1D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供应商对竞争性磋商文件提出质疑的时间</w:t>
            </w:r>
          </w:p>
        </w:tc>
        <w:tc>
          <w:tcPr>
            <w:tcW w:w="7245" w:type="dxa"/>
            <w:noWrap w:val="0"/>
            <w:vAlign w:val="top"/>
          </w:tcPr>
          <w:p w14:paraId="6E6A926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供应商认为竞争性磋商文件使自己的权益受到损害的，在收到竞争性磋商文件之日起七个工作日内，以书面形式向采购代理机构提出质疑，逾期提出的无效，因此带来的一切不利后果由供应商自负。</w:t>
            </w:r>
          </w:p>
        </w:tc>
      </w:tr>
      <w:tr w14:paraId="78F8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3661098F">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19</w:t>
            </w:r>
          </w:p>
        </w:tc>
        <w:tc>
          <w:tcPr>
            <w:tcW w:w="1969" w:type="dxa"/>
            <w:noWrap w:val="0"/>
            <w:vAlign w:val="center"/>
          </w:tcPr>
          <w:p w14:paraId="7072CB3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构成竞争性磋商文件的其他文件</w:t>
            </w:r>
          </w:p>
        </w:tc>
        <w:tc>
          <w:tcPr>
            <w:tcW w:w="7245" w:type="dxa"/>
            <w:noWrap w:val="0"/>
            <w:vAlign w:val="top"/>
          </w:tcPr>
          <w:p w14:paraId="3EF8452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竞争性磋商文件的澄清、修改书及有关补充通知为竞争性磋商文件的有效组成部分。</w:t>
            </w:r>
          </w:p>
        </w:tc>
      </w:tr>
      <w:tr w14:paraId="50DE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5AA60124">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20</w:t>
            </w:r>
          </w:p>
        </w:tc>
        <w:tc>
          <w:tcPr>
            <w:tcW w:w="1969" w:type="dxa"/>
            <w:noWrap w:val="0"/>
            <w:vAlign w:val="center"/>
          </w:tcPr>
          <w:p w14:paraId="1C8E93FA">
            <w:pPr>
              <w:pStyle w:val="31"/>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响应文件提交截止时间、开标时间和地点</w:t>
            </w:r>
          </w:p>
        </w:tc>
        <w:tc>
          <w:tcPr>
            <w:tcW w:w="7245" w:type="dxa"/>
            <w:noWrap w:val="0"/>
            <w:vAlign w:val="top"/>
          </w:tcPr>
          <w:p w14:paraId="2C53466B">
            <w:pPr>
              <w:pStyle w:val="2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响应文件提交截止时间：</w:t>
            </w:r>
            <w:r>
              <w:rPr>
                <w:rFonts w:hint="eastAsia" w:ascii="宋体" w:hAnsi="宋体" w:eastAsia="宋体" w:cs="宋体"/>
                <w:i w:val="0"/>
                <w:iCs w:val="0"/>
                <w:caps w:val="0"/>
                <w:color w:val="000000"/>
                <w:spacing w:val="0"/>
                <w:sz w:val="24"/>
                <w:szCs w:val="24"/>
                <w:shd w:val="clear" w:color="auto" w:fill="FFFFFF"/>
                <w:lang w:eastAsia="zh-CN"/>
              </w:rPr>
              <w:t>202</w:t>
            </w:r>
            <w:r>
              <w:rPr>
                <w:rFonts w:hint="eastAsia" w:ascii="宋体" w:hAnsi="宋体" w:eastAsia="宋体" w:cs="宋体"/>
                <w:i w:val="0"/>
                <w:iCs w:val="0"/>
                <w:caps w:val="0"/>
                <w:color w:val="000000"/>
                <w:spacing w:val="0"/>
                <w:sz w:val="24"/>
                <w:szCs w:val="24"/>
                <w:shd w:val="clear" w:color="auto" w:fill="FFFFFF"/>
                <w:lang w:val="en-US" w:eastAsia="zh-CN"/>
              </w:rPr>
              <w:t>6</w:t>
            </w:r>
            <w:r>
              <w:rPr>
                <w:rFonts w:hint="eastAsia" w:ascii="宋体" w:hAnsi="宋体" w:eastAsia="宋体" w:cs="宋体"/>
                <w:i w:val="0"/>
                <w:iCs w:val="0"/>
                <w:caps w:val="0"/>
                <w:color w:val="000000"/>
                <w:spacing w:val="0"/>
                <w:sz w:val="24"/>
                <w:szCs w:val="24"/>
                <w:shd w:val="clear" w:color="auto" w:fill="FFFFFF"/>
                <w:lang w:eastAsia="zh-CN"/>
              </w:rPr>
              <w:t>年</w:t>
            </w:r>
            <w:r>
              <w:rPr>
                <w:rFonts w:hint="eastAsia" w:ascii="宋体" w:hAnsi="宋体" w:eastAsia="宋体" w:cs="宋体"/>
                <w:i w:val="0"/>
                <w:iCs w:val="0"/>
                <w:caps w:val="0"/>
                <w:color w:val="000000"/>
                <w:spacing w:val="0"/>
                <w:sz w:val="24"/>
                <w:szCs w:val="24"/>
                <w:shd w:val="clear" w:color="auto" w:fill="FFFFFF"/>
                <w:lang w:val="en-US" w:eastAsia="zh-CN"/>
              </w:rPr>
              <w:t>0</w:t>
            </w:r>
            <w:r>
              <w:rPr>
                <w:rFonts w:hint="eastAsia" w:ascii="宋体" w:hAnsi="宋体" w:cs="宋体"/>
                <w:i w:val="0"/>
                <w:iCs w:val="0"/>
                <w:caps w:val="0"/>
                <w:color w:val="000000"/>
                <w:spacing w:val="0"/>
                <w:sz w:val="24"/>
                <w:szCs w:val="24"/>
                <w:shd w:val="clear" w:color="auto" w:fill="FFFFFF"/>
                <w:lang w:val="en-US" w:eastAsia="zh-CN"/>
              </w:rPr>
              <w:t>7</w:t>
            </w:r>
            <w:r>
              <w:rPr>
                <w:rFonts w:hint="eastAsia" w:ascii="宋体" w:hAnsi="宋体" w:eastAsia="宋体" w:cs="宋体"/>
                <w:i w:val="0"/>
                <w:iCs w:val="0"/>
                <w:caps w:val="0"/>
                <w:color w:val="000000"/>
                <w:spacing w:val="0"/>
                <w:sz w:val="24"/>
                <w:szCs w:val="24"/>
                <w:shd w:val="clear" w:color="auto" w:fill="FFFFFF"/>
                <w:lang w:eastAsia="zh-CN"/>
              </w:rPr>
              <w:t>月</w:t>
            </w:r>
            <w:r>
              <w:rPr>
                <w:rFonts w:hint="eastAsia" w:ascii="宋体" w:hAnsi="宋体" w:cs="宋体"/>
                <w:i w:val="0"/>
                <w:iCs w:val="0"/>
                <w:caps w:val="0"/>
                <w:color w:val="000000"/>
                <w:spacing w:val="0"/>
                <w:sz w:val="24"/>
                <w:szCs w:val="24"/>
                <w:shd w:val="clear" w:color="auto" w:fill="FFFFFF"/>
                <w:lang w:val="en-US" w:eastAsia="zh-CN"/>
              </w:rPr>
              <w:t>20</w:t>
            </w:r>
            <w:r>
              <w:rPr>
                <w:rFonts w:hint="eastAsia" w:ascii="宋体" w:hAnsi="宋体" w:eastAsia="宋体" w:cs="宋体"/>
                <w:i w:val="0"/>
                <w:iCs w:val="0"/>
                <w:caps w:val="0"/>
                <w:color w:val="000000"/>
                <w:spacing w:val="0"/>
                <w:sz w:val="24"/>
                <w:szCs w:val="24"/>
                <w:shd w:val="clear" w:color="auto" w:fill="FFFFFF"/>
                <w:lang w:eastAsia="zh-CN"/>
              </w:rPr>
              <w:t>日</w:t>
            </w:r>
            <w:r>
              <w:rPr>
                <w:rFonts w:hint="eastAsia" w:ascii="宋体" w:hAnsi="宋体" w:eastAsia="宋体" w:cs="宋体"/>
                <w:i w:val="0"/>
                <w:iCs w:val="0"/>
                <w:caps w:val="0"/>
                <w:color w:val="000000"/>
                <w:spacing w:val="0"/>
                <w:sz w:val="24"/>
                <w:szCs w:val="24"/>
                <w:shd w:val="clear" w:color="auto" w:fill="FFFFFF"/>
                <w:lang w:val="en-US" w:eastAsia="zh-CN"/>
              </w:rPr>
              <w:t>09</w:t>
            </w:r>
            <w:r>
              <w:rPr>
                <w:rFonts w:hint="eastAsia" w:ascii="宋体" w:hAnsi="宋体" w:eastAsia="宋体" w:cs="宋体"/>
                <w:i w:val="0"/>
                <w:iCs w:val="0"/>
                <w:caps w:val="0"/>
                <w:color w:val="000000"/>
                <w:spacing w:val="0"/>
                <w:sz w:val="24"/>
                <w:szCs w:val="24"/>
                <w:shd w:val="clear" w:color="auto" w:fill="FFFFFF"/>
                <w:lang w:eastAsia="zh-CN"/>
              </w:rPr>
              <w:t>时30分</w:t>
            </w:r>
            <w:r>
              <w:rPr>
                <w:rFonts w:hint="eastAsia" w:ascii="宋体" w:hAnsi="宋体" w:eastAsia="宋体" w:cs="宋体"/>
                <w:i w:val="0"/>
                <w:iCs w:val="0"/>
                <w:caps w:val="0"/>
                <w:color w:val="000000"/>
                <w:spacing w:val="0"/>
                <w:sz w:val="24"/>
                <w:szCs w:val="24"/>
                <w:shd w:val="clear" w:color="auto" w:fill="FFFFFF"/>
              </w:rPr>
              <w:t>00秒（北京时间）</w:t>
            </w:r>
          </w:p>
          <w:p w14:paraId="19A1F77F">
            <w:pPr>
              <w:pStyle w:val="2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2、开标时间：</w:t>
            </w:r>
            <w:r>
              <w:rPr>
                <w:rFonts w:hint="eastAsia" w:ascii="宋体" w:hAnsi="宋体" w:eastAsia="宋体" w:cs="宋体"/>
                <w:i w:val="0"/>
                <w:iCs w:val="0"/>
                <w:caps w:val="0"/>
                <w:color w:val="000000"/>
                <w:spacing w:val="0"/>
                <w:sz w:val="24"/>
                <w:szCs w:val="24"/>
                <w:shd w:val="clear" w:color="auto" w:fill="FFFFFF"/>
                <w:lang w:eastAsia="zh-CN"/>
              </w:rPr>
              <w:t>202</w:t>
            </w:r>
            <w:r>
              <w:rPr>
                <w:rFonts w:hint="eastAsia" w:ascii="宋体" w:hAnsi="宋体" w:eastAsia="宋体" w:cs="宋体"/>
                <w:i w:val="0"/>
                <w:iCs w:val="0"/>
                <w:caps w:val="0"/>
                <w:color w:val="000000"/>
                <w:spacing w:val="0"/>
                <w:sz w:val="24"/>
                <w:szCs w:val="24"/>
                <w:shd w:val="clear" w:color="auto" w:fill="FFFFFF"/>
                <w:lang w:val="en-US" w:eastAsia="zh-CN"/>
              </w:rPr>
              <w:t>6</w:t>
            </w:r>
            <w:r>
              <w:rPr>
                <w:rFonts w:hint="eastAsia" w:ascii="宋体" w:hAnsi="宋体" w:eastAsia="宋体" w:cs="宋体"/>
                <w:i w:val="0"/>
                <w:iCs w:val="0"/>
                <w:caps w:val="0"/>
                <w:color w:val="000000"/>
                <w:spacing w:val="0"/>
                <w:sz w:val="24"/>
                <w:szCs w:val="24"/>
                <w:shd w:val="clear" w:color="auto" w:fill="FFFFFF"/>
                <w:lang w:eastAsia="zh-CN"/>
              </w:rPr>
              <w:t>年</w:t>
            </w:r>
            <w:r>
              <w:rPr>
                <w:rFonts w:hint="eastAsia" w:ascii="宋体" w:hAnsi="宋体" w:eastAsia="宋体" w:cs="宋体"/>
                <w:i w:val="0"/>
                <w:iCs w:val="0"/>
                <w:caps w:val="0"/>
                <w:color w:val="000000"/>
                <w:spacing w:val="0"/>
                <w:sz w:val="24"/>
                <w:szCs w:val="24"/>
                <w:shd w:val="clear" w:color="auto" w:fill="FFFFFF"/>
                <w:lang w:val="en-US" w:eastAsia="zh-CN"/>
              </w:rPr>
              <w:t>0</w:t>
            </w:r>
            <w:r>
              <w:rPr>
                <w:rFonts w:hint="eastAsia" w:ascii="宋体" w:hAnsi="宋体" w:cs="宋体"/>
                <w:i w:val="0"/>
                <w:iCs w:val="0"/>
                <w:caps w:val="0"/>
                <w:color w:val="000000"/>
                <w:spacing w:val="0"/>
                <w:sz w:val="24"/>
                <w:szCs w:val="24"/>
                <w:shd w:val="clear" w:color="auto" w:fill="FFFFFF"/>
                <w:lang w:val="en-US" w:eastAsia="zh-CN"/>
              </w:rPr>
              <w:t>7</w:t>
            </w:r>
            <w:r>
              <w:rPr>
                <w:rFonts w:hint="eastAsia" w:ascii="宋体" w:hAnsi="宋体" w:eastAsia="宋体" w:cs="宋体"/>
                <w:i w:val="0"/>
                <w:iCs w:val="0"/>
                <w:caps w:val="0"/>
                <w:color w:val="000000"/>
                <w:spacing w:val="0"/>
                <w:sz w:val="24"/>
                <w:szCs w:val="24"/>
                <w:shd w:val="clear" w:color="auto" w:fill="FFFFFF"/>
                <w:lang w:eastAsia="zh-CN"/>
              </w:rPr>
              <w:t>月</w:t>
            </w:r>
            <w:r>
              <w:rPr>
                <w:rFonts w:hint="eastAsia" w:ascii="宋体" w:hAnsi="宋体" w:cs="宋体"/>
                <w:i w:val="0"/>
                <w:iCs w:val="0"/>
                <w:caps w:val="0"/>
                <w:color w:val="000000"/>
                <w:spacing w:val="0"/>
                <w:sz w:val="24"/>
                <w:szCs w:val="24"/>
                <w:shd w:val="clear" w:color="auto" w:fill="FFFFFF"/>
                <w:lang w:val="en-US" w:eastAsia="zh-CN"/>
              </w:rPr>
              <w:t>20</w:t>
            </w:r>
            <w:r>
              <w:rPr>
                <w:rFonts w:hint="eastAsia" w:ascii="宋体" w:hAnsi="宋体" w:eastAsia="宋体" w:cs="宋体"/>
                <w:i w:val="0"/>
                <w:iCs w:val="0"/>
                <w:caps w:val="0"/>
                <w:color w:val="000000"/>
                <w:spacing w:val="0"/>
                <w:sz w:val="24"/>
                <w:szCs w:val="24"/>
                <w:shd w:val="clear" w:color="auto" w:fill="FFFFFF"/>
                <w:lang w:eastAsia="zh-CN"/>
              </w:rPr>
              <w:t>日</w:t>
            </w:r>
            <w:r>
              <w:rPr>
                <w:rFonts w:hint="eastAsia" w:ascii="宋体" w:hAnsi="宋体" w:eastAsia="宋体" w:cs="宋体"/>
                <w:i w:val="0"/>
                <w:iCs w:val="0"/>
                <w:caps w:val="0"/>
                <w:color w:val="000000"/>
                <w:spacing w:val="0"/>
                <w:sz w:val="24"/>
                <w:szCs w:val="24"/>
                <w:shd w:val="clear" w:color="auto" w:fill="FFFFFF"/>
                <w:lang w:val="en-US" w:eastAsia="zh-CN"/>
              </w:rPr>
              <w:t>09</w:t>
            </w:r>
            <w:r>
              <w:rPr>
                <w:rFonts w:hint="eastAsia" w:ascii="宋体" w:hAnsi="宋体" w:eastAsia="宋体" w:cs="宋体"/>
                <w:i w:val="0"/>
                <w:iCs w:val="0"/>
                <w:caps w:val="0"/>
                <w:color w:val="000000"/>
                <w:spacing w:val="0"/>
                <w:sz w:val="24"/>
                <w:szCs w:val="24"/>
                <w:shd w:val="clear" w:color="auto" w:fill="FFFFFF"/>
                <w:lang w:eastAsia="zh-CN"/>
              </w:rPr>
              <w:t>时30分</w:t>
            </w:r>
            <w:r>
              <w:rPr>
                <w:rFonts w:hint="eastAsia" w:ascii="宋体" w:hAnsi="宋体" w:eastAsia="宋体" w:cs="宋体"/>
                <w:i w:val="0"/>
                <w:iCs w:val="0"/>
                <w:caps w:val="0"/>
                <w:color w:val="000000"/>
                <w:spacing w:val="0"/>
                <w:sz w:val="24"/>
                <w:szCs w:val="24"/>
                <w:shd w:val="clear" w:color="auto" w:fill="FFFFFF"/>
              </w:rPr>
              <w:t>00秒（北京时间）</w:t>
            </w:r>
          </w:p>
          <w:p w14:paraId="6DD15249">
            <w:pPr>
              <w:pStyle w:val="31"/>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3、投标、开标地点：榆林市公共资源交易中心18楼开标室180</w:t>
            </w:r>
            <w:r>
              <w:rPr>
                <w:rFonts w:hint="eastAsia" w:ascii="宋体" w:hAnsi="宋体" w:cs="宋体"/>
                <w:color w:val="000000"/>
                <w:sz w:val="24"/>
                <w:szCs w:val="24"/>
                <w:highlight w:val="none"/>
                <w:lang w:val="en-US" w:eastAsia="zh-CN"/>
              </w:rPr>
              <w:t>4B</w:t>
            </w:r>
          </w:p>
        </w:tc>
      </w:tr>
      <w:tr w14:paraId="4CEF8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68AD9A04">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21</w:t>
            </w:r>
          </w:p>
        </w:tc>
        <w:tc>
          <w:tcPr>
            <w:tcW w:w="1969" w:type="dxa"/>
            <w:noWrap w:val="0"/>
            <w:vAlign w:val="center"/>
          </w:tcPr>
          <w:p w14:paraId="4FAC6D1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7245" w:type="dxa"/>
            <w:noWrap w:val="0"/>
            <w:vAlign w:val="top"/>
          </w:tcPr>
          <w:p w14:paraId="3FBAE12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自提交磋商响应文件的截止之日起90个日历日</w:t>
            </w:r>
          </w:p>
        </w:tc>
      </w:tr>
      <w:tr w14:paraId="70E7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09" w:type="dxa"/>
            <w:noWrap w:val="0"/>
            <w:vAlign w:val="center"/>
          </w:tcPr>
          <w:p w14:paraId="278068E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1969" w:type="dxa"/>
            <w:noWrap w:val="0"/>
            <w:vAlign w:val="center"/>
          </w:tcPr>
          <w:p w14:paraId="37C1C4D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磋商保证金</w:t>
            </w:r>
          </w:p>
        </w:tc>
        <w:tc>
          <w:tcPr>
            <w:tcW w:w="7245" w:type="dxa"/>
            <w:noWrap w:val="0"/>
            <w:vAlign w:val="top"/>
          </w:tcPr>
          <w:p w14:paraId="4807FBBE">
            <w:pPr>
              <w:spacing w:line="360" w:lineRule="auto"/>
              <w:rPr>
                <w:rFonts w:hint="eastAsia" w:ascii="宋体" w:hAnsi="宋体" w:eastAsia="宋体" w:cs="宋体"/>
                <w:b/>
                <w:color w:val="auto"/>
                <w:sz w:val="24"/>
                <w:szCs w:val="24"/>
                <w:lang w:val="en-US" w:eastAsia="zh-CN"/>
              </w:rPr>
            </w:pPr>
            <w:r>
              <w:rPr>
                <w:rFonts w:hint="eastAsia" w:ascii="宋体" w:hAnsi="宋体" w:eastAsia="宋体" w:cs="宋体"/>
                <w:color w:val="auto"/>
                <w:sz w:val="24"/>
                <w:szCs w:val="24"/>
                <w:lang w:val="en-US" w:eastAsia="zh-CN"/>
              </w:rPr>
              <w:t>投标信用承诺书（保证金）代替保证金</w:t>
            </w:r>
          </w:p>
        </w:tc>
      </w:tr>
      <w:tr w14:paraId="45525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77FCC17F">
            <w:pPr>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23</w:t>
            </w:r>
          </w:p>
        </w:tc>
        <w:tc>
          <w:tcPr>
            <w:tcW w:w="1969" w:type="dxa"/>
            <w:noWrap w:val="0"/>
            <w:vAlign w:val="center"/>
          </w:tcPr>
          <w:p w14:paraId="270A9E3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备选投标方案</w:t>
            </w:r>
          </w:p>
          <w:p w14:paraId="6A4EECC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和报价</w:t>
            </w:r>
          </w:p>
        </w:tc>
        <w:tc>
          <w:tcPr>
            <w:tcW w:w="7245" w:type="dxa"/>
            <w:noWrap w:val="0"/>
            <w:vAlign w:val="center"/>
          </w:tcPr>
          <w:p w14:paraId="24FB1B46">
            <w:pPr>
              <w:tabs>
                <w:tab w:val="left" w:pos="7013"/>
              </w:tabs>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不接受备选投标方案和多个报价。</w:t>
            </w:r>
          </w:p>
        </w:tc>
      </w:tr>
      <w:tr w14:paraId="6AFE9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4AE9FB05">
            <w:pPr>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24</w:t>
            </w:r>
          </w:p>
        </w:tc>
        <w:tc>
          <w:tcPr>
            <w:tcW w:w="1969" w:type="dxa"/>
            <w:noWrap w:val="0"/>
            <w:vAlign w:val="center"/>
          </w:tcPr>
          <w:p w14:paraId="3F4FB76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盖章签字</w:t>
            </w:r>
          </w:p>
        </w:tc>
        <w:tc>
          <w:tcPr>
            <w:tcW w:w="7245" w:type="dxa"/>
            <w:noWrap w:val="0"/>
            <w:vAlign w:val="center"/>
          </w:tcPr>
          <w:p w14:paraId="0748D136">
            <w:pPr>
              <w:tabs>
                <w:tab w:val="left" w:pos="7013"/>
              </w:tabs>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供应商必须按照磋商文件的规定和要求由法定代表人或被授权人签字（或盖章）。</w:t>
            </w:r>
          </w:p>
        </w:tc>
      </w:tr>
      <w:tr w14:paraId="24240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28A86ABA">
            <w:pPr>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25</w:t>
            </w:r>
          </w:p>
        </w:tc>
        <w:tc>
          <w:tcPr>
            <w:tcW w:w="1969" w:type="dxa"/>
            <w:noWrap w:val="0"/>
            <w:vAlign w:val="center"/>
          </w:tcPr>
          <w:p w14:paraId="70F22D7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磋商响应文件数量、装订</w:t>
            </w:r>
            <w:r>
              <w:rPr>
                <w:rFonts w:hint="eastAsia" w:ascii="宋体" w:hAnsi="宋体" w:eastAsia="宋体" w:cs="宋体"/>
                <w:color w:val="auto"/>
                <w:sz w:val="24"/>
                <w:szCs w:val="24"/>
                <w:lang w:val="en-US" w:eastAsia="zh-CN"/>
              </w:rPr>
              <w:t>、纸质版递交</w:t>
            </w:r>
          </w:p>
        </w:tc>
        <w:tc>
          <w:tcPr>
            <w:tcW w:w="7245" w:type="dxa"/>
            <w:noWrap w:val="0"/>
            <w:vAlign w:val="center"/>
          </w:tcPr>
          <w:p w14:paraId="5946014C">
            <w:pPr>
              <w:numPr>
                <w:ilvl w:val="0"/>
                <w:numId w:val="0"/>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供应商无需提交纸质版响应文件，</w:t>
            </w:r>
            <w:r>
              <w:rPr>
                <w:rFonts w:hint="eastAsia" w:ascii="宋体" w:hAnsi="宋体" w:eastAsia="宋体" w:cs="宋体"/>
                <w:sz w:val="24"/>
                <w:szCs w:val="24"/>
              </w:rPr>
              <w:t>待</w:t>
            </w:r>
            <w:r>
              <w:rPr>
                <w:rFonts w:hint="eastAsia" w:ascii="宋体" w:hAnsi="宋体" w:eastAsia="宋体" w:cs="宋体"/>
                <w:sz w:val="24"/>
                <w:szCs w:val="24"/>
                <w:lang w:val="en-US" w:eastAsia="zh-CN"/>
              </w:rPr>
              <w:t>成交</w:t>
            </w:r>
            <w:r>
              <w:rPr>
                <w:rFonts w:hint="eastAsia" w:ascii="宋体" w:hAnsi="宋体" w:eastAsia="宋体" w:cs="宋体"/>
                <w:sz w:val="24"/>
                <w:szCs w:val="24"/>
              </w:rPr>
              <w:t>结果公示后，由</w:t>
            </w:r>
            <w:r>
              <w:rPr>
                <w:rFonts w:hint="eastAsia" w:ascii="宋体" w:hAnsi="宋体" w:eastAsia="宋体" w:cs="宋体"/>
                <w:sz w:val="24"/>
                <w:szCs w:val="24"/>
                <w:lang w:val="en-US" w:eastAsia="zh-CN"/>
              </w:rPr>
              <w:t>成交</w:t>
            </w:r>
            <w:r>
              <w:rPr>
                <w:rFonts w:hint="eastAsia" w:ascii="宋体" w:hAnsi="宋体" w:eastAsia="宋体" w:cs="宋体"/>
                <w:sz w:val="24"/>
                <w:szCs w:val="24"/>
              </w:rPr>
              <w:t>单位补交一正两副纸质</w:t>
            </w:r>
            <w:r>
              <w:rPr>
                <w:rFonts w:hint="eastAsia" w:ascii="宋体" w:hAnsi="宋体" w:eastAsia="宋体" w:cs="宋体"/>
                <w:sz w:val="24"/>
                <w:szCs w:val="24"/>
                <w:lang w:val="en-US" w:eastAsia="zh-CN"/>
              </w:rPr>
              <w:t>响应</w:t>
            </w:r>
            <w:r>
              <w:rPr>
                <w:rFonts w:hint="eastAsia" w:ascii="宋体" w:hAnsi="宋体" w:eastAsia="宋体" w:cs="宋体"/>
                <w:sz w:val="24"/>
                <w:szCs w:val="24"/>
              </w:rPr>
              <w:t>文件及电子版（光盘或 U 盘，包含可编辑 word 版，签字盖章后的扫描件 1 份）</w:t>
            </w:r>
            <w:r>
              <w:rPr>
                <w:rFonts w:hint="eastAsia" w:ascii="宋体" w:hAnsi="宋体" w:eastAsia="宋体" w:cs="宋体"/>
                <w:sz w:val="24"/>
                <w:szCs w:val="24"/>
                <w:lang w:val="en-US" w:eastAsia="zh-CN"/>
              </w:rPr>
              <w:t>响应</w:t>
            </w:r>
            <w:r>
              <w:rPr>
                <w:rFonts w:hint="eastAsia" w:ascii="宋体" w:hAnsi="宋体" w:eastAsia="宋体" w:cs="宋体"/>
                <w:sz w:val="24"/>
                <w:szCs w:val="24"/>
              </w:rPr>
              <w:t>文件一份（备案用），将文件一正二副纸质及电子版</w:t>
            </w:r>
            <w:r>
              <w:rPr>
                <w:rFonts w:hint="eastAsia" w:ascii="宋体" w:hAnsi="宋体" w:eastAsia="宋体" w:cs="宋体"/>
                <w:sz w:val="24"/>
                <w:szCs w:val="24"/>
                <w:lang w:val="en-US" w:eastAsia="zh-CN"/>
              </w:rPr>
              <w:t>响应</w:t>
            </w:r>
            <w:r>
              <w:rPr>
                <w:rFonts w:hint="eastAsia" w:ascii="宋体" w:hAnsi="宋体" w:eastAsia="宋体" w:cs="宋体"/>
                <w:sz w:val="24"/>
                <w:szCs w:val="24"/>
              </w:rPr>
              <w:t>文件快递至联系人：</w:t>
            </w:r>
            <w:r>
              <w:rPr>
                <w:rFonts w:hint="eastAsia" w:ascii="宋体" w:hAnsi="宋体" w:cs="宋体"/>
                <w:sz w:val="24"/>
                <w:szCs w:val="24"/>
                <w:lang w:eastAsia="zh-CN"/>
              </w:rPr>
              <w:t>白琳</w:t>
            </w:r>
            <w:r>
              <w:rPr>
                <w:rFonts w:hint="eastAsia" w:ascii="宋体" w:hAnsi="宋体" w:eastAsia="宋体" w:cs="宋体"/>
                <w:sz w:val="24"/>
                <w:szCs w:val="24"/>
              </w:rPr>
              <w:t>；联系电话：</w:t>
            </w:r>
            <w:r>
              <w:rPr>
                <w:rFonts w:hint="eastAsia" w:ascii="宋体" w:hAnsi="宋体" w:cs="宋体"/>
                <w:sz w:val="24"/>
                <w:szCs w:val="24"/>
                <w:lang w:eastAsia="zh-CN"/>
              </w:rPr>
              <w:t>18109129286</w:t>
            </w:r>
            <w:r>
              <w:rPr>
                <w:rFonts w:hint="eastAsia" w:ascii="宋体" w:hAnsi="宋体" w:eastAsia="宋体" w:cs="宋体"/>
                <w:sz w:val="24"/>
                <w:szCs w:val="24"/>
              </w:rPr>
              <w:t>；地址：</w:t>
            </w:r>
            <w:r>
              <w:rPr>
                <w:rFonts w:hint="eastAsia" w:ascii="宋体" w:hAnsi="宋体" w:eastAsia="宋体" w:cs="宋体"/>
                <w:sz w:val="24"/>
                <w:szCs w:val="24"/>
                <w:lang w:val="en-US" w:eastAsia="zh-CN"/>
              </w:rPr>
              <w:t>陕西省榆林市东环路绿园小区4排5号</w:t>
            </w:r>
            <w:r>
              <w:rPr>
                <w:rFonts w:hint="eastAsia" w:ascii="宋体" w:hAnsi="宋体" w:eastAsia="宋体" w:cs="宋体"/>
                <w:color w:val="auto"/>
                <w:sz w:val="24"/>
                <w:szCs w:val="24"/>
                <w:highlight w:val="none"/>
                <w:lang w:val="en-US" w:eastAsia="zh-CN"/>
              </w:rPr>
              <w:t>（备案用，无须密封）。</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文件装订要求：胶装</w:t>
            </w:r>
          </w:p>
        </w:tc>
      </w:tr>
      <w:tr w14:paraId="19EE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jc w:val="center"/>
        </w:trPr>
        <w:tc>
          <w:tcPr>
            <w:tcW w:w="709" w:type="dxa"/>
            <w:noWrap w:val="0"/>
            <w:vAlign w:val="center"/>
          </w:tcPr>
          <w:p w14:paraId="641D724A">
            <w:pPr>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26</w:t>
            </w:r>
          </w:p>
        </w:tc>
        <w:tc>
          <w:tcPr>
            <w:tcW w:w="1969" w:type="dxa"/>
            <w:noWrap w:val="0"/>
            <w:vAlign w:val="center"/>
          </w:tcPr>
          <w:p w14:paraId="6ABECAD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磋商报价</w:t>
            </w:r>
          </w:p>
        </w:tc>
        <w:tc>
          <w:tcPr>
            <w:tcW w:w="7245" w:type="dxa"/>
            <w:noWrap w:val="0"/>
            <w:vAlign w:val="center"/>
          </w:tcPr>
          <w:p w14:paraId="63CC482B">
            <w:pPr>
              <w:keepNext w:val="0"/>
              <w:keepLines w:val="0"/>
              <w:numPr>
                <w:ilvl w:val="0"/>
                <w:numId w:val="0"/>
              </w:numPr>
              <w:suppressLineNumbers w:val="0"/>
              <w:spacing w:before="0" w:beforeAutospacing="0" w:after="0" w:afterAutospacing="0" w:line="360" w:lineRule="auto"/>
              <w:ind w:left="0" w:right="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一</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投标报价</w:t>
            </w:r>
          </w:p>
          <w:p w14:paraId="47105D4F">
            <w:pPr>
              <w:keepNext w:val="0"/>
              <w:keepLines w:val="0"/>
              <w:numPr>
                <w:ilvl w:val="0"/>
                <w:numId w:val="0"/>
              </w:numPr>
              <w:suppressLineNumbers w:val="0"/>
              <w:spacing w:before="0" w:beforeAutospacing="0" w:after="0" w:afterAutospacing="0" w:line="360" w:lineRule="auto"/>
              <w:ind w:left="0" w:right="0" w:firstLine="480" w:firstLineChars="200"/>
              <w:rPr>
                <w:rFonts w:hint="eastAsia" w:ascii="宋体" w:hAnsi="宋体" w:eastAsia="宋体" w:cs="宋体"/>
                <w:b w:val="0"/>
                <w:bCs w:val="0"/>
                <w:color w:val="auto"/>
                <w:sz w:val="24"/>
                <w:szCs w:val="24"/>
              </w:rPr>
            </w:pPr>
            <w:r>
              <w:rPr>
                <w:rFonts w:hint="eastAsia" w:ascii="宋体" w:hAnsi="宋体" w:eastAsia="宋体" w:cs="宋体"/>
                <w:color w:val="auto"/>
                <w:sz w:val="24"/>
                <w:szCs w:val="24"/>
              </w:rPr>
              <w:t>合同价即中标价，投标人应在投标报价表中包含但不限于完成本次招标所要求的服务且验收合格的所有费用，包</w:t>
            </w:r>
            <w:r>
              <w:rPr>
                <w:rFonts w:hint="eastAsia" w:ascii="宋体" w:hAnsi="宋体" w:eastAsia="宋体" w:cs="宋体"/>
                <w:color w:val="auto"/>
                <w:sz w:val="24"/>
                <w:szCs w:val="24"/>
                <w:highlight w:val="none"/>
              </w:rPr>
              <w:t>括</w:t>
            </w:r>
            <w:r>
              <w:rPr>
                <w:rFonts w:hint="eastAsia" w:ascii="宋体" w:hAnsi="宋体" w:eastAsia="宋体" w:cs="宋体"/>
                <w:color w:val="auto"/>
                <w:sz w:val="24"/>
                <w:szCs w:val="24"/>
                <w:highlight w:val="none"/>
                <w:lang w:val="en-US" w:eastAsia="zh-CN"/>
              </w:rPr>
              <w:t>服务费、材料费、设备费、安装费</w:t>
            </w:r>
            <w:r>
              <w:rPr>
                <w:rFonts w:hint="eastAsia" w:ascii="宋体" w:hAnsi="宋体" w:eastAsia="宋体" w:cs="宋体"/>
                <w:color w:val="auto"/>
                <w:sz w:val="24"/>
                <w:szCs w:val="24"/>
                <w:highlight w:val="none"/>
              </w:rPr>
              <w:t>等其他相关费用</w:t>
            </w:r>
            <w:r>
              <w:rPr>
                <w:rFonts w:hint="eastAsia" w:ascii="宋体" w:hAnsi="宋体" w:eastAsia="宋体" w:cs="宋体"/>
                <w:b w:val="0"/>
                <w:bCs w:val="0"/>
                <w:color w:val="auto"/>
                <w:sz w:val="24"/>
                <w:szCs w:val="24"/>
              </w:rPr>
              <w:t>。</w:t>
            </w:r>
          </w:p>
          <w:p w14:paraId="7FE32706">
            <w:pPr>
              <w:keepNext w:val="0"/>
              <w:keepLines w:val="0"/>
              <w:numPr>
                <w:ilvl w:val="0"/>
                <w:numId w:val="0"/>
              </w:numPr>
              <w:suppressLineNumbers w:val="0"/>
              <w:spacing w:before="0" w:beforeAutospacing="0" w:after="0" w:afterAutospacing="0" w:line="360" w:lineRule="auto"/>
              <w:ind w:left="0" w:right="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二</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投标报价采用固定综合单价</w:t>
            </w:r>
          </w:p>
          <w:p w14:paraId="2CA1ADFA">
            <w:pPr>
              <w:keepNext w:val="0"/>
              <w:keepLines w:val="0"/>
              <w:numPr>
                <w:ilvl w:val="0"/>
                <w:numId w:val="0"/>
              </w:numPr>
              <w:suppressLineNumbers w:val="0"/>
              <w:spacing w:before="0" w:beforeAutospacing="0" w:after="0" w:afterAutospacing="0" w:line="360" w:lineRule="auto"/>
              <w:ind w:left="0" w:right="0"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投标报价是</w:t>
            </w:r>
            <w:r>
              <w:rPr>
                <w:rFonts w:hint="eastAsia" w:ascii="宋体" w:hAnsi="宋体" w:eastAsia="宋体" w:cs="宋体"/>
                <w:b w:val="0"/>
                <w:bCs w:val="0"/>
                <w:color w:val="000000"/>
                <w:sz w:val="24"/>
                <w:szCs w:val="24"/>
                <w:lang w:eastAsia="zh-CN"/>
              </w:rPr>
              <w:t>竞争性磋商文件</w:t>
            </w:r>
            <w:r>
              <w:rPr>
                <w:rFonts w:hint="eastAsia" w:ascii="宋体" w:hAnsi="宋体" w:eastAsia="宋体" w:cs="宋体"/>
                <w:b w:val="0"/>
                <w:bCs w:val="0"/>
                <w:color w:val="000000"/>
                <w:sz w:val="24"/>
                <w:szCs w:val="24"/>
              </w:rPr>
              <w:t>所确定的招标范围内的全部工作内容的价格体现，工程量清单计价内容包括分部分项工程费、措施项目费、其他项目费和规费、税金等。工程量清单计价以综合单价计价，综合单价应按照</w:t>
            </w:r>
            <w:r>
              <w:rPr>
                <w:rFonts w:hint="eastAsia" w:ascii="宋体" w:hAnsi="宋体" w:cs="宋体"/>
                <w:b w:val="0"/>
                <w:bCs w:val="0"/>
                <w:color w:val="000000"/>
                <w:sz w:val="24"/>
                <w:szCs w:val="24"/>
                <w:lang w:val="en-US" w:eastAsia="zh-CN"/>
              </w:rPr>
              <w:t>以下规则编制</w:t>
            </w:r>
            <w:r>
              <w:rPr>
                <w:rFonts w:hint="eastAsia" w:ascii="宋体" w:hAnsi="宋体" w:eastAsia="宋体" w:cs="宋体"/>
                <w:b w:val="0"/>
                <w:bCs w:val="0"/>
                <w:color w:val="000000"/>
                <w:sz w:val="24"/>
                <w:szCs w:val="24"/>
                <w:lang w:val="en-US" w:eastAsia="zh-CN"/>
              </w:rPr>
              <w:t>:</w:t>
            </w:r>
          </w:p>
          <w:p w14:paraId="0D3198D5">
            <w:pPr>
              <w:keepNext w:val="0"/>
              <w:keepLines w:val="0"/>
              <w:widowControl/>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SA"/>
              </w:rPr>
            </w:pPr>
            <w:r>
              <w:rPr>
                <w:rFonts w:hint="eastAsia" w:ascii="宋体" w:hAnsi="宋体" w:eastAsia="宋体" w:cs="宋体"/>
                <w:b w:val="0"/>
                <w:bCs w:val="0"/>
                <w:color w:val="000000"/>
                <w:kern w:val="0"/>
                <w:sz w:val="24"/>
                <w:szCs w:val="24"/>
                <w:lang w:val="en-US" w:eastAsia="zh-CN" w:bidi="ar-SA"/>
              </w:rPr>
              <w:t>1、《陕西省建设工程量清单计价规则（2025）》；</w:t>
            </w:r>
          </w:p>
          <w:p w14:paraId="120D95C7">
            <w:pPr>
              <w:keepNext w:val="0"/>
              <w:keepLines w:val="0"/>
              <w:widowControl/>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SA"/>
              </w:rPr>
            </w:pPr>
            <w:r>
              <w:rPr>
                <w:rFonts w:hint="eastAsia" w:ascii="宋体" w:hAnsi="宋体" w:eastAsia="宋体" w:cs="宋体"/>
                <w:b w:val="0"/>
                <w:bCs w:val="0"/>
                <w:color w:val="000000"/>
                <w:kern w:val="0"/>
                <w:sz w:val="24"/>
                <w:szCs w:val="24"/>
                <w:lang w:val="en-US" w:eastAsia="zh-CN" w:bidi="ar-SA"/>
              </w:rPr>
              <w:t>2、《陕西省房屋建筑与装饰工程消耗量定额（2025）》、《陕西省通用安装工程消耗量定额（2025）》等各专业工程消耗量定额（2025）；</w:t>
            </w:r>
          </w:p>
          <w:p w14:paraId="51DE6FF7">
            <w:pPr>
              <w:keepNext w:val="0"/>
              <w:keepLines w:val="0"/>
              <w:widowControl/>
              <w:suppressLineNumbers w:val="0"/>
              <w:spacing w:line="360" w:lineRule="auto"/>
              <w:ind w:firstLine="480" w:firstLineChars="200"/>
              <w:jc w:val="left"/>
              <w:rPr>
                <w:rFonts w:hint="default" w:ascii="宋体" w:hAnsi="宋体" w:eastAsia="宋体" w:cs="宋体"/>
                <w:b w:val="0"/>
                <w:bCs w:val="0"/>
                <w:color w:val="000000"/>
                <w:kern w:val="0"/>
                <w:sz w:val="24"/>
                <w:szCs w:val="24"/>
                <w:lang w:val="en-US" w:eastAsia="zh-CN" w:bidi="ar-SA"/>
              </w:rPr>
            </w:pPr>
            <w:r>
              <w:rPr>
                <w:rFonts w:hint="eastAsia" w:ascii="宋体" w:hAnsi="宋体" w:eastAsia="宋体" w:cs="宋体"/>
                <w:b w:val="0"/>
                <w:bCs w:val="0"/>
                <w:color w:val="000000"/>
                <w:kern w:val="0"/>
                <w:sz w:val="24"/>
                <w:szCs w:val="24"/>
                <w:lang w:val="en-US" w:eastAsia="zh-CN" w:bidi="ar-SA"/>
              </w:rPr>
              <w:t>3、《陕西省房屋建筑与装饰工程基价表（2025）》、《陕西省通用安装工程基价表（2025）》等各专业工程基价表（2025）；</w:t>
            </w:r>
          </w:p>
          <w:p w14:paraId="78FE369F">
            <w:pPr>
              <w:spacing w:line="360" w:lineRule="auto"/>
              <w:ind w:firstLine="480" w:firstLineChars="200"/>
              <w:rPr>
                <w:rFonts w:hint="eastAsia" w:ascii="宋体" w:hAnsi="宋体" w:eastAsia="宋体" w:cs="宋体"/>
                <w:b w:val="0"/>
                <w:bCs w:val="0"/>
                <w:color w:val="000000"/>
                <w:kern w:val="0"/>
                <w:sz w:val="24"/>
                <w:szCs w:val="24"/>
                <w:lang w:val="en-US" w:eastAsia="zh-CN" w:bidi="ar-SA"/>
              </w:rPr>
            </w:pPr>
            <w:r>
              <w:rPr>
                <w:rFonts w:hint="eastAsia" w:ascii="宋体" w:hAnsi="宋体" w:eastAsia="宋体" w:cs="宋体"/>
                <w:b w:val="0"/>
                <w:bCs w:val="0"/>
                <w:color w:val="000000"/>
                <w:kern w:val="0"/>
                <w:sz w:val="24"/>
                <w:szCs w:val="24"/>
                <w:lang w:val="en-US" w:eastAsia="zh-CN" w:bidi="ar-SA"/>
              </w:rPr>
              <w:t>4、费用费率依据《陕西省建设工程费用规则（2025）》执行。</w:t>
            </w:r>
          </w:p>
          <w:p w14:paraId="36AD39FA">
            <w:pPr>
              <w:pStyle w:val="31"/>
              <w:spacing w:line="360" w:lineRule="auto"/>
              <w:ind w:firstLine="480" w:firstLineChars="200"/>
              <w:rPr>
                <w:rFonts w:hint="default" w:ascii="宋体" w:hAnsi="宋体" w:eastAsia="宋体" w:cs="宋体"/>
                <w:b w:val="0"/>
                <w:bCs w:val="0"/>
                <w:color w:val="000000"/>
                <w:kern w:val="0"/>
                <w:sz w:val="24"/>
                <w:szCs w:val="24"/>
                <w:lang w:val="en-US" w:eastAsia="zh-CN" w:bidi="ar-SA"/>
              </w:rPr>
            </w:pPr>
            <w:r>
              <w:rPr>
                <w:rFonts w:hint="eastAsia" w:ascii="宋体" w:hAnsi="宋体" w:eastAsia="宋体" w:cs="宋体"/>
                <w:b w:val="0"/>
                <w:bCs w:val="0"/>
                <w:color w:val="000000"/>
                <w:kern w:val="0"/>
                <w:sz w:val="24"/>
                <w:szCs w:val="24"/>
                <w:lang w:val="en-US" w:eastAsia="zh-CN" w:bidi="ar-SA"/>
              </w:rPr>
              <w:t>5、《榆林工程造价信息》（2026年第</w:t>
            </w:r>
            <w:r>
              <w:rPr>
                <w:rFonts w:hint="eastAsia" w:ascii="宋体" w:hAnsi="宋体" w:cs="宋体"/>
                <w:b w:val="0"/>
                <w:bCs w:val="0"/>
                <w:color w:val="000000"/>
                <w:kern w:val="0"/>
                <w:sz w:val="24"/>
                <w:szCs w:val="24"/>
                <w:lang w:val="en-US" w:eastAsia="zh-CN" w:bidi="ar-SA"/>
              </w:rPr>
              <w:t>3</w:t>
            </w:r>
            <w:r>
              <w:rPr>
                <w:rFonts w:hint="eastAsia" w:ascii="宋体" w:hAnsi="宋体" w:eastAsia="宋体" w:cs="宋体"/>
                <w:b w:val="0"/>
                <w:bCs w:val="0"/>
                <w:color w:val="000000"/>
                <w:kern w:val="0"/>
                <w:sz w:val="24"/>
                <w:szCs w:val="24"/>
                <w:lang w:val="en-US" w:eastAsia="zh-CN" w:bidi="ar-SA"/>
              </w:rPr>
              <w:t xml:space="preserve"> 期）</w:t>
            </w:r>
          </w:p>
          <w:p w14:paraId="3921766F">
            <w:pPr>
              <w:pStyle w:val="31"/>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b w:val="0"/>
                <w:bCs w:val="0"/>
                <w:color w:val="000000"/>
                <w:kern w:val="0"/>
                <w:sz w:val="24"/>
                <w:szCs w:val="24"/>
                <w:lang w:val="en-US" w:eastAsia="zh-CN" w:bidi="ar-SA"/>
              </w:rPr>
              <w:t>（三）投标人应先到工地踏勘以充分了解工地位置、地理情况、进出场道路、储存空间、运输能力、装卸限制、行车干扰及任何其它足以影响承包价格的情况，了解设计图纸、服务规范、标准以及现场实际等情况，并应</w:t>
            </w:r>
            <w:r>
              <w:rPr>
                <w:rFonts w:hint="eastAsia" w:ascii="宋体" w:hAnsi="宋体" w:eastAsia="宋体" w:cs="宋体"/>
                <w:b w:val="0"/>
                <w:bCs w:val="0"/>
                <w:color w:val="000000"/>
                <w:sz w:val="24"/>
                <w:szCs w:val="24"/>
              </w:rPr>
              <w:t>考虑现有人、材、机市场水平和供应、响应风险、不利的</w:t>
            </w:r>
            <w:r>
              <w:rPr>
                <w:rFonts w:hint="eastAsia" w:ascii="宋体" w:hAnsi="宋体" w:eastAsia="宋体" w:cs="宋体"/>
                <w:b w:val="0"/>
                <w:bCs w:val="0"/>
                <w:color w:val="000000"/>
                <w:sz w:val="24"/>
                <w:szCs w:val="24"/>
                <w:lang w:val="en-US" w:eastAsia="zh-CN"/>
              </w:rPr>
              <w:t>服务</w:t>
            </w:r>
            <w:r>
              <w:rPr>
                <w:rFonts w:hint="eastAsia" w:ascii="宋体" w:hAnsi="宋体" w:eastAsia="宋体" w:cs="宋体"/>
                <w:b w:val="0"/>
                <w:bCs w:val="0"/>
                <w:color w:val="000000"/>
                <w:sz w:val="24"/>
                <w:szCs w:val="24"/>
              </w:rPr>
              <w:t>因素等，任何因忽视或误解工地情况而导致的索赔或工期延长申请将不获批准。</w:t>
            </w:r>
          </w:p>
        </w:tc>
      </w:tr>
      <w:tr w14:paraId="49DE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108D2B21">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27</w:t>
            </w:r>
          </w:p>
        </w:tc>
        <w:tc>
          <w:tcPr>
            <w:tcW w:w="1969" w:type="dxa"/>
            <w:noWrap w:val="0"/>
            <w:vAlign w:val="center"/>
          </w:tcPr>
          <w:p w14:paraId="06F7405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评标办法及标准</w:t>
            </w:r>
          </w:p>
        </w:tc>
        <w:tc>
          <w:tcPr>
            <w:tcW w:w="7245" w:type="dxa"/>
            <w:noWrap w:val="0"/>
            <w:vAlign w:val="center"/>
          </w:tcPr>
          <w:p w14:paraId="3F4171B6">
            <w:pPr>
              <w:pStyle w:val="3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详见第六章 评标办法</w:t>
            </w:r>
          </w:p>
        </w:tc>
      </w:tr>
      <w:tr w14:paraId="5972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713FF494">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28</w:t>
            </w:r>
          </w:p>
        </w:tc>
        <w:tc>
          <w:tcPr>
            <w:tcW w:w="1969" w:type="dxa"/>
            <w:noWrap w:val="0"/>
            <w:vAlign w:val="center"/>
          </w:tcPr>
          <w:p w14:paraId="10A13987">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招标代理服务费</w:t>
            </w:r>
          </w:p>
        </w:tc>
        <w:tc>
          <w:tcPr>
            <w:tcW w:w="7245" w:type="dxa"/>
            <w:noWrap w:val="0"/>
            <w:vAlign w:val="center"/>
          </w:tcPr>
          <w:p w14:paraId="7A5DBE2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成交</w:t>
            </w:r>
            <w:r>
              <w:rPr>
                <w:rFonts w:hint="eastAsia" w:ascii="宋体" w:hAnsi="宋体" w:eastAsia="宋体" w:cs="宋体"/>
                <w:color w:val="auto"/>
                <w:sz w:val="24"/>
                <w:szCs w:val="24"/>
                <w:lang w:val="en-US" w:eastAsia="zh-CN"/>
              </w:rPr>
              <w:t>单位</w:t>
            </w:r>
            <w:r>
              <w:rPr>
                <w:rFonts w:hint="eastAsia" w:ascii="宋体" w:hAnsi="宋体" w:eastAsia="宋体" w:cs="宋体"/>
                <w:color w:val="auto"/>
                <w:sz w:val="24"/>
                <w:szCs w:val="24"/>
              </w:rPr>
              <w:t>在领取成交通知书前，须向采购代理机构支付成交服务费。</w:t>
            </w:r>
          </w:p>
          <w:p w14:paraId="7CD72F0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r>
              <w:rPr>
                <w:rFonts w:hint="eastAsia" w:ascii="宋体" w:hAnsi="宋体"/>
                <w:color w:val="auto"/>
                <w:sz w:val="24"/>
                <w:szCs w:val="24"/>
                <w:lang w:val="en-US" w:eastAsia="zh-CN"/>
              </w:rPr>
              <w:t>参照《招标代理服务收费管理暂行办法》的通知（计价格〔2002〕1980号）、《国家发展和改革委员会办公厅关于招标代理服务收费有关问题的通知》（发改办价格〔2003〕857号）及《招标代理服务收费管理暂行办法》的通知（发改价格（2015）299号）</w:t>
            </w:r>
            <w:r>
              <w:rPr>
                <w:rFonts w:hint="eastAsia" w:ascii="宋体" w:hAnsi="宋体"/>
                <w:color w:val="auto"/>
                <w:sz w:val="24"/>
                <w:szCs w:val="24"/>
              </w:rPr>
              <w:t>文件规定标准</w:t>
            </w:r>
            <w:r>
              <w:rPr>
                <w:rFonts w:hint="eastAsia" w:ascii="宋体" w:hAnsi="宋体" w:eastAsia="宋体" w:cs="宋体"/>
                <w:color w:val="auto"/>
                <w:sz w:val="24"/>
                <w:szCs w:val="24"/>
                <w:lang w:eastAsia="zh-CN"/>
              </w:rPr>
              <w:t>工程类收取</w:t>
            </w:r>
            <w:r>
              <w:rPr>
                <w:rFonts w:hint="eastAsia" w:ascii="宋体" w:hAnsi="宋体" w:eastAsia="宋体" w:cs="宋体"/>
                <w:color w:val="auto"/>
                <w:sz w:val="24"/>
                <w:szCs w:val="24"/>
              </w:rPr>
              <w:t>。</w:t>
            </w:r>
          </w:p>
          <w:p w14:paraId="7BA05780">
            <w:pPr>
              <w:keepNext w:val="0"/>
              <w:keepLines w:val="0"/>
              <w:pageBreakBefore w:val="0"/>
              <w:tabs>
                <w:tab w:val="left" w:pos="61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代理费接收账号：</w:t>
            </w:r>
          </w:p>
          <w:p w14:paraId="7518B989">
            <w:pPr>
              <w:keepNext w:val="0"/>
              <w:keepLines w:val="0"/>
              <w:pageBreakBefore w:val="0"/>
              <w:tabs>
                <w:tab w:val="left" w:pos="610"/>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lang w:val="en-US" w:eastAsia="zh-CN"/>
              </w:rPr>
              <w:t>采购代理机构开户名称:</w:t>
            </w:r>
            <w:r>
              <w:rPr>
                <w:rFonts w:hint="eastAsia" w:ascii="宋体" w:hAnsi="宋体" w:eastAsia="宋体" w:cs="宋体"/>
                <w:b w:val="0"/>
                <w:bCs/>
                <w:color w:val="auto"/>
                <w:sz w:val="24"/>
                <w:szCs w:val="24"/>
                <w:highlight w:val="none"/>
                <w:lang w:eastAsia="zh-CN"/>
              </w:rPr>
              <w:t>榆林腾达建诚信息咨询有限公司</w:t>
            </w:r>
          </w:p>
          <w:p w14:paraId="13A07855">
            <w:pPr>
              <w:pStyle w:val="32"/>
              <w:spacing w:line="360" w:lineRule="auto"/>
              <w:ind w:left="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开户行名称：中国银行股份有限公司榆林肤施路支行</w:t>
            </w:r>
          </w:p>
          <w:p w14:paraId="5F223B37">
            <w:pPr>
              <w:pStyle w:val="32"/>
              <w:spacing w:line="360" w:lineRule="auto"/>
              <w:ind w:left="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账   号：103722080667</w:t>
            </w:r>
          </w:p>
          <w:p w14:paraId="0915A9F9">
            <w:pPr>
              <w:keepNext w:val="0"/>
              <w:keepLines w:val="0"/>
              <w:numPr>
                <w:ilvl w:val="0"/>
                <w:numId w:val="0"/>
              </w:numPr>
              <w:suppressLineNumbers w:val="0"/>
              <w:spacing w:before="0" w:beforeAutospacing="0" w:after="0" w:afterAutospacing="0" w:line="360" w:lineRule="auto"/>
              <w:ind w:left="0" w:leftChars="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招标代理服务收费标准(费率)</w:t>
            </w:r>
          </w:p>
          <w:tbl>
            <w:tblPr>
              <w:tblStyle w:val="24"/>
              <w:tblW w:w="6958"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913"/>
              <w:gridCol w:w="1873"/>
              <w:gridCol w:w="1591"/>
              <w:gridCol w:w="1581"/>
            </w:tblGrid>
            <w:tr w14:paraId="05013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blCellSpacing w:w="0" w:type="dxa"/>
                <w:jc w:val="center"/>
              </w:trPr>
              <w:tc>
                <w:tcPr>
                  <w:tcW w:w="1913" w:type="dxa"/>
                  <w:tcBorders>
                    <w:top w:val="single" w:color="auto" w:sz="4" w:space="0"/>
                    <w:left w:val="single" w:color="auto" w:sz="0" w:space="0"/>
                    <w:bottom w:val="single" w:color="auto" w:sz="4" w:space="0"/>
                    <w:right w:val="single" w:color="auto" w:sz="4" w:space="0"/>
                  </w:tcBorders>
                  <w:noWrap w:val="0"/>
                  <w:vAlign w:val="center"/>
                </w:tcPr>
                <w:p w14:paraId="20E829C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中标金额（万元）</w:t>
                  </w:r>
                </w:p>
              </w:tc>
              <w:tc>
                <w:tcPr>
                  <w:tcW w:w="1873" w:type="dxa"/>
                  <w:tcBorders>
                    <w:top w:val="single" w:color="auto" w:sz="4" w:space="0"/>
                    <w:left w:val="single" w:color="auto" w:sz="4" w:space="0"/>
                    <w:bottom w:val="single" w:color="auto" w:sz="4" w:space="0"/>
                    <w:right w:val="single" w:color="auto" w:sz="4" w:space="0"/>
                  </w:tcBorders>
                  <w:noWrap w:val="0"/>
                  <w:vAlign w:val="center"/>
                </w:tcPr>
                <w:p w14:paraId="7C4506B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货物招标</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59D341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服务招标</w:t>
                  </w:r>
                </w:p>
              </w:tc>
              <w:tc>
                <w:tcPr>
                  <w:tcW w:w="1581" w:type="dxa"/>
                  <w:tcBorders>
                    <w:top w:val="single" w:color="auto" w:sz="4" w:space="0"/>
                    <w:left w:val="single" w:color="auto" w:sz="4" w:space="0"/>
                    <w:bottom w:val="single" w:color="auto" w:sz="4" w:space="0"/>
                    <w:right w:val="single" w:color="auto" w:sz="4" w:space="0"/>
                  </w:tcBorders>
                  <w:noWrap w:val="0"/>
                  <w:vAlign w:val="center"/>
                </w:tcPr>
                <w:p w14:paraId="5CDEB9A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工程招标</w:t>
                  </w:r>
                </w:p>
              </w:tc>
            </w:tr>
            <w:tr w14:paraId="5C29A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blCellSpacing w:w="0" w:type="dxa"/>
                <w:jc w:val="center"/>
              </w:trPr>
              <w:tc>
                <w:tcPr>
                  <w:tcW w:w="1913" w:type="dxa"/>
                  <w:tcBorders>
                    <w:top w:val="single" w:color="auto" w:sz="4" w:space="0"/>
                    <w:left w:val="single" w:color="auto" w:sz="4" w:space="0"/>
                    <w:bottom w:val="single" w:color="auto" w:sz="4" w:space="0"/>
                    <w:right w:val="single" w:color="auto" w:sz="4" w:space="0"/>
                  </w:tcBorders>
                  <w:noWrap w:val="0"/>
                  <w:vAlign w:val="center"/>
                </w:tcPr>
                <w:p w14:paraId="73082FC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100以下</w:t>
                  </w:r>
                </w:p>
              </w:tc>
              <w:tc>
                <w:tcPr>
                  <w:tcW w:w="1873" w:type="dxa"/>
                  <w:tcBorders>
                    <w:top w:val="single" w:color="auto" w:sz="4" w:space="0"/>
                    <w:left w:val="single" w:color="auto" w:sz="4" w:space="0"/>
                    <w:bottom w:val="single" w:color="auto" w:sz="4" w:space="0"/>
                    <w:right w:val="single" w:color="auto" w:sz="4" w:space="0"/>
                  </w:tcBorders>
                  <w:noWrap w:val="0"/>
                  <w:vAlign w:val="center"/>
                </w:tcPr>
                <w:p w14:paraId="6457E3B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1.5％</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4B7F610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1.5％</w:t>
                  </w:r>
                </w:p>
              </w:tc>
              <w:tc>
                <w:tcPr>
                  <w:tcW w:w="1581" w:type="dxa"/>
                  <w:tcBorders>
                    <w:top w:val="single" w:color="auto" w:sz="4" w:space="0"/>
                    <w:left w:val="single" w:color="auto" w:sz="4" w:space="0"/>
                    <w:bottom w:val="single" w:color="auto" w:sz="4" w:space="0"/>
                    <w:right w:val="single" w:color="auto" w:sz="4" w:space="0"/>
                  </w:tcBorders>
                  <w:noWrap w:val="0"/>
                  <w:vAlign w:val="center"/>
                </w:tcPr>
                <w:p w14:paraId="1B1BF7D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1.0%</w:t>
                  </w:r>
                </w:p>
              </w:tc>
            </w:tr>
            <w:tr w14:paraId="24000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blCellSpacing w:w="0" w:type="dxa"/>
                <w:jc w:val="center"/>
              </w:trPr>
              <w:tc>
                <w:tcPr>
                  <w:tcW w:w="1913" w:type="dxa"/>
                  <w:tcBorders>
                    <w:top w:val="single" w:color="auto" w:sz="4" w:space="0"/>
                    <w:left w:val="single" w:color="auto" w:sz="4" w:space="0"/>
                    <w:bottom w:val="single" w:color="auto" w:sz="4" w:space="0"/>
                    <w:right w:val="single" w:color="auto" w:sz="4" w:space="0"/>
                  </w:tcBorders>
                  <w:noWrap w:val="0"/>
                  <w:vAlign w:val="center"/>
                </w:tcPr>
                <w:p w14:paraId="7D6633C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100—500</w:t>
                  </w:r>
                </w:p>
              </w:tc>
              <w:tc>
                <w:tcPr>
                  <w:tcW w:w="1873" w:type="dxa"/>
                  <w:tcBorders>
                    <w:top w:val="single" w:color="auto" w:sz="4" w:space="0"/>
                    <w:left w:val="single" w:color="auto" w:sz="4" w:space="0"/>
                    <w:bottom w:val="single" w:color="auto" w:sz="4" w:space="0"/>
                    <w:right w:val="single" w:color="auto" w:sz="4" w:space="0"/>
                  </w:tcBorders>
                  <w:noWrap w:val="0"/>
                  <w:vAlign w:val="center"/>
                </w:tcPr>
                <w:p w14:paraId="2C2DE80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1.1％</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5B79F1E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0.8％</w:t>
                  </w:r>
                </w:p>
              </w:tc>
              <w:tc>
                <w:tcPr>
                  <w:tcW w:w="1581" w:type="dxa"/>
                  <w:tcBorders>
                    <w:top w:val="single" w:color="auto" w:sz="4" w:space="0"/>
                    <w:left w:val="single" w:color="auto" w:sz="4" w:space="0"/>
                    <w:bottom w:val="single" w:color="auto" w:sz="4" w:space="0"/>
                    <w:right w:val="single" w:color="auto" w:sz="4" w:space="0"/>
                  </w:tcBorders>
                  <w:noWrap w:val="0"/>
                  <w:vAlign w:val="center"/>
                </w:tcPr>
                <w:p w14:paraId="3CC6C83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0.7%</w:t>
                  </w:r>
                </w:p>
              </w:tc>
            </w:tr>
            <w:tr w14:paraId="238A5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blCellSpacing w:w="0" w:type="dxa"/>
                <w:jc w:val="center"/>
              </w:trPr>
              <w:tc>
                <w:tcPr>
                  <w:tcW w:w="1913" w:type="dxa"/>
                  <w:tcBorders>
                    <w:top w:val="single" w:color="auto" w:sz="4" w:space="0"/>
                    <w:left w:val="single" w:color="auto" w:sz="4" w:space="0"/>
                    <w:bottom w:val="single" w:color="auto" w:sz="4" w:space="0"/>
                    <w:right w:val="single" w:color="auto" w:sz="4" w:space="0"/>
                  </w:tcBorders>
                  <w:noWrap w:val="0"/>
                  <w:vAlign w:val="center"/>
                </w:tcPr>
                <w:p w14:paraId="51B5FE4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500—1000</w:t>
                  </w:r>
                </w:p>
              </w:tc>
              <w:tc>
                <w:tcPr>
                  <w:tcW w:w="1873" w:type="dxa"/>
                  <w:tcBorders>
                    <w:top w:val="single" w:color="auto" w:sz="4" w:space="0"/>
                    <w:left w:val="single" w:color="auto" w:sz="4" w:space="0"/>
                    <w:bottom w:val="single" w:color="auto" w:sz="4" w:space="0"/>
                    <w:right w:val="single" w:color="auto" w:sz="4" w:space="0"/>
                  </w:tcBorders>
                  <w:noWrap w:val="0"/>
                  <w:vAlign w:val="center"/>
                </w:tcPr>
                <w:p w14:paraId="48CB14A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0.8％</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41C2395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0.45％</w:t>
                  </w:r>
                </w:p>
              </w:tc>
              <w:tc>
                <w:tcPr>
                  <w:tcW w:w="1581" w:type="dxa"/>
                  <w:tcBorders>
                    <w:top w:val="single" w:color="auto" w:sz="4" w:space="0"/>
                    <w:left w:val="single" w:color="auto" w:sz="4" w:space="0"/>
                    <w:bottom w:val="single" w:color="auto" w:sz="4" w:space="0"/>
                    <w:right w:val="single" w:color="auto" w:sz="4" w:space="0"/>
                  </w:tcBorders>
                  <w:noWrap w:val="0"/>
                  <w:vAlign w:val="center"/>
                </w:tcPr>
                <w:p w14:paraId="162FA1E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0.55%</w:t>
                  </w:r>
                </w:p>
              </w:tc>
            </w:tr>
            <w:tr w14:paraId="47710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blCellSpacing w:w="0" w:type="dxa"/>
                <w:jc w:val="center"/>
              </w:trPr>
              <w:tc>
                <w:tcPr>
                  <w:tcW w:w="1913" w:type="dxa"/>
                  <w:tcBorders>
                    <w:top w:val="single" w:color="auto" w:sz="4" w:space="0"/>
                    <w:left w:val="single" w:color="auto" w:sz="4" w:space="0"/>
                    <w:bottom w:val="single" w:color="auto" w:sz="4" w:space="0"/>
                    <w:right w:val="single" w:color="auto" w:sz="4" w:space="0"/>
                  </w:tcBorders>
                  <w:noWrap w:val="0"/>
                  <w:vAlign w:val="center"/>
                </w:tcPr>
                <w:p w14:paraId="446EA65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1000—5000</w:t>
                  </w:r>
                </w:p>
              </w:tc>
              <w:tc>
                <w:tcPr>
                  <w:tcW w:w="1873" w:type="dxa"/>
                  <w:tcBorders>
                    <w:top w:val="single" w:color="auto" w:sz="4" w:space="0"/>
                    <w:left w:val="single" w:color="auto" w:sz="4" w:space="0"/>
                    <w:bottom w:val="single" w:color="auto" w:sz="4" w:space="0"/>
                    <w:right w:val="single" w:color="auto" w:sz="4" w:space="0"/>
                  </w:tcBorders>
                  <w:noWrap w:val="0"/>
                  <w:vAlign w:val="center"/>
                </w:tcPr>
                <w:p w14:paraId="17225B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0.5％</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1CDC655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0.25％</w:t>
                  </w:r>
                </w:p>
              </w:tc>
              <w:tc>
                <w:tcPr>
                  <w:tcW w:w="1581" w:type="dxa"/>
                  <w:tcBorders>
                    <w:top w:val="single" w:color="auto" w:sz="4" w:space="0"/>
                    <w:left w:val="single" w:color="auto" w:sz="4" w:space="0"/>
                    <w:bottom w:val="single" w:color="auto" w:sz="4" w:space="0"/>
                    <w:right w:val="single" w:color="auto" w:sz="4" w:space="0"/>
                  </w:tcBorders>
                  <w:noWrap w:val="0"/>
                  <w:vAlign w:val="center"/>
                </w:tcPr>
                <w:p w14:paraId="031535A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0.35%</w:t>
                  </w:r>
                </w:p>
              </w:tc>
            </w:tr>
          </w:tbl>
          <w:p w14:paraId="0D28DBAE">
            <w:pPr>
              <w:pStyle w:val="5"/>
              <w:spacing w:line="360" w:lineRule="auto"/>
              <w:ind w:left="864" w:leftChars="0" w:hanging="864" w:firstLineChars="0"/>
              <w:rPr>
                <w:rFonts w:hint="eastAsia" w:ascii="宋体" w:hAnsi="宋体" w:eastAsia="宋体" w:cs="宋体"/>
                <w:color w:val="auto"/>
                <w:kern w:val="2"/>
                <w:sz w:val="24"/>
                <w:szCs w:val="24"/>
                <w:lang w:val="en-US" w:eastAsia="zh-CN" w:bidi="ar-SA"/>
              </w:rPr>
            </w:pPr>
          </w:p>
        </w:tc>
      </w:tr>
      <w:tr w14:paraId="42700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0"/>
            <w:vAlign w:val="center"/>
          </w:tcPr>
          <w:p w14:paraId="57D40A3F">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29</w:t>
            </w:r>
          </w:p>
        </w:tc>
        <w:tc>
          <w:tcPr>
            <w:tcW w:w="1969" w:type="dxa"/>
            <w:noWrap w:val="0"/>
            <w:vAlign w:val="center"/>
          </w:tcPr>
          <w:p w14:paraId="32C57B94">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b w:val="0"/>
                <w:bCs w:val="0"/>
                <w:color w:val="auto"/>
                <w:sz w:val="24"/>
                <w:szCs w:val="24"/>
              </w:rPr>
              <w:t>特别提醒</w:t>
            </w:r>
          </w:p>
        </w:tc>
        <w:tc>
          <w:tcPr>
            <w:tcW w:w="7245" w:type="dxa"/>
            <w:noWrap w:val="0"/>
            <w:vAlign w:val="center"/>
          </w:tcPr>
          <w:p w14:paraId="682F113E">
            <w:pPr>
              <w:pStyle w:val="33"/>
              <w:keepNext w:val="0"/>
              <w:keepLines w:val="0"/>
              <w:widowControl/>
              <w:suppressLineNumbers w:val="0"/>
              <w:spacing w:before="0" w:beforeAutospacing="0" w:after="0" w:afterAutospacing="0" w:line="360" w:lineRule="auto"/>
              <w:ind w:left="0" w:right="0" w:firstLine="496" w:firstLineChars="200"/>
              <w:jc w:val="left"/>
              <w:rPr>
                <w:rFonts w:hint="eastAsia" w:ascii="宋体" w:hAnsi="宋体" w:eastAsia="宋体" w:cs="宋体"/>
                <w:b w:val="0"/>
                <w:bCs w:val="0"/>
                <w:color w:val="auto"/>
                <w:spacing w:val="4"/>
                <w:kern w:val="0"/>
                <w:sz w:val="24"/>
                <w:szCs w:val="24"/>
                <w:lang w:val="en-US" w:eastAsia="zh-CN" w:bidi="ar"/>
              </w:rPr>
            </w:pPr>
            <w:r>
              <w:rPr>
                <w:rFonts w:hint="eastAsia" w:ascii="宋体" w:hAnsi="宋体" w:eastAsia="宋体" w:cs="宋体"/>
                <w:b w:val="0"/>
                <w:bCs w:val="0"/>
                <w:color w:val="auto"/>
                <w:spacing w:val="4"/>
                <w:kern w:val="0"/>
                <w:sz w:val="24"/>
                <w:szCs w:val="24"/>
                <w:lang w:val="en-US" w:eastAsia="zh-CN" w:bidi="ar"/>
              </w:rPr>
              <w:t>1、投标人须使用数字认证证书对电子化磋商响应文件进行签章、加密、递交及开标时解密等相关招投标事宜。</w:t>
            </w:r>
          </w:p>
          <w:p w14:paraId="3C59BEB9">
            <w:pPr>
              <w:pStyle w:val="33"/>
              <w:keepNext w:val="0"/>
              <w:keepLines w:val="0"/>
              <w:widowControl/>
              <w:suppressLineNumbers w:val="0"/>
              <w:spacing w:before="0" w:beforeAutospacing="0" w:after="0" w:afterAutospacing="0" w:line="360" w:lineRule="auto"/>
              <w:ind w:left="0" w:right="0" w:firstLine="496" w:firstLineChars="200"/>
              <w:jc w:val="left"/>
              <w:rPr>
                <w:rFonts w:hint="eastAsia" w:ascii="宋体" w:hAnsi="宋体" w:eastAsia="宋体" w:cs="宋体"/>
                <w:b w:val="0"/>
                <w:bCs w:val="0"/>
                <w:color w:val="auto"/>
                <w:spacing w:val="4"/>
                <w:kern w:val="0"/>
                <w:sz w:val="24"/>
                <w:szCs w:val="24"/>
                <w:lang w:val="en-US" w:eastAsia="zh-CN" w:bidi="ar"/>
              </w:rPr>
            </w:pPr>
            <w:r>
              <w:rPr>
                <w:rFonts w:hint="eastAsia" w:ascii="宋体" w:hAnsi="宋体" w:eastAsia="宋体" w:cs="宋体"/>
                <w:b w:val="0"/>
                <w:bCs w:val="0"/>
                <w:color w:val="auto"/>
                <w:spacing w:val="4"/>
                <w:kern w:val="0"/>
                <w:sz w:val="24"/>
                <w:szCs w:val="24"/>
                <w:lang w:val="en-US" w:eastAsia="zh-CN" w:bidi="ar"/>
              </w:rPr>
              <w:t xml:space="preserve">2、制作电子磋商响应文件。投标人须在“全国公共资源交易中心平台（陕西省）（http://www.sxggzyjy.cn/）”的“服务指南” 栏目“下载专区”中，免费下载“陕西省公共资源交易平台政府采购电子标书制作工具” 及“政府采购投标单位操作手册”， 并使用该客户端制作电子投标文件，制作扩展名为“.SXSTF”的电子投标文件。 </w:t>
            </w:r>
          </w:p>
          <w:p w14:paraId="713CEEC3">
            <w:pPr>
              <w:pStyle w:val="33"/>
              <w:keepNext w:val="0"/>
              <w:keepLines w:val="0"/>
              <w:widowControl/>
              <w:suppressLineNumbers w:val="0"/>
              <w:spacing w:before="0" w:beforeAutospacing="0" w:after="0" w:afterAutospacing="0" w:line="360" w:lineRule="auto"/>
              <w:ind w:left="0" w:right="0" w:firstLine="496" w:firstLineChars="200"/>
              <w:jc w:val="left"/>
              <w:rPr>
                <w:rFonts w:hint="eastAsia" w:ascii="宋体" w:hAnsi="宋体" w:eastAsia="宋体" w:cs="宋体"/>
                <w:b w:val="0"/>
                <w:bCs w:val="0"/>
                <w:color w:val="auto"/>
                <w:spacing w:val="4"/>
                <w:kern w:val="0"/>
                <w:sz w:val="24"/>
                <w:szCs w:val="24"/>
                <w:lang w:val="en-US" w:eastAsia="zh-CN" w:bidi="ar"/>
              </w:rPr>
            </w:pPr>
            <w:r>
              <w:rPr>
                <w:rFonts w:hint="eastAsia" w:ascii="宋体" w:hAnsi="宋体" w:eastAsia="宋体" w:cs="宋体"/>
                <w:b w:val="0"/>
                <w:bCs w:val="0"/>
                <w:color w:val="auto"/>
                <w:spacing w:val="4"/>
                <w:kern w:val="0"/>
                <w:sz w:val="24"/>
                <w:szCs w:val="24"/>
                <w:lang w:val="en-US" w:eastAsia="zh-CN" w:bidi="ar"/>
              </w:rPr>
              <w:t>3、递交电子投标文件。登录陕西省公共资源交易中心平台（http://xxxq.sxggzyjy.cn/），选择“电子交易平台-陕西政府采购交易系统-陕西省公共资源交易平台-供应商”进行登录，登录后选择“交易乙方”身份进入，选择“上传投标文件”菜单页面，上传加密的电子化磋商响应文件。上传成功后，电子化平台将予以记录。</w:t>
            </w:r>
          </w:p>
          <w:p w14:paraId="34C1AE85">
            <w:pPr>
              <w:pStyle w:val="33"/>
              <w:keepNext w:val="0"/>
              <w:keepLines w:val="0"/>
              <w:widowControl/>
              <w:suppressLineNumbers w:val="0"/>
              <w:spacing w:before="0" w:beforeAutospacing="0" w:after="0" w:afterAutospacing="0" w:line="360" w:lineRule="auto"/>
              <w:ind w:left="0" w:leftChars="0" w:right="0" w:rightChars="0" w:firstLine="496" w:firstLineChars="200"/>
              <w:jc w:val="left"/>
              <w:rPr>
                <w:rFonts w:hint="eastAsia" w:ascii="宋体" w:hAnsi="宋体" w:eastAsia="宋体" w:cs="宋体"/>
                <w:b/>
                <w:bCs/>
                <w:color w:val="auto"/>
                <w:kern w:val="2"/>
                <w:sz w:val="24"/>
                <w:szCs w:val="24"/>
                <w:lang w:val="en-US" w:eastAsia="zh-CN" w:bidi="ar-SA"/>
              </w:rPr>
            </w:pPr>
            <w:r>
              <w:rPr>
                <w:rFonts w:hint="eastAsia" w:ascii="宋体" w:hAnsi="宋体" w:eastAsia="宋体" w:cs="宋体"/>
                <w:b w:val="0"/>
                <w:bCs w:val="0"/>
                <w:color w:val="auto"/>
                <w:spacing w:val="4"/>
                <w:kern w:val="0"/>
                <w:sz w:val="24"/>
                <w:szCs w:val="24"/>
                <w:lang w:val="en-US" w:eastAsia="zh-CN" w:bidi="ar"/>
              </w:rPr>
              <w:t>4、磋商响应文件中所有涉及签字、盖章的，各投标单位须将所有签字盖章完成后上传。  </w:t>
            </w:r>
          </w:p>
        </w:tc>
      </w:tr>
      <w:tr w14:paraId="1944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2500448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1969" w:type="dxa"/>
            <w:noWrap w:val="0"/>
            <w:vAlign w:val="center"/>
          </w:tcPr>
          <w:p w14:paraId="2BEBF35F">
            <w:pPr>
              <w:keepNext w:val="0"/>
              <w:keepLines w:val="0"/>
              <w:widowControl/>
              <w:numPr>
                <w:ilvl w:val="0"/>
                <w:numId w:val="0"/>
              </w:numPr>
              <w:suppressLineNumbers w:val="0"/>
              <w:spacing w:before="0" w:beforeLines="0" w:beforeAutospacing="0" w:after="0" w:afterLines="0" w:afterAutospacing="0" w:line="360" w:lineRule="auto"/>
              <w:ind w:left="0" w:right="0" w:rightChars="0"/>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信用承诺公示要求</w:t>
            </w:r>
          </w:p>
          <w:p w14:paraId="0228EB79">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b w:val="0"/>
                <w:bCs w:val="0"/>
                <w:color w:val="auto"/>
                <w:sz w:val="24"/>
                <w:szCs w:val="24"/>
              </w:rPr>
            </w:pPr>
          </w:p>
        </w:tc>
        <w:tc>
          <w:tcPr>
            <w:tcW w:w="7245" w:type="dxa"/>
            <w:noWrap w:val="0"/>
            <w:vAlign w:val="center"/>
          </w:tcPr>
          <w:p w14:paraId="79CE6DCC">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投标单位、授权代表），均应在“信用中国（陕西榆林）”网站进行注册、登陆，自主上报信用承诺书（网址：https://credit.yl.gov.cn/），各相关交易主体注册、登陆后根据承诺事项选择相应的模板填写《信用承诺书》，并载明承诺事由。</w:t>
            </w:r>
          </w:p>
          <w:p w14:paraId="29391B88">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信用承诺操作相关事宜如下：</w:t>
            </w:r>
          </w:p>
          <w:p w14:paraId="37285B9D">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（1）进入信用中国“陕西榆林”页面，点击信用承诺，右上角显示主动上报，在承诺事项选择相应的承诺事项，承诺事项的名称为原纸质版的标题名称。</w:t>
            </w:r>
          </w:p>
          <w:p w14:paraId="2C6131C8">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（2）承诺事由为“项目名称、项目编号”。</w:t>
            </w:r>
          </w:p>
          <w:p w14:paraId="4B67A850">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（3）供应商需上传四项信用承诺：①投标人信用承诺；②委托代理人信用承诺（被授权人注册自然人账号后上报承诺）；③《榆林市政府采购工程类项目供应商信用承诺书》；④</w:t>
            </w:r>
            <w:r>
              <w:rPr>
                <w:rFonts w:hint="eastAsia" w:ascii="宋体" w:hAnsi="宋体" w:eastAsia="宋体" w:cs="宋体"/>
                <w:i w:val="0"/>
                <w:iCs w:val="0"/>
                <w:caps w:val="0"/>
                <w:color w:val="auto"/>
                <w:spacing w:val="0"/>
                <w:sz w:val="24"/>
                <w:szCs w:val="24"/>
                <w:shd w:val="clear" w:color="auto" w:fill="FFFFFF"/>
                <w:lang w:val="en-US" w:eastAsia="zh-CN"/>
              </w:rPr>
              <w:t>投标信用承诺书</w:t>
            </w:r>
            <w:r>
              <w:rPr>
                <w:rFonts w:hint="eastAsia" w:ascii="宋体" w:hAnsi="宋体" w:eastAsia="宋体" w:cs="宋体"/>
                <w:color w:val="auto"/>
                <w:kern w:val="2"/>
                <w:sz w:val="24"/>
                <w:szCs w:val="24"/>
                <w:lang w:val="en-US" w:eastAsia="zh-CN" w:bidi="ar-SA"/>
              </w:rPr>
              <w:t>（信用承诺书的格式详见磋商文件格式中附件）。</w:t>
            </w:r>
          </w:p>
          <w:p w14:paraId="32DD026C">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（4）所有账号问题在政务网中咨询或拨打02987382893、029-87382894。</w:t>
            </w:r>
          </w:p>
          <w:p w14:paraId="016EC971">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注：如未按照上述要求办理，信用承诺公示迟报、漏报的列入不良行为记录。其投标将被否决，后果自负。投标人请将申报截图附在投标文件附件中，如不执行由此带来的不利后果投标人自行承担；</w:t>
            </w:r>
          </w:p>
          <w:p w14:paraId="2EA04ED5">
            <w:pPr>
              <w:keepNext w:val="0"/>
              <w:keepLines w:val="0"/>
              <w:widowControl w:val="0"/>
              <w:suppressLineNumbers w:val="0"/>
              <w:spacing w:before="0" w:beforeAutospacing="0" w:after="0" w:afterAutospacing="0" w:line="360" w:lineRule="auto"/>
              <w:ind w:left="0" w:leftChars="0" w:right="0" w:rightChars="0" w:firstLine="482" w:firstLineChars="200"/>
              <w:jc w:val="both"/>
              <w:rPr>
                <w:rFonts w:hint="eastAsia" w:ascii="宋体" w:hAnsi="宋体" w:eastAsia="宋体" w:cs="宋体"/>
                <w:b w:val="0"/>
                <w:bCs w:val="0"/>
                <w:color w:val="auto"/>
                <w:spacing w:val="4"/>
                <w:kern w:val="0"/>
                <w:sz w:val="24"/>
                <w:szCs w:val="24"/>
                <w:lang w:val="en-US" w:eastAsia="zh-CN" w:bidi="ar"/>
              </w:rPr>
            </w:pPr>
            <w:r>
              <w:rPr>
                <w:rFonts w:hint="eastAsia" w:ascii="宋体" w:hAnsi="宋体" w:eastAsia="宋体" w:cs="宋体"/>
                <w:b/>
                <w:bCs/>
                <w:color w:val="auto"/>
                <w:kern w:val="2"/>
                <w:sz w:val="24"/>
                <w:szCs w:val="24"/>
                <w:lang w:val="en-US" w:eastAsia="zh-CN" w:bidi="ar-SA"/>
              </w:rPr>
              <w:t>具体操作详见附件一：信用承诺上报操作指南。</w:t>
            </w:r>
          </w:p>
        </w:tc>
      </w:tr>
      <w:tr w14:paraId="1CC87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709" w:type="dxa"/>
            <w:noWrap w:val="0"/>
            <w:vAlign w:val="center"/>
          </w:tcPr>
          <w:p w14:paraId="53399DE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w:t>
            </w:r>
          </w:p>
        </w:tc>
        <w:tc>
          <w:tcPr>
            <w:tcW w:w="1969" w:type="dxa"/>
            <w:noWrap w:val="0"/>
            <w:vAlign w:val="center"/>
          </w:tcPr>
          <w:p w14:paraId="36169545">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是否电子标</w:t>
            </w:r>
          </w:p>
        </w:tc>
        <w:tc>
          <w:tcPr>
            <w:tcW w:w="7245" w:type="dxa"/>
            <w:noWrap w:val="0"/>
            <w:vAlign w:val="center"/>
          </w:tcPr>
          <w:p w14:paraId="4F46A361">
            <w:pPr>
              <w:keepNext w:val="0"/>
              <w:keepLines w:val="0"/>
              <w:widowControl w:val="0"/>
              <w:suppressLineNumbers w:val="0"/>
              <w:spacing w:before="0" w:beforeAutospacing="0" w:after="0" w:afterAutospacing="0" w:line="360" w:lineRule="auto"/>
              <w:ind w:left="0" w:leftChars="0" w:right="0" w:right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sz w:val="24"/>
                <w:szCs w:val="24"/>
                <w:highlight w:val="none"/>
                <w:lang w:eastAsia="zh-CN"/>
              </w:rPr>
              <w:t>是</w:t>
            </w:r>
          </w:p>
        </w:tc>
      </w:tr>
      <w:tr w14:paraId="65EED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12A9E0C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w:t>
            </w:r>
          </w:p>
        </w:tc>
        <w:tc>
          <w:tcPr>
            <w:tcW w:w="1969" w:type="dxa"/>
            <w:noWrap w:val="0"/>
            <w:vAlign w:val="center"/>
          </w:tcPr>
          <w:p w14:paraId="4BD77623">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不见面开标</w:t>
            </w:r>
          </w:p>
        </w:tc>
        <w:tc>
          <w:tcPr>
            <w:tcW w:w="7245" w:type="dxa"/>
            <w:noWrap w:val="0"/>
            <w:vAlign w:val="center"/>
          </w:tcPr>
          <w:p w14:paraId="2E526E39">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该项目将采取“不见面”开标的形式，供应商无须到达开标现场，即可在网上直接参与开标活动。相关注意事项如下：</w:t>
            </w:r>
          </w:p>
          <w:p w14:paraId="619D8BF4">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1、开标当日，请各供应商在开标截止时间前至少提前半小时登录“不见面”开标系统登录方式有以下几种：</w:t>
            </w:r>
          </w:p>
          <w:p w14:paraId="70EA6050">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1）IE浏览器输入网址：</w:t>
            </w:r>
          </w:p>
          <w:p w14:paraId="5A8E7E93">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fldChar w:fldCharType="begin"/>
            </w:r>
            <w:r>
              <w:rPr>
                <w:rFonts w:hint="eastAsia" w:ascii="宋体" w:hAnsi="宋体" w:eastAsia="宋体" w:cs="宋体"/>
                <w:b w:val="0"/>
                <w:bCs/>
                <w:color w:val="auto"/>
                <w:sz w:val="24"/>
                <w:szCs w:val="24"/>
                <w:highlight w:val="none"/>
                <w:lang w:eastAsia="zh-CN"/>
              </w:rPr>
              <w:instrText xml:space="preserve"> HYPERLINK "http://111.20.184.126:8084/BidOpeningHall/bidhall/dqxianyang/login；" </w:instrText>
            </w:r>
            <w:r>
              <w:rPr>
                <w:rFonts w:hint="eastAsia" w:ascii="宋体" w:hAnsi="宋体" w:eastAsia="宋体" w:cs="宋体"/>
                <w:b w:val="0"/>
                <w:bCs/>
                <w:color w:val="auto"/>
                <w:sz w:val="24"/>
                <w:szCs w:val="24"/>
                <w:highlight w:val="none"/>
                <w:lang w:eastAsia="zh-CN"/>
              </w:rPr>
              <w:fldChar w:fldCharType="separate"/>
            </w:r>
            <w:r>
              <w:rPr>
                <w:rStyle w:val="28"/>
                <w:rFonts w:hint="eastAsia" w:ascii="宋体" w:hAnsi="宋体" w:eastAsia="宋体" w:cs="宋体"/>
                <w:b w:val="0"/>
                <w:bCs/>
                <w:color w:val="auto"/>
                <w:sz w:val="24"/>
                <w:szCs w:val="24"/>
                <w:highlight w:val="none"/>
                <w:lang w:eastAsia="zh-CN"/>
              </w:rPr>
              <w:t>http://111.20.184.126:8084/BidOpeningHall/bidhall/dqxianyang/login；</w:t>
            </w:r>
            <w:r>
              <w:rPr>
                <w:rFonts w:hint="eastAsia" w:ascii="宋体" w:hAnsi="宋体" w:eastAsia="宋体" w:cs="宋体"/>
                <w:b w:val="0"/>
                <w:bCs/>
                <w:color w:val="auto"/>
                <w:sz w:val="24"/>
                <w:szCs w:val="24"/>
                <w:highlight w:val="none"/>
                <w:lang w:eastAsia="zh-CN"/>
              </w:rPr>
              <w:fldChar w:fldCharType="end"/>
            </w:r>
          </w:p>
          <w:p w14:paraId="315E0256">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2）在【全国公共资源交易平台（陕西省·榆林市）】网站首页点击不见面开标模块进入；</w:t>
            </w:r>
          </w:p>
          <w:p w14:paraId="28949277">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3）在【全国公共资源交易平台（陕西省）】网站首页点击不见面开标模块选择榆林市进入。</w:t>
            </w:r>
          </w:p>
          <w:p w14:paraId="28578CEB">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注：登录不见面开标系统请选择IE11浏览器</w:t>
            </w:r>
          </w:p>
          <w:p w14:paraId="26BB9379">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2、供应商应按要求及时签到（签到时间为投标截止时间前1小时内，如果未签到将视为放弃投标资格），评审过程中，磋商小组可能会就某些问题要求供应商进行在线澄清，请供应商保持在线直到评审结束；</w:t>
            </w:r>
          </w:p>
          <w:p w14:paraId="4D1C0B3E">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开标过程中，供应商在收到工作人员“开始解密”指令后，请及时使用CA对电子磋商响应文件进行解密。解密时所用CA应与加密磋商响应文件时所用CA相同；注：解密时间为30分钟，在解密时间内供应商全部解密完成后，可提前进入开标下一阶段。</w:t>
            </w:r>
          </w:p>
          <w:p w14:paraId="4881690F">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eastAsia="zh-CN"/>
              </w:rPr>
              <w:t>、相关技术问题，请咨询软件开发商：</w:t>
            </w:r>
          </w:p>
          <w:p w14:paraId="5FFD36E1">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技术支持热线：400-998-0000/400-928-0095</w:t>
            </w:r>
          </w:p>
          <w:p w14:paraId="5C768AC7">
            <w:pPr>
              <w:keepNext w:val="0"/>
              <w:keepLines w:val="0"/>
              <w:widowControl w:val="0"/>
              <w:suppressLineNumbers w:val="0"/>
              <w:spacing w:before="0" w:beforeAutospacing="0" w:after="0" w:afterAutospacing="0" w:line="360" w:lineRule="auto"/>
              <w:ind w:left="0" w:leftChars="0" w:right="0" w:rightChars="0" w:firstLine="48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eastAsia="zh-CN"/>
              </w:rPr>
              <w:t>、榆林不见面开标系统操作手册下载方式：登录【全国公共资源交易平台（陕西省·榆林市）】网站首页选择【服务指南】-【下载专区】-点击【榆林不见面开标系统操作手册（投标人）】进行下载。</w:t>
            </w:r>
          </w:p>
        </w:tc>
      </w:tr>
      <w:tr w14:paraId="0D16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38C8233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w:t>
            </w:r>
          </w:p>
        </w:tc>
        <w:tc>
          <w:tcPr>
            <w:tcW w:w="1969" w:type="dxa"/>
            <w:noWrap w:val="0"/>
            <w:vAlign w:val="center"/>
          </w:tcPr>
          <w:p w14:paraId="6388DD20">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中小企业政策</w:t>
            </w:r>
          </w:p>
        </w:tc>
        <w:tc>
          <w:tcPr>
            <w:tcW w:w="7245" w:type="dxa"/>
            <w:noWrap w:val="0"/>
            <w:vAlign w:val="center"/>
          </w:tcPr>
          <w:p w14:paraId="65BD0E7F">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在政府采购活动中，供应商提供的货物、工程或者服务符合下列情形的，享受《办法》规定的中小企业扶持政策:</w:t>
            </w:r>
          </w:p>
          <w:p w14:paraId="6D2EE4AD">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(一)在货物采购项目中，货物由中小企业制造，即货物由中小企业生产且使用该中小企业商号或者注册商标；</w:t>
            </w:r>
          </w:p>
          <w:p w14:paraId="5C150E94">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(二)在工程采购项目中，工程由中小企业承建，即工程施工单位为中小企业；</w:t>
            </w:r>
          </w:p>
          <w:p w14:paraId="5784C9A1">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(三)在服务采购项目中，服务由中小企业承接，即提供服务的人员为中小企业依照《中华人民共和国民法典》订立劳动合同的从业人员。</w:t>
            </w:r>
          </w:p>
          <w:p w14:paraId="489A46DE">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（1）本项目专门面向</w:t>
            </w:r>
            <w:r>
              <w:rPr>
                <w:rFonts w:hint="eastAsia" w:hAnsi="宋体" w:cs="宋体"/>
                <w:color w:val="auto"/>
                <w:kern w:val="2"/>
                <w:sz w:val="24"/>
                <w:szCs w:val="24"/>
                <w:lang w:val="en-US" w:eastAsia="zh-CN" w:bidi="ar-SA"/>
              </w:rPr>
              <w:t>中小</w:t>
            </w:r>
            <w:r>
              <w:rPr>
                <w:rFonts w:hint="eastAsia" w:ascii="宋体" w:hAnsi="宋体" w:eastAsia="宋体" w:cs="宋体"/>
                <w:color w:val="auto"/>
                <w:kern w:val="2"/>
                <w:sz w:val="24"/>
                <w:szCs w:val="24"/>
                <w:lang w:val="en-US" w:eastAsia="zh-CN" w:bidi="ar-SA"/>
              </w:rPr>
              <w:t>企业采购；</w:t>
            </w:r>
          </w:p>
          <w:p w14:paraId="2BB2916A">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（2）采购标的对应的中小企业划分标准所属行业：建筑业。</w:t>
            </w:r>
          </w:p>
          <w:p w14:paraId="411761DB">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（3）本项目属性：工程类</w:t>
            </w:r>
          </w:p>
          <w:p w14:paraId="72AC4490">
            <w:pPr>
              <w:numPr>
                <w:ilvl w:val="0"/>
                <w:numId w:val="0"/>
              </w:numPr>
              <w:spacing w:line="360" w:lineRule="auto"/>
              <w:ind w:left="0" w:leftChars="0" w:firstLine="482" w:firstLineChars="200"/>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bCs/>
                <w:color w:val="auto"/>
                <w:kern w:val="2"/>
                <w:sz w:val="24"/>
                <w:szCs w:val="24"/>
                <w:lang w:val="en-US" w:eastAsia="zh-CN" w:bidi="ar-SA"/>
              </w:rPr>
              <w:t>中小企业划分标准详见附件二：中小企业划分标准</w:t>
            </w:r>
          </w:p>
        </w:tc>
      </w:tr>
      <w:tr w14:paraId="28136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0946C4A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4</w:t>
            </w:r>
          </w:p>
        </w:tc>
        <w:tc>
          <w:tcPr>
            <w:tcW w:w="1969" w:type="dxa"/>
            <w:noWrap w:val="0"/>
            <w:vAlign w:val="center"/>
          </w:tcPr>
          <w:p w14:paraId="59F0055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其它事项</w:t>
            </w:r>
          </w:p>
        </w:tc>
        <w:tc>
          <w:tcPr>
            <w:tcW w:w="7245" w:type="dxa"/>
            <w:noWrap w:val="0"/>
            <w:vAlign w:val="center"/>
          </w:tcPr>
          <w:p w14:paraId="19F38235">
            <w:pPr>
              <w:numPr>
                <w:ilvl w:val="0"/>
                <w:numId w:val="0"/>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本次采购、磋商报价、评审和合同授予均以项目为单位，投标供应商必须就一个完整项目进行响应。成交供应商与采购人在成交通知书发出</w:t>
            </w:r>
            <w:r>
              <w:rPr>
                <w:rFonts w:hint="eastAsia" w:ascii="宋体" w:hAnsi="宋体" w:eastAsia="宋体" w:cs="宋体"/>
                <w:color w:val="auto"/>
                <w:sz w:val="24"/>
                <w:szCs w:val="24"/>
                <w:lang w:val="en-US" w:eastAsia="zh-CN"/>
              </w:rPr>
              <w:t>10日</w:t>
            </w:r>
            <w:r>
              <w:rPr>
                <w:rFonts w:hint="eastAsia" w:ascii="宋体" w:hAnsi="宋体" w:eastAsia="宋体" w:cs="宋体"/>
                <w:color w:val="auto"/>
                <w:sz w:val="24"/>
                <w:szCs w:val="24"/>
              </w:rPr>
              <w:t>内签订合同，不及时签订视为自动放弃。非经采购人同意，本项目不允许成交后另行转包或者分包。</w:t>
            </w:r>
            <w:r>
              <w:rPr>
                <w:rFonts w:hint="eastAsia" w:ascii="宋体" w:hAnsi="宋体" w:eastAsia="宋体" w:cs="宋体"/>
                <w:color w:val="auto"/>
                <w:kern w:val="0"/>
                <w:sz w:val="24"/>
                <w:szCs w:val="24"/>
              </w:rPr>
              <w:t>成交人无正当理由不得放弃成交。</w:t>
            </w:r>
            <w:r>
              <w:rPr>
                <w:rFonts w:hint="eastAsia" w:ascii="宋体" w:hAnsi="宋体" w:eastAsia="宋体" w:cs="宋体"/>
                <w:color w:val="auto"/>
                <w:sz w:val="24"/>
                <w:szCs w:val="24"/>
              </w:rPr>
              <w:t>因自身原因拒绝签订政府采购合同的或者未按合同约定进行履约的，成交人不得参加对该项目重新开展的招标活动。</w:t>
            </w:r>
          </w:p>
          <w:p w14:paraId="62CC35C1">
            <w:pPr>
              <w:numPr>
                <w:ilvl w:val="0"/>
                <w:numId w:val="0"/>
              </w:num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国办《关于促进中小企业健康发展的指导意见》、财政部</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工信部《政府采购促进中小企业发展</w:t>
            </w:r>
            <w:r>
              <w:rPr>
                <w:rFonts w:hint="eastAsia" w:ascii="宋体" w:hAnsi="宋体" w:eastAsia="宋体" w:cs="宋体"/>
                <w:color w:val="auto"/>
                <w:sz w:val="24"/>
                <w:szCs w:val="24"/>
                <w:lang w:val="en-US" w:eastAsia="zh-CN"/>
              </w:rPr>
              <w:t>管理</w:t>
            </w:r>
            <w:r>
              <w:rPr>
                <w:rFonts w:hint="eastAsia" w:ascii="宋体" w:hAnsi="宋体" w:eastAsia="宋体" w:cs="宋体"/>
                <w:color w:val="auto"/>
                <w:sz w:val="24"/>
                <w:szCs w:val="24"/>
              </w:rPr>
              <w:t>办法》（财库〔20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《陕西省财政厅 中国人民银行西安分行关于深入推进政府采购信用融资业务</w:t>
            </w:r>
            <w:r>
              <w:rPr>
                <w:rFonts w:hint="default" w:ascii="宋体" w:hAnsi="宋体" w:eastAsia="宋体" w:cs="宋体"/>
                <w:color w:val="auto"/>
                <w:sz w:val="24"/>
                <w:szCs w:val="24"/>
                <w:lang w:val="en-US" w:eastAsia="zh-CN"/>
              </w:rPr>
              <w:t>的通知</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（陕财办采〔202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〕5号）等有关规定，按照</w:t>
            </w:r>
            <w:r>
              <w:rPr>
                <w:rFonts w:hint="eastAsia" w:ascii="宋体" w:hAnsi="宋体" w:eastAsia="宋体" w:cs="宋体"/>
                <w:color w:val="auto"/>
                <w:sz w:val="24"/>
                <w:szCs w:val="24"/>
                <w:lang w:val="en-US" w:eastAsia="zh-CN"/>
              </w:rPr>
              <w:t>政府</w:t>
            </w:r>
            <w:r>
              <w:rPr>
                <w:rFonts w:hint="eastAsia" w:ascii="宋体" w:hAnsi="宋体" w:eastAsia="宋体" w:cs="宋体"/>
                <w:color w:val="auto"/>
                <w:sz w:val="24"/>
                <w:szCs w:val="24"/>
              </w:rPr>
              <w:t>引导、</w:t>
            </w:r>
            <w:r>
              <w:rPr>
                <w:rFonts w:hint="eastAsia" w:ascii="宋体" w:hAnsi="宋体" w:eastAsia="宋体" w:cs="宋体"/>
                <w:color w:val="auto"/>
                <w:sz w:val="24"/>
                <w:szCs w:val="24"/>
                <w:lang w:val="en-US" w:eastAsia="zh-CN"/>
              </w:rPr>
              <w:t>市场运作、银企</w:t>
            </w:r>
            <w:r>
              <w:rPr>
                <w:rFonts w:hint="eastAsia" w:ascii="宋体" w:hAnsi="宋体" w:eastAsia="宋体" w:cs="宋体"/>
                <w:color w:val="auto"/>
                <w:sz w:val="24"/>
                <w:szCs w:val="24"/>
              </w:rPr>
              <w:t>自愿、风险自担的原则，中标（成交）供应商可根据自身资金需求，登录陕西省政府采购信用融资平台（http://www.ccgp-shaanxi.gov.cn/zcdservice/zcd/shanxi/）</w:t>
            </w:r>
            <w:r>
              <w:rPr>
                <w:rFonts w:hint="eastAsia" w:ascii="宋体" w:hAnsi="宋体" w:eastAsia="宋体" w:cs="宋体"/>
                <w:color w:val="auto"/>
                <w:sz w:val="24"/>
                <w:szCs w:val="24"/>
                <w:lang w:val="en-US" w:eastAsia="zh-CN"/>
              </w:rPr>
              <w:t>或中征平台（https://www.crcrfsp.com）</w:t>
            </w:r>
            <w:r>
              <w:rPr>
                <w:rFonts w:hint="eastAsia" w:ascii="宋体" w:hAnsi="宋体" w:eastAsia="宋体" w:cs="宋体"/>
                <w:color w:val="auto"/>
                <w:sz w:val="24"/>
                <w:szCs w:val="24"/>
              </w:rPr>
              <w:t>在线申请，依法参加政府采购信用融资活动。</w:t>
            </w:r>
          </w:p>
          <w:tbl>
            <w:tblPr>
              <w:tblStyle w:val="24"/>
              <w:tblW w:w="64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0"/>
              <w:gridCol w:w="713"/>
              <w:gridCol w:w="721"/>
              <w:gridCol w:w="745"/>
              <w:gridCol w:w="753"/>
              <w:gridCol w:w="940"/>
              <w:gridCol w:w="745"/>
              <w:gridCol w:w="1392"/>
            </w:tblGrid>
            <w:tr w14:paraId="1F481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70" w:type="dxa"/>
                  <w:tcBorders>
                    <w:top w:val="nil"/>
                    <w:left w:val="nil"/>
                    <w:bottom w:val="nil"/>
                    <w:right w:val="nil"/>
                  </w:tcBorders>
                  <w:noWrap/>
                  <w:vAlign w:val="center"/>
                </w:tcPr>
                <w:p w14:paraId="654AE51C">
                  <w:pPr>
                    <w:keepNext w:val="0"/>
                    <w:keepLines w:val="0"/>
                    <w:widowControl/>
                    <w:suppressLineNumbers w:val="0"/>
                    <w:jc w:val="both"/>
                    <w:textAlignment w:val="center"/>
                    <w:rPr>
                      <w:rFonts w:hint="eastAsia" w:ascii="楷体" w:hAnsi="楷体" w:eastAsia="楷体" w:cs="楷体"/>
                      <w:i w:val="0"/>
                      <w:iCs w:val="0"/>
                      <w:color w:val="auto"/>
                      <w:kern w:val="0"/>
                      <w:sz w:val="24"/>
                      <w:szCs w:val="24"/>
                      <w:u w:val="none"/>
                      <w:lang w:val="en-US" w:eastAsia="zh-CN" w:bidi="ar"/>
                    </w:rPr>
                  </w:pPr>
                </w:p>
              </w:tc>
              <w:tc>
                <w:tcPr>
                  <w:tcW w:w="6009" w:type="dxa"/>
                  <w:gridSpan w:val="7"/>
                  <w:tcBorders>
                    <w:top w:val="nil"/>
                    <w:left w:val="nil"/>
                    <w:bottom w:val="nil"/>
                    <w:right w:val="nil"/>
                  </w:tcBorders>
                  <w:noWrap/>
                  <w:vAlign w:val="center"/>
                </w:tcPr>
                <w:p w14:paraId="77B3CF18">
                  <w:pPr>
                    <w:keepNext w:val="0"/>
                    <w:keepLines w:val="0"/>
                    <w:widowControl/>
                    <w:suppressLineNumbers w:val="0"/>
                    <w:jc w:val="center"/>
                    <w:textAlignment w:val="center"/>
                    <w:rPr>
                      <w:rFonts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榆林市“政采贷”业务办理银行联系表</w:t>
                  </w:r>
                </w:p>
              </w:tc>
            </w:tr>
            <w:tr w14:paraId="14077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53A5D0FD">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序号</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5A1F9B28">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银行名称</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0710DA5B">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产品名称</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51BDA272">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贷款额度</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1A7354BE">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贷款期限</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62CDF63F">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贷款利率</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2A998969">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办理时效</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F6A2060">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联系人</w:t>
                  </w:r>
                </w:p>
              </w:tc>
            </w:tr>
            <w:tr w14:paraId="74D91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2010E3A7">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15A1714A">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长安银行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0B1BAC8C">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政采贷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5A9A0B09">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752AF6D9">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1-3年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71F1757">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41EB54A0">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72小时</w:t>
                  </w:r>
                </w:p>
              </w:tc>
              <w:tc>
                <w:tcPr>
                  <w:tcW w:w="1392" w:type="dxa"/>
                  <w:tcBorders>
                    <w:top w:val="single" w:color="000000" w:sz="4" w:space="0"/>
                    <w:left w:val="single" w:color="000000" w:sz="4" w:space="0"/>
                    <w:bottom w:val="single" w:color="000000" w:sz="4" w:space="0"/>
                    <w:right w:val="single" w:color="000000" w:sz="4" w:space="0"/>
                  </w:tcBorders>
                  <w:noWrap w:val="0"/>
                  <w:vAlign w:val="center"/>
                </w:tcPr>
                <w:p w14:paraId="02980905">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魏  众15109123951</w:t>
                  </w:r>
                </w:p>
              </w:tc>
            </w:tr>
            <w:tr w14:paraId="77E02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277F2E68">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2</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4C718827">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中信银行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3054C264">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政采E贷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C59D5A9">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2794EEDC">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1-3年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7F6A133">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3.45%起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5E1D3EC0">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24小时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DF62235">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高  明18992218795</w:t>
                  </w:r>
                </w:p>
              </w:tc>
            </w:tr>
            <w:tr w14:paraId="12E0D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3F4BC51E">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3</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3E4AFCEC">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光大银行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43421662">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政采贷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6383179E">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006E3C04">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1-3年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13948CD8">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3.3%</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2F75C489">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72小时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0FD1661">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尹皓永18791214448</w:t>
                  </w:r>
                </w:p>
              </w:tc>
            </w:tr>
            <w:tr w14:paraId="42455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43C242A1">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4</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1A950110">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中国银行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705F4B02">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政采贷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75634857">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2F83B4A0">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1-3年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6E0C04F">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3.45%</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7A07C154">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72小时</w:t>
                  </w:r>
                </w:p>
              </w:tc>
              <w:tc>
                <w:tcPr>
                  <w:tcW w:w="1392" w:type="dxa"/>
                  <w:tcBorders>
                    <w:top w:val="single" w:color="000000" w:sz="4" w:space="0"/>
                    <w:left w:val="single" w:color="000000" w:sz="4" w:space="0"/>
                    <w:bottom w:val="single" w:color="000000" w:sz="4" w:space="0"/>
                    <w:right w:val="single" w:color="000000" w:sz="4" w:space="0"/>
                  </w:tcBorders>
                  <w:noWrap w:val="0"/>
                  <w:vAlign w:val="center"/>
                </w:tcPr>
                <w:p w14:paraId="27958E67">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李  浩18691230007</w:t>
                  </w:r>
                </w:p>
              </w:tc>
            </w:tr>
            <w:tr w14:paraId="2289D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3265D6DD">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5</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42F2ED24">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招商银行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3189C395">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政采贷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69D31FAA">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0BC4E883">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1-3年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5B0A52A1">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3.45%起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244AFD83">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24小时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58FE690">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马  烨15596100007</w:t>
                  </w:r>
                </w:p>
              </w:tc>
            </w:tr>
            <w:tr w14:paraId="0D90B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01E55784">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6</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786C8390">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浦发银行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3723D65E">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政采E贷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667DB610">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1DD3374C">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35D856AF">
                  <w:pPr>
                    <w:keepNext w:val="0"/>
                    <w:keepLines w:val="0"/>
                    <w:widowControl/>
                    <w:suppressLineNumbers w:val="0"/>
                    <w:jc w:val="center"/>
                    <w:textAlignment w:val="center"/>
                    <w:rPr>
                      <w:rFonts w:hint="default" w:ascii="楷体" w:hAnsi="楷体" w:eastAsia="楷体" w:cs="楷体"/>
                      <w:i w:val="0"/>
                      <w:iCs w:val="0"/>
                      <w:color w:val="auto"/>
                      <w:sz w:val="24"/>
                      <w:szCs w:val="24"/>
                      <w:u w:val="none"/>
                      <w:lang w:val="en-US"/>
                    </w:rPr>
                  </w:pPr>
                  <w:r>
                    <w:rPr>
                      <w:rFonts w:hint="eastAsia" w:ascii="楷体" w:hAnsi="楷体" w:eastAsia="楷体" w:cs="楷体"/>
                      <w:i w:val="0"/>
                      <w:iCs w:val="0"/>
                      <w:color w:val="auto"/>
                      <w:kern w:val="0"/>
                      <w:sz w:val="24"/>
                      <w:szCs w:val="24"/>
                      <w:u w:val="none"/>
                      <w:lang w:val="en-US" w:eastAsia="zh-CN" w:bidi="ar"/>
                    </w:rPr>
                    <w:t>3.45%起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37CD0D9E">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72小时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40F7DC1">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朱  君15629169158</w:t>
                  </w:r>
                </w:p>
              </w:tc>
            </w:tr>
            <w:tr w14:paraId="5A866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1EC25B33">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7</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1394E1DC">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农商银行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5FB8DD95">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政采贷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F635130">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53660348">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1-2年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7F3D0C9E">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3.45%-5.8%</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76E6065F">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24小时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D8485B9">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王  璐15529875056</w:t>
                  </w:r>
                </w:p>
              </w:tc>
            </w:tr>
            <w:tr w14:paraId="2CDD7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34512F9B">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8</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66162885">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农业银行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210DBCEB">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政采贷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3FEB046A">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21E77423">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4110E287">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3.1%</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F5E03B2">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24小时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806BC7E">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王  真15009226862</w:t>
                  </w:r>
                </w:p>
              </w:tc>
            </w:tr>
            <w:tr w14:paraId="6B322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6072E213">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9</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6A7883C6">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民生银行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4CCFE862">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政采E贷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1D2E257">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084E7183">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1年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04F25E96">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3.45%起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26C42556">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24小时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F2B730D">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郝双双15991225850</w:t>
                  </w:r>
                </w:p>
              </w:tc>
            </w:tr>
            <w:tr w14:paraId="04A13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06FE7D64">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10</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4883F57F">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兴业银行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01E63F1C">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政采贷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649637A6">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3E5B7618">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1年期</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EFA356C">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3.4%</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3BB6C32">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72小时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B910111">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薛万隆18709258523</w:t>
                  </w:r>
                </w:p>
              </w:tc>
            </w:tr>
            <w:tr w14:paraId="48330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30615CC7">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11</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31C19920">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广发银行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13D7F787">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政采通</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000FB6C0">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589ED97D">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2E058F22">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3.45%起</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5558ADDF">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24小时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3553B84">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李思嘉15191820101</w:t>
                  </w:r>
                </w:p>
              </w:tc>
            </w:tr>
            <w:tr w14:paraId="23917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470" w:type="dxa"/>
                  <w:tcBorders>
                    <w:top w:val="single" w:color="000000" w:sz="4" w:space="0"/>
                    <w:left w:val="single" w:color="000000" w:sz="4" w:space="0"/>
                    <w:bottom w:val="single" w:color="000000" w:sz="4" w:space="0"/>
                    <w:right w:val="single" w:color="000000" w:sz="4" w:space="0"/>
                  </w:tcBorders>
                  <w:noWrap/>
                  <w:vAlign w:val="center"/>
                </w:tcPr>
                <w:p w14:paraId="1E3C2EFB">
                  <w:pPr>
                    <w:keepNext w:val="0"/>
                    <w:keepLines w:val="0"/>
                    <w:widowControl/>
                    <w:suppressLineNumbers w:val="0"/>
                    <w:jc w:val="center"/>
                    <w:textAlignment w:val="center"/>
                    <w:rPr>
                      <w:rFonts w:hint="default"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12</w:t>
                  </w:r>
                </w:p>
              </w:tc>
              <w:tc>
                <w:tcPr>
                  <w:tcW w:w="713" w:type="dxa"/>
                  <w:tcBorders>
                    <w:top w:val="single" w:color="000000" w:sz="4" w:space="0"/>
                    <w:left w:val="single" w:color="000000" w:sz="4" w:space="0"/>
                    <w:bottom w:val="single" w:color="000000" w:sz="4" w:space="0"/>
                    <w:right w:val="single" w:color="000000" w:sz="4" w:space="0"/>
                  </w:tcBorders>
                  <w:noWrap/>
                  <w:vAlign w:val="center"/>
                </w:tcPr>
                <w:p w14:paraId="451090F9">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建设银行</w:t>
                  </w:r>
                </w:p>
              </w:tc>
              <w:tc>
                <w:tcPr>
                  <w:tcW w:w="721" w:type="dxa"/>
                  <w:tcBorders>
                    <w:top w:val="single" w:color="000000" w:sz="4" w:space="0"/>
                    <w:left w:val="single" w:color="000000" w:sz="4" w:space="0"/>
                    <w:bottom w:val="single" w:color="000000" w:sz="4" w:space="0"/>
                    <w:right w:val="single" w:color="000000" w:sz="4" w:space="0"/>
                  </w:tcBorders>
                  <w:noWrap/>
                  <w:vAlign w:val="center"/>
                </w:tcPr>
                <w:p w14:paraId="20DDC1BF">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E政通</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6856CB08">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1000万元</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09CDAD2C">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1年</w:t>
                  </w:r>
                </w:p>
              </w:tc>
              <w:tc>
                <w:tcPr>
                  <w:tcW w:w="940" w:type="dxa"/>
                  <w:tcBorders>
                    <w:top w:val="single" w:color="000000" w:sz="4" w:space="0"/>
                    <w:left w:val="single" w:color="000000" w:sz="4" w:space="0"/>
                    <w:bottom w:val="single" w:color="000000" w:sz="4" w:space="0"/>
                    <w:right w:val="single" w:color="000000" w:sz="4" w:space="0"/>
                  </w:tcBorders>
                  <w:noWrap/>
                  <w:vAlign w:val="center"/>
                </w:tcPr>
                <w:p w14:paraId="63762260">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3.2%</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7EC91FD0">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72小时</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51411B3">
                  <w:pPr>
                    <w:keepNext w:val="0"/>
                    <w:keepLines w:val="0"/>
                    <w:widowControl/>
                    <w:suppressLineNumbers w:val="0"/>
                    <w:jc w:val="center"/>
                    <w:textAlignment w:val="center"/>
                    <w:rPr>
                      <w:rFonts w:hint="eastAsia" w:ascii="楷体" w:hAnsi="楷体" w:eastAsia="楷体" w:cs="楷体"/>
                      <w:i w:val="0"/>
                      <w:iCs w:val="0"/>
                      <w:color w:val="auto"/>
                      <w:kern w:val="0"/>
                      <w:sz w:val="24"/>
                      <w:szCs w:val="24"/>
                      <w:u w:val="none"/>
                      <w:lang w:val="en-US" w:eastAsia="zh-CN" w:bidi="ar"/>
                    </w:rPr>
                  </w:pPr>
                  <w:r>
                    <w:rPr>
                      <w:rFonts w:hint="eastAsia" w:ascii="楷体" w:hAnsi="楷体" w:eastAsia="楷体" w:cs="楷体"/>
                      <w:i w:val="0"/>
                      <w:iCs w:val="0"/>
                      <w:color w:val="auto"/>
                      <w:kern w:val="0"/>
                      <w:sz w:val="24"/>
                      <w:szCs w:val="24"/>
                      <w:u w:val="none"/>
                      <w:lang w:val="en-US" w:eastAsia="zh-CN" w:bidi="ar"/>
                    </w:rPr>
                    <w:t>张 宇 15929397838</w:t>
                  </w:r>
                </w:p>
              </w:tc>
            </w:tr>
          </w:tbl>
          <w:p w14:paraId="2B391300">
            <w:pPr>
              <w:adjustRightInd w:val="0"/>
              <w:snapToGrid w:val="0"/>
              <w:spacing w:line="360" w:lineRule="auto"/>
              <w:ind w:left="480" w:leftChars="200" w:firstLine="0" w:firstLineChars="0"/>
              <w:rPr>
                <w:rFonts w:hint="eastAsia" w:ascii="宋体" w:hAnsi="宋体" w:eastAsia="宋体" w:cs="宋体"/>
                <w:b w:val="0"/>
                <w:bCs/>
                <w:color w:val="auto"/>
                <w:sz w:val="24"/>
                <w:szCs w:val="24"/>
                <w:highlight w:val="none"/>
                <w:lang w:val="en-US" w:eastAsia="zh-CN"/>
              </w:rPr>
            </w:pPr>
            <w:r>
              <w:rPr>
                <w:rFonts w:hint="eastAsia" w:ascii="宋体" w:hAnsi="宋体" w:eastAsia="宋体" w:cs="宋体"/>
                <w:i w:val="0"/>
                <w:iCs w:val="0"/>
                <w:color w:val="auto"/>
                <w:kern w:val="0"/>
                <w:sz w:val="24"/>
                <w:szCs w:val="24"/>
                <w:u w:val="none"/>
                <w:lang w:val="en-US" w:eastAsia="zh-CN" w:bidi="ar"/>
              </w:rPr>
              <w:t>备注：银行排名不分先后。如产品额度、期限、利率等内容发生改变，以银行解释为准。</w:t>
            </w:r>
          </w:p>
        </w:tc>
      </w:tr>
      <w:tr w14:paraId="3162E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29439A8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5</w:t>
            </w:r>
          </w:p>
        </w:tc>
        <w:tc>
          <w:tcPr>
            <w:tcW w:w="1969" w:type="dxa"/>
            <w:noWrap w:val="0"/>
            <w:vAlign w:val="center"/>
          </w:tcPr>
          <w:p w14:paraId="663310B6">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信用查询</w:t>
            </w:r>
          </w:p>
        </w:tc>
        <w:tc>
          <w:tcPr>
            <w:tcW w:w="7245" w:type="dxa"/>
            <w:noWrap w:val="0"/>
            <w:vAlign w:val="center"/>
          </w:tcPr>
          <w:p w14:paraId="6E0E1721">
            <w:pPr>
              <w:keepNext w:val="0"/>
              <w:keepLines w:val="0"/>
              <w:widowControl w:val="0"/>
              <w:suppressLineNumbers w:val="0"/>
              <w:spacing w:before="0" w:beforeAutospacing="0" w:after="0" w:afterAutospacing="0" w:line="360" w:lineRule="auto"/>
              <w:ind w:left="0" w:leftChars="0" w:right="0" w:rightChars="0"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信用查询：根据《财政部关于在政府采购活动中查询及使用信用记录有关问题的通知》采购人、采购代理机构在资格审查时对供应商信用记录进行查询。供应商存在不良行为记录的，拒绝其参加政府采购活动。</w:t>
            </w:r>
          </w:p>
        </w:tc>
      </w:tr>
      <w:tr w14:paraId="2A59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14:paraId="2137DD3F">
            <w:pPr>
              <w:spacing w:line="360" w:lineRule="auto"/>
              <w:jc w:val="center"/>
              <w:rPr>
                <w:rFonts w:hint="eastAsia" w:ascii="宋体" w:hAnsi="宋体" w:eastAsia="宋体" w:cs="宋体"/>
                <w:color w:val="auto"/>
                <w:sz w:val="24"/>
                <w:szCs w:val="24"/>
                <w:lang w:val="en-US" w:eastAsia="zh-CN"/>
              </w:rPr>
            </w:pPr>
          </w:p>
        </w:tc>
        <w:tc>
          <w:tcPr>
            <w:tcW w:w="1969" w:type="dxa"/>
            <w:noWrap w:val="0"/>
            <w:vAlign w:val="center"/>
          </w:tcPr>
          <w:p w14:paraId="3688B485">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评标办法及标准</w:t>
            </w:r>
          </w:p>
        </w:tc>
        <w:tc>
          <w:tcPr>
            <w:tcW w:w="7245" w:type="dxa"/>
            <w:noWrap w:val="0"/>
            <w:vAlign w:val="center"/>
          </w:tcPr>
          <w:p w14:paraId="1F482AC3">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详见第六章 评标办法</w:t>
            </w:r>
          </w:p>
        </w:tc>
      </w:tr>
    </w:tbl>
    <w:p w14:paraId="0C1A8377">
      <w:pPr>
        <w:spacing w:line="360" w:lineRule="auto"/>
        <w:rPr>
          <w:rFonts w:hint="eastAsia" w:ascii="宋体" w:hAnsi="宋体" w:eastAsia="宋体" w:cs="宋体"/>
          <w:color w:val="auto"/>
          <w:szCs w:val="24"/>
        </w:rPr>
      </w:pPr>
      <w:r>
        <w:rPr>
          <w:rFonts w:hint="eastAsia" w:ascii="宋体" w:hAnsi="宋体" w:eastAsia="宋体" w:cs="宋体"/>
          <w:color w:val="auto"/>
          <w:szCs w:val="24"/>
        </w:rPr>
        <w:t>本项目招标依据《中华人民共和国政府采购法》等有关法律法规及规定。</w:t>
      </w:r>
    </w:p>
    <w:p w14:paraId="14C75C6B">
      <w:pPr>
        <w:rPr>
          <w:rFonts w:hint="eastAsia" w:ascii="宋体" w:hAnsi="宋体" w:eastAsia="宋体" w:cs="宋体"/>
          <w:color w:val="auto"/>
        </w:rPr>
      </w:pPr>
    </w:p>
    <w:p w14:paraId="794493C1">
      <w:pPr>
        <w:spacing w:line="360" w:lineRule="auto"/>
        <w:jc w:val="center"/>
        <w:rPr>
          <w:rFonts w:hint="eastAsia" w:ascii="宋体" w:hAnsi="宋体" w:eastAsia="宋体" w:cs="宋体"/>
          <w:b/>
          <w:color w:val="auto"/>
          <w:sz w:val="28"/>
          <w:szCs w:val="28"/>
        </w:rPr>
        <w:sectPr>
          <w:footerReference r:id="rId4" w:type="default"/>
          <w:pgSz w:w="11900" w:h="16838"/>
          <w:pgMar w:top="1332" w:right="1588" w:bottom="1417" w:left="1672" w:header="680" w:footer="680" w:gutter="0"/>
          <w:pgNumType w:fmt="decimal" w:start="1"/>
          <w:cols w:space="0" w:num="1"/>
          <w:rtlGutter w:val="0"/>
          <w:docGrid w:linePitch="312" w:charSpace="0"/>
        </w:sectPr>
      </w:pPr>
    </w:p>
    <w:p w14:paraId="14D85678">
      <w:pPr>
        <w:spacing w:line="360" w:lineRule="auto"/>
        <w:jc w:val="center"/>
        <w:rPr>
          <w:rFonts w:hint="eastAsia" w:ascii="宋体" w:hAnsi="宋体" w:eastAsia="宋体" w:cs="宋体"/>
          <w:b/>
          <w:color w:val="auto"/>
          <w:szCs w:val="24"/>
        </w:rPr>
      </w:pPr>
      <w:r>
        <w:rPr>
          <w:rFonts w:hint="eastAsia" w:ascii="宋体" w:hAnsi="宋体" w:eastAsia="宋体" w:cs="宋体"/>
          <w:b/>
          <w:color w:val="auto"/>
          <w:sz w:val="28"/>
          <w:szCs w:val="28"/>
        </w:rPr>
        <w:t>（一）总则</w:t>
      </w:r>
    </w:p>
    <w:p w14:paraId="11C7E766">
      <w:pPr>
        <w:spacing w:line="360" w:lineRule="auto"/>
        <w:rPr>
          <w:rFonts w:hint="eastAsia" w:ascii="宋体" w:hAnsi="宋体" w:eastAsia="宋体" w:cs="宋体"/>
          <w:color w:val="auto"/>
          <w:szCs w:val="24"/>
        </w:rPr>
      </w:pPr>
      <w:r>
        <w:rPr>
          <w:rFonts w:hint="eastAsia" w:ascii="宋体" w:hAnsi="宋体" w:eastAsia="宋体" w:cs="宋体"/>
          <w:color w:val="auto"/>
          <w:szCs w:val="24"/>
        </w:rPr>
        <w:t>1、适用范围：本竞争性磋商文件仅适用于本项目的招标。</w:t>
      </w:r>
    </w:p>
    <w:p w14:paraId="2E96D446">
      <w:pPr>
        <w:spacing w:line="360" w:lineRule="auto"/>
        <w:rPr>
          <w:rFonts w:hint="eastAsia" w:ascii="宋体" w:hAnsi="宋体" w:eastAsia="宋体" w:cs="宋体"/>
          <w:color w:val="auto"/>
          <w:szCs w:val="24"/>
        </w:rPr>
      </w:pPr>
      <w:r>
        <w:rPr>
          <w:rFonts w:hint="eastAsia" w:ascii="宋体" w:hAnsi="宋体" w:eastAsia="宋体" w:cs="宋体"/>
          <w:color w:val="auto"/>
          <w:szCs w:val="24"/>
        </w:rPr>
        <w:t>2、名词解释：</w:t>
      </w:r>
    </w:p>
    <w:p w14:paraId="723ABDB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Cs w:val="24"/>
        </w:rPr>
        <w:t>2.1采购人：</w:t>
      </w:r>
      <w:r>
        <w:rPr>
          <w:rFonts w:hint="eastAsia" w:ascii="宋体" w:hAnsi="宋体" w:cs="宋体"/>
          <w:color w:val="auto"/>
          <w:sz w:val="24"/>
          <w:szCs w:val="24"/>
          <w:lang w:eastAsia="zh-CN"/>
        </w:rPr>
        <w:t>米脂县第三中学</w:t>
      </w:r>
    </w:p>
    <w:p w14:paraId="2D7FCF8E">
      <w:pPr>
        <w:spacing w:line="360" w:lineRule="auto"/>
        <w:ind w:firstLine="480" w:firstLineChars="200"/>
        <w:rPr>
          <w:rFonts w:hint="eastAsia" w:ascii="宋体" w:hAnsi="宋体" w:eastAsia="宋体" w:cs="宋体"/>
          <w:color w:val="auto"/>
          <w:szCs w:val="24"/>
          <w:lang w:eastAsia="zh-CN"/>
        </w:rPr>
      </w:pPr>
      <w:r>
        <w:rPr>
          <w:rFonts w:hint="eastAsia" w:ascii="宋体" w:hAnsi="宋体" w:eastAsia="宋体" w:cs="宋体"/>
          <w:color w:val="auto"/>
          <w:szCs w:val="24"/>
        </w:rPr>
        <w:t>2.2采购代理机构：</w:t>
      </w:r>
      <w:r>
        <w:rPr>
          <w:rFonts w:hint="eastAsia" w:ascii="宋体" w:hAnsi="宋体" w:eastAsia="宋体" w:cs="宋体"/>
          <w:color w:val="auto"/>
          <w:szCs w:val="24"/>
          <w:lang w:eastAsia="zh-CN"/>
        </w:rPr>
        <w:t>榆林腾达建诚信息咨询有限公司</w:t>
      </w:r>
    </w:p>
    <w:p w14:paraId="51E9EDFE">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2.3供应商：响应招标并且符合磋商文件规定资格条件和参加竞争的供应商</w:t>
      </w:r>
    </w:p>
    <w:p w14:paraId="18A13B06">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2.4项目：指磋商文件规定供应商须承担的</w:t>
      </w:r>
      <w:r>
        <w:rPr>
          <w:rFonts w:hint="eastAsia" w:ascii="宋体" w:hAnsi="宋体" w:cs="宋体"/>
          <w:color w:val="auto"/>
          <w:szCs w:val="24"/>
          <w:lang w:eastAsia="zh-CN"/>
        </w:rPr>
        <w:t>米脂县第三中学消防改造工程</w:t>
      </w:r>
      <w:r>
        <w:rPr>
          <w:rFonts w:hint="eastAsia" w:ascii="宋体" w:hAnsi="宋体" w:eastAsia="宋体" w:cs="宋体"/>
          <w:color w:val="auto"/>
          <w:szCs w:val="24"/>
        </w:rPr>
        <w:t>的相关工作。</w:t>
      </w:r>
    </w:p>
    <w:p w14:paraId="672B8FB9">
      <w:pPr>
        <w:spacing w:line="360" w:lineRule="auto"/>
        <w:rPr>
          <w:rFonts w:hint="eastAsia" w:ascii="宋体" w:hAnsi="宋体" w:eastAsia="宋体" w:cs="宋体"/>
          <w:color w:val="auto"/>
          <w:szCs w:val="24"/>
        </w:rPr>
      </w:pPr>
      <w:r>
        <w:rPr>
          <w:rFonts w:hint="eastAsia" w:ascii="宋体" w:hAnsi="宋体" w:eastAsia="宋体" w:cs="宋体"/>
          <w:color w:val="auto"/>
          <w:szCs w:val="24"/>
        </w:rPr>
        <w:t>3、合格的供应商</w:t>
      </w:r>
    </w:p>
    <w:p w14:paraId="5F80F046">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3.1满足磋商中对供应商所提出的全部要求。</w:t>
      </w:r>
    </w:p>
    <w:p w14:paraId="52FBDF03">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3.2供应商应</w:t>
      </w:r>
      <w:r>
        <w:rPr>
          <w:rFonts w:hint="eastAsia" w:ascii="宋体" w:hAnsi="宋体" w:eastAsia="宋体" w:cs="宋体"/>
          <w:color w:val="auto"/>
          <w:szCs w:val="24"/>
          <w:lang w:eastAsia="zh-CN"/>
        </w:rPr>
        <w:t>登</w:t>
      </w:r>
      <w:r>
        <w:rPr>
          <w:rFonts w:hint="eastAsia" w:ascii="宋体" w:hAnsi="宋体" w:eastAsia="宋体" w:cs="宋体"/>
          <w:i w:val="0"/>
          <w:iCs w:val="0"/>
          <w:caps w:val="0"/>
          <w:color w:val="auto"/>
          <w:spacing w:val="0"/>
          <w:sz w:val="24"/>
          <w:szCs w:val="24"/>
          <w:shd w:val="clear" w:color="auto" w:fill="FFFFFF"/>
        </w:rPr>
        <w:t>录全国公共资源交易中心平台（陕西省）使用CA锁报名后自行下载</w:t>
      </w:r>
      <w:r>
        <w:rPr>
          <w:rFonts w:hint="eastAsia" w:ascii="宋体" w:hAnsi="宋体" w:eastAsia="宋体" w:cs="宋体"/>
          <w:color w:val="auto"/>
          <w:szCs w:val="24"/>
          <w:lang w:eastAsia="zh-CN"/>
        </w:rPr>
        <w:t>获取</w:t>
      </w:r>
      <w:r>
        <w:rPr>
          <w:rFonts w:hint="eastAsia" w:ascii="宋体" w:hAnsi="宋体" w:eastAsia="宋体" w:cs="宋体"/>
          <w:color w:val="auto"/>
          <w:szCs w:val="24"/>
        </w:rPr>
        <w:t>磋商文件，其他未</w:t>
      </w:r>
      <w:r>
        <w:rPr>
          <w:rFonts w:hint="eastAsia" w:ascii="宋体" w:hAnsi="宋体" w:eastAsia="宋体" w:cs="宋体"/>
          <w:color w:val="auto"/>
          <w:szCs w:val="24"/>
          <w:lang w:eastAsia="zh-CN"/>
        </w:rPr>
        <w:t>获取</w:t>
      </w:r>
      <w:r>
        <w:rPr>
          <w:rFonts w:hint="eastAsia" w:ascii="宋体" w:hAnsi="宋体" w:eastAsia="宋体" w:cs="宋体"/>
          <w:color w:val="auto"/>
          <w:szCs w:val="24"/>
        </w:rPr>
        <w:t>磋商文件的潜在供应商均无资格参加本次磋商。</w:t>
      </w:r>
    </w:p>
    <w:p w14:paraId="1712ACAE">
      <w:pPr>
        <w:spacing w:line="360" w:lineRule="auto"/>
        <w:rPr>
          <w:rFonts w:hint="eastAsia" w:ascii="宋体" w:hAnsi="宋体" w:eastAsia="宋体" w:cs="宋体"/>
          <w:color w:val="auto"/>
          <w:szCs w:val="24"/>
        </w:rPr>
      </w:pPr>
      <w:r>
        <w:rPr>
          <w:rFonts w:hint="eastAsia" w:ascii="宋体" w:hAnsi="宋体" w:eastAsia="宋体" w:cs="宋体"/>
          <w:color w:val="auto"/>
          <w:szCs w:val="24"/>
        </w:rPr>
        <w:t>4、保密</w:t>
      </w:r>
    </w:p>
    <w:p w14:paraId="6F22B719">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 xml:space="preserve">参与磋商活动的各方应对磋商文件和响应文件中的商业和技术等秘密保密，违者应对由此造成的后果承担法律责任。 </w:t>
      </w:r>
    </w:p>
    <w:p w14:paraId="3443D7A8">
      <w:pPr>
        <w:spacing w:line="360" w:lineRule="auto"/>
        <w:rPr>
          <w:rFonts w:hint="eastAsia" w:ascii="宋体" w:hAnsi="宋体" w:eastAsia="宋体" w:cs="宋体"/>
          <w:color w:val="auto"/>
          <w:szCs w:val="24"/>
        </w:rPr>
      </w:pPr>
      <w:bookmarkStart w:id="23" w:name="_Toc246928899"/>
      <w:bookmarkStart w:id="24" w:name="_Toc394934414"/>
      <w:r>
        <w:rPr>
          <w:rFonts w:hint="eastAsia" w:ascii="宋体" w:hAnsi="宋体" w:eastAsia="宋体" w:cs="宋体"/>
          <w:color w:val="auto"/>
          <w:szCs w:val="24"/>
        </w:rPr>
        <w:t>5、费用</w:t>
      </w:r>
      <w:bookmarkEnd w:id="23"/>
      <w:bookmarkEnd w:id="24"/>
    </w:p>
    <w:p w14:paraId="65CBD968">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供应商应承担所有与编写和提交响应文件有关的费用，无论磋商过程中的做法和结果如何，采购人在任何情况下均无义务和责任承担这些费用。</w:t>
      </w:r>
    </w:p>
    <w:p w14:paraId="2A3C3D15">
      <w:pPr>
        <w:spacing w:line="360" w:lineRule="auto"/>
        <w:jc w:val="center"/>
        <w:rPr>
          <w:rFonts w:hint="eastAsia" w:ascii="宋体" w:hAnsi="宋体" w:eastAsia="宋体" w:cs="宋体"/>
          <w:b/>
          <w:color w:val="auto"/>
          <w:szCs w:val="24"/>
        </w:rPr>
      </w:pPr>
      <w:r>
        <w:rPr>
          <w:rFonts w:hint="eastAsia" w:ascii="宋体" w:hAnsi="宋体" w:eastAsia="宋体" w:cs="宋体"/>
          <w:b/>
          <w:color w:val="auto"/>
          <w:szCs w:val="24"/>
        </w:rPr>
        <w:t>（二）磋商文件说明</w:t>
      </w:r>
    </w:p>
    <w:p w14:paraId="211F2777">
      <w:pPr>
        <w:spacing w:line="360" w:lineRule="auto"/>
        <w:rPr>
          <w:rFonts w:hint="eastAsia" w:ascii="宋体" w:hAnsi="宋体" w:eastAsia="宋体" w:cs="宋体"/>
          <w:color w:val="auto"/>
          <w:szCs w:val="24"/>
        </w:rPr>
      </w:pPr>
      <w:r>
        <w:rPr>
          <w:rFonts w:hint="eastAsia" w:ascii="宋体" w:hAnsi="宋体" w:eastAsia="宋体" w:cs="宋体"/>
          <w:color w:val="auto"/>
          <w:szCs w:val="24"/>
        </w:rPr>
        <w:t>6、磋商文件的组成</w:t>
      </w:r>
    </w:p>
    <w:p w14:paraId="2B0A0EA3">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6.1磋商文件依据本项目的特点及需求编制，具体包括以下内容：</w:t>
      </w:r>
    </w:p>
    <w:p w14:paraId="166DD0EB">
      <w:pPr>
        <w:spacing w:line="360" w:lineRule="auto"/>
        <w:ind w:firstLine="480" w:firstLineChars="200"/>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（1）竞争性磋商公告</w:t>
      </w:r>
    </w:p>
    <w:p w14:paraId="57F8840E">
      <w:pPr>
        <w:spacing w:line="360" w:lineRule="auto"/>
        <w:ind w:firstLine="480" w:firstLineChars="200"/>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（2）供应商须知</w:t>
      </w:r>
    </w:p>
    <w:p w14:paraId="414BC6CF">
      <w:pPr>
        <w:spacing w:line="360" w:lineRule="auto"/>
        <w:ind w:firstLine="480" w:firstLineChars="200"/>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（3）商务要求</w:t>
      </w:r>
    </w:p>
    <w:p w14:paraId="00B02707">
      <w:pPr>
        <w:spacing w:line="360" w:lineRule="auto"/>
        <w:ind w:firstLine="480" w:firstLineChars="200"/>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（4）合同条款及格式</w:t>
      </w:r>
    </w:p>
    <w:p w14:paraId="16AB0EA2">
      <w:pPr>
        <w:spacing w:line="360" w:lineRule="auto"/>
        <w:ind w:firstLine="480" w:firstLineChars="200"/>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（5）采购内容及技术要求</w:t>
      </w:r>
    </w:p>
    <w:p w14:paraId="72B7A0AB">
      <w:pPr>
        <w:spacing w:line="360" w:lineRule="auto"/>
        <w:ind w:firstLine="480" w:firstLineChars="200"/>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（6）评标办法</w:t>
      </w:r>
    </w:p>
    <w:p w14:paraId="4047BEE4">
      <w:pPr>
        <w:spacing w:line="360" w:lineRule="auto"/>
        <w:ind w:firstLine="480" w:firstLineChars="200"/>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（7）响应文件格式</w:t>
      </w:r>
    </w:p>
    <w:p w14:paraId="257E2A0C">
      <w:pPr>
        <w:spacing w:line="360" w:lineRule="auto"/>
        <w:rPr>
          <w:rFonts w:hint="eastAsia" w:ascii="宋体" w:hAnsi="宋体" w:eastAsia="宋体" w:cs="宋体"/>
          <w:color w:val="auto"/>
          <w:szCs w:val="24"/>
        </w:rPr>
      </w:pPr>
      <w:r>
        <w:rPr>
          <w:rFonts w:hint="eastAsia" w:ascii="宋体" w:hAnsi="宋体" w:eastAsia="宋体" w:cs="宋体"/>
          <w:color w:val="auto"/>
          <w:szCs w:val="24"/>
        </w:rPr>
        <w:t>7、磋商文件的澄清及修改</w:t>
      </w:r>
    </w:p>
    <w:p w14:paraId="4DA1D564">
      <w:pPr>
        <w:spacing w:line="360" w:lineRule="auto"/>
        <w:ind w:firstLine="480" w:firstLineChars="200"/>
        <w:rPr>
          <w:rFonts w:hint="eastAsia" w:ascii="宋体" w:hAnsi="宋体" w:eastAsia="宋体" w:cs="宋体"/>
          <w:b/>
          <w:color w:val="auto"/>
          <w:szCs w:val="24"/>
          <w:bdr w:val="single" w:color="auto" w:sz="4" w:space="0"/>
        </w:rPr>
      </w:pPr>
      <w:r>
        <w:rPr>
          <w:rFonts w:hint="eastAsia" w:ascii="宋体" w:hAnsi="宋体" w:eastAsia="宋体" w:cs="宋体"/>
          <w:color w:val="auto"/>
          <w:szCs w:val="24"/>
        </w:rPr>
        <w:t>7.1任何要求对磋商文件进行澄清的供应商，均应在磋商截止期五日前按磋商文件中的通讯地址以书面形式通知采购代理机构，采购代理机构对收到的书面澄清将以书面形式在磋商截止期三日前予以答复，并通知其它</w:t>
      </w:r>
      <w:r>
        <w:rPr>
          <w:rFonts w:hint="eastAsia" w:ascii="宋体" w:hAnsi="宋体" w:eastAsia="宋体" w:cs="宋体"/>
          <w:color w:val="auto"/>
          <w:szCs w:val="24"/>
          <w:lang w:eastAsia="zh-CN"/>
        </w:rPr>
        <w:t>获取</w:t>
      </w:r>
      <w:r>
        <w:rPr>
          <w:rFonts w:hint="eastAsia" w:ascii="宋体" w:hAnsi="宋体" w:eastAsia="宋体" w:cs="宋体"/>
          <w:color w:val="auto"/>
          <w:szCs w:val="24"/>
        </w:rPr>
        <w:t>磋商文件的供应商。</w:t>
      </w:r>
      <w:r>
        <w:rPr>
          <w:rFonts w:hint="eastAsia" w:ascii="宋体" w:hAnsi="宋体" w:eastAsia="宋体" w:cs="宋体"/>
          <w:b/>
          <w:color w:val="auto"/>
          <w:szCs w:val="24"/>
          <w:bdr w:val="single" w:color="auto" w:sz="4" w:space="0"/>
        </w:rPr>
        <w:t>对磋商文件中有难以理解或有疑义的内容，须在规定时间内提交书面资料，否则视为对磋商文件再无疑义，因此带来的一切不利后果由供应商自负。</w:t>
      </w:r>
    </w:p>
    <w:p w14:paraId="339FC26A">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7.2采购代理机构对已发出的磋商文件进行必要澄清或者修改的，在磋商文件要求提交磋商响应文件截止时间五日前，以书面形式通知所有</w:t>
      </w:r>
      <w:r>
        <w:rPr>
          <w:rFonts w:hint="eastAsia" w:ascii="宋体" w:hAnsi="宋体" w:eastAsia="宋体" w:cs="宋体"/>
          <w:color w:val="auto"/>
          <w:szCs w:val="24"/>
          <w:lang w:eastAsia="zh-CN"/>
        </w:rPr>
        <w:t>获取</w:t>
      </w:r>
      <w:r>
        <w:rPr>
          <w:rFonts w:hint="eastAsia" w:ascii="宋体" w:hAnsi="宋体" w:eastAsia="宋体" w:cs="宋体"/>
          <w:color w:val="auto"/>
          <w:szCs w:val="24"/>
        </w:rPr>
        <w:t>磋商文件的供应商，该澄清或者修改的内容作为磋商文件的组成部分，与其具有同等法律效力；</w:t>
      </w:r>
    </w:p>
    <w:p w14:paraId="62475379">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7.3为方便供应商对磋商文件修改或澄清内容有充分的时间进行补充修改，采购代理机构可延长磋商截止时间和磋商时间，均应在磋商文件要求提交磋商响应文件的截止时间五日前，将变更时间书面通知所有</w:t>
      </w:r>
      <w:r>
        <w:rPr>
          <w:rFonts w:hint="eastAsia" w:ascii="宋体" w:hAnsi="宋体" w:eastAsia="宋体" w:cs="宋体"/>
          <w:color w:val="auto"/>
          <w:szCs w:val="24"/>
          <w:lang w:eastAsia="zh-CN"/>
        </w:rPr>
        <w:t>获取</w:t>
      </w:r>
      <w:r>
        <w:rPr>
          <w:rFonts w:hint="eastAsia" w:ascii="宋体" w:hAnsi="宋体" w:eastAsia="宋体" w:cs="宋体"/>
          <w:color w:val="auto"/>
          <w:szCs w:val="24"/>
        </w:rPr>
        <w:t>磋商文件的供应商。</w:t>
      </w:r>
    </w:p>
    <w:p w14:paraId="4426028A">
      <w:pPr>
        <w:numPr>
          <w:ilvl w:val="0"/>
          <w:numId w:val="1"/>
        </w:numPr>
        <w:spacing w:line="360" w:lineRule="auto"/>
        <w:rPr>
          <w:rFonts w:hint="eastAsia" w:ascii="宋体" w:hAnsi="宋体" w:eastAsia="宋体" w:cs="宋体"/>
          <w:color w:val="auto"/>
          <w:szCs w:val="24"/>
        </w:rPr>
      </w:pPr>
      <w:r>
        <w:rPr>
          <w:rFonts w:hint="eastAsia" w:ascii="宋体" w:hAnsi="宋体" w:eastAsia="宋体" w:cs="宋体"/>
          <w:color w:val="auto"/>
          <w:szCs w:val="24"/>
        </w:rPr>
        <w:t>供应商信用记录查询及政府采购项目需要落实的政策</w:t>
      </w:r>
    </w:p>
    <w:p w14:paraId="4BD4349C">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8.1对列入“信用中国”网站(www.creditchina.gov.cn)“记录失信被执行人或重大税收违法案件当事人名单或政府采购严重违法失信行为”记录名单；中国政府采购网(www.ccgp.gov.cn)“政府采购严重违法失信行为信息记录”的单位，应当拒绝参与政府采购活动，采购代理机构于磋商截止日当天在“信用中国”网站（www.creditchina.gov.cn）查询结果为准，如相关失信记录已失效，需提供相关证明资料；</w:t>
      </w:r>
    </w:p>
    <w:p w14:paraId="11A9CA8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pacing w:val="4"/>
          <w:sz w:val="24"/>
          <w:szCs w:val="24"/>
          <w:lang w:val="en-US" w:eastAsia="zh-CN"/>
        </w:rPr>
      </w:pPr>
      <w:r>
        <w:rPr>
          <w:rFonts w:hint="eastAsia" w:ascii="宋体" w:hAnsi="宋体" w:eastAsia="宋体" w:cs="宋体"/>
          <w:color w:val="auto"/>
          <w:szCs w:val="24"/>
        </w:rPr>
        <w:t>8.2采购项目需要落实的政府采购政策：</w:t>
      </w:r>
      <w:r>
        <w:rPr>
          <w:rFonts w:hint="eastAsia" w:ascii="宋体" w:hAnsi="宋体" w:eastAsia="宋体" w:cs="宋体"/>
          <w:color w:val="auto"/>
          <w:spacing w:val="4"/>
          <w:sz w:val="24"/>
          <w:szCs w:val="24"/>
          <w:lang w:val="en-US" w:eastAsia="zh-CN"/>
        </w:rPr>
        <w:t>依据《中华人民共和国政府采购法》和《中华人民共和国政府采购实施条例》的有关规定，落实政府采购“扶持小微企业、监狱企业、福利企业”等相关政策。</w:t>
      </w:r>
    </w:p>
    <w:p w14:paraId="0B8877AD">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《政府采购促进中小企业发展管理办法》（财库〔2020〕46号）；</w:t>
      </w:r>
    </w:p>
    <w:p w14:paraId="796DC8B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《财政部司法部关于政府采购支持监狱企业发展有关问题的通知》（财库〔2014〕68号）；</w:t>
      </w:r>
    </w:p>
    <w:p w14:paraId="3F5F775F">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《财政部、民政部、中国残疾人联合会关于促进残疾人就业政府采购政策的通知》（财库[2017]141号）；</w:t>
      </w:r>
    </w:p>
    <w:p w14:paraId="726A5DF2">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陕西省财政厅关于印发《陕西省中小企业政府采购信用融资办法》（陕财办采〔2018〕23号）；相关政策、业务流程、办理平台(</w:t>
      </w:r>
      <w:r>
        <w:rPr>
          <w:rFonts w:hint="eastAsia" w:ascii="宋体" w:hAnsi="宋体" w:cs="宋体"/>
          <w:color w:val="auto"/>
          <w:spacing w:val="4"/>
          <w:sz w:val="24"/>
          <w:szCs w:val="24"/>
          <w:lang w:val="en-US" w:eastAsia="zh-CN"/>
        </w:rPr>
        <w:t>https://www.ccgp-shaanxi.gov.cn/zcdservice/zcd/shanxi/</w:t>
      </w:r>
      <w:r>
        <w:rPr>
          <w:rFonts w:hint="eastAsia" w:ascii="宋体" w:hAnsi="宋体" w:eastAsia="宋体" w:cs="宋体"/>
          <w:color w:val="auto"/>
          <w:spacing w:val="4"/>
          <w:sz w:val="24"/>
          <w:szCs w:val="24"/>
          <w:lang w:val="en-US" w:eastAsia="zh-CN"/>
        </w:rPr>
        <w:t>/zcdservice/zcd/shanxi/)；</w:t>
      </w:r>
    </w:p>
    <w:p w14:paraId="6714051D">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关于在政府采购活动中查询及使用信用记录有关问题的通知》（财库〔2016〕125号）；</w:t>
      </w:r>
    </w:p>
    <w:p w14:paraId="46AE844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《榆林市财政局关于进一步加大政府采购支持中小企业力度的通知》（榆政财采发〔2022〕10号)；</w:t>
      </w:r>
    </w:p>
    <w:p w14:paraId="3582AF84">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《陕西省财政厅关于进一步加大政府采购支持中小企业力度的通知》(陕财采发〔2022〕5号)；</w:t>
      </w:r>
    </w:p>
    <w:p w14:paraId="774B62D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《陕西省财政厅 中国人民银行西安分行关于深入推进政府采购信用融资业务的通知》（陕财办采〔2023]5号）；</w:t>
      </w:r>
    </w:p>
    <w:p w14:paraId="566A597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right="0" w:rightChars="0" w:firstLine="496" w:firstLineChars="200"/>
        <w:jc w:val="both"/>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其他需要落实的政府采购政策（如有最新颁布的政府采购政策，按最新文件执行）。</w:t>
      </w:r>
    </w:p>
    <w:p w14:paraId="4315B745">
      <w:pPr>
        <w:spacing w:line="360" w:lineRule="auto"/>
        <w:jc w:val="center"/>
        <w:rPr>
          <w:rFonts w:hint="eastAsia" w:ascii="宋体" w:hAnsi="宋体" w:eastAsia="宋体" w:cs="宋体"/>
          <w:b/>
          <w:color w:val="auto"/>
          <w:szCs w:val="24"/>
        </w:rPr>
      </w:pPr>
      <w:r>
        <w:rPr>
          <w:rFonts w:hint="eastAsia" w:ascii="宋体" w:hAnsi="宋体" w:eastAsia="宋体" w:cs="宋体"/>
          <w:b/>
          <w:color w:val="auto"/>
          <w:szCs w:val="24"/>
        </w:rPr>
        <w:t>（三）竞争性磋商响应文件的编写</w:t>
      </w:r>
    </w:p>
    <w:p w14:paraId="45F7704F">
      <w:pPr>
        <w:spacing w:line="360" w:lineRule="auto"/>
        <w:rPr>
          <w:rFonts w:hint="eastAsia" w:ascii="宋体" w:hAnsi="宋体" w:eastAsia="宋体" w:cs="宋体"/>
          <w:color w:val="auto"/>
          <w:szCs w:val="24"/>
        </w:rPr>
      </w:pPr>
      <w:r>
        <w:rPr>
          <w:rFonts w:hint="eastAsia" w:ascii="宋体" w:hAnsi="宋体" w:eastAsia="宋体" w:cs="宋体"/>
          <w:color w:val="auto"/>
          <w:szCs w:val="24"/>
        </w:rPr>
        <w:t>9、响应文件的构成</w:t>
      </w:r>
    </w:p>
    <w:p w14:paraId="1CF618A3">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详见磋商文件中第</w:t>
      </w:r>
      <w:r>
        <w:rPr>
          <w:rFonts w:hint="eastAsia" w:ascii="宋体" w:hAnsi="宋体" w:eastAsia="宋体" w:cs="宋体"/>
          <w:color w:val="auto"/>
          <w:szCs w:val="24"/>
          <w:lang w:eastAsia="zh-CN"/>
        </w:rPr>
        <w:t>七</w:t>
      </w:r>
      <w:r>
        <w:rPr>
          <w:rFonts w:hint="eastAsia" w:ascii="宋体" w:hAnsi="宋体" w:eastAsia="宋体" w:cs="宋体"/>
          <w:color w:val="auto"/>
          <w:szCs w:val="24"/>
        </w:rPr>
        <w:t>章“响应文件格式”。</w:t>
      </w:r>
    </w:p>
    <w:p w14:paraId="28AF4FAD">
      <w:pPr>
        <w:spacing w:line="360" w:lineRule="auto"/>
        <w:rPr>
          <w:rFonts w:hint="eastAsia" w:ascii="宋体" w:hAnsi="宋体" w:eastAsia="宋体" w:cs="宋体"/>
          <w:color w:val="auto"/>
          <w:szCs w:val="24"/>
        </w:rPr>
      </w:pPr>
      <w:r>
        <w:rPr>
          <w:rFonts w:hint="eastAsia" w:ascii="宋体" w:hAnsi="宋体" w:eastAsia="宋体" w:cs="宋体"/>
          <w:color w:val="auto"/>
          <w:szCs w:val="24"/>
        </w:rPr>
        <w:t>10、磋商报价</w:t>
      </w:r>
    </w:p>
    <w:p w14:paraId="157189E9">
      <w:pPr>
        <w:spacing w:line="360" w:lineRule="auto"/>
        <w:ind w:firstLine="480" w:firstLineChars="200"/>
        <w:rPr>
          <w:rFonts w:hint="eastAsia" w:ascii="宋体" w:hAnsi="宋体" w:eastAsia="宋体" w:cs="宋体"/>
          <w:b/>
          <w:color w:val="auto"/>
          <w:szCs w:val="24"/>
        </w:rPr>
      </w:pPr>
      <w:r>
        <w:rPr>
          <w:rFonts w:hint="eastAsia" w:ascii="宋体" w:hAnsi="宋体" w:eastAsia="宋体" w:cs="宋体"/>
          <w:color w:val="auto"/>
          <w:szCs w:val="24"/>
        </w:rPr>
        <w:t>10.1 所有磋商报价均以人民币报价。单位为元，精确到分。</w:t>
      </w:r>
      <w:r>
        <w:rPr>
          <w:rFonts w:hint="eastAsia" w:ascii="宋体" w:hAnsi="宋体" w:eastAsia="宋体" w:cs="宋体"/>
          <w:b/>
          <w:color w:val="auto"/>
          <w:szCs w:val="24"/>
        </w:rPr>
        <w:t>报价大于预算价时，按无效报价处理，且不进第二轮报价。本项目不公开唱价。</w:t>
      </w:r>
    </w:p>
    <w:p w14:paraId="7630704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10.2</w:t>
      </w:r>
      <w:r>
        <w:rPr>
          <w:rFonts w:hint="eastAsia" w:ascii="宋体" w:hAnsi="宋体" w:eastAsia="宋体" w:cs="宋体"/>
          <w:color w:val="auto"/>
          <w:kern w:val="2"/>
          <w:sz w:val="24"/>
          <w:szCs w:val="20"/>
          <w:lang w:val="en-US" w:eastAsia="zh-CN" w:bidi="ar-SA"/>
        </w:rPr>
        <w:t>合同价即中标价，供应商应在投标报价标明完成本工程施工且验收合格的所有费用，包括完成该项目的人工费、机械费、材料费、施工费用等和供应商必须的其他费用以及合同中明示或暗示的所有风险、责任和义务等全部费用。任何有选择的报价将不予接受，按无效投标处理。</w:t>
      </w:r>
    </w:p>
    <w:p w14:paraId="6AF59541">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10.3凡因供应商对磋商文件阅读不深、理解不透、误解、疏漏、或因市场行情了解不清造成的后果和风险均由磋商供应商自负。磋商响应过程中所产生的一切费用由磋商供应商自行承担。</w:t>
      </w:r>
    </w:p>
    <w:p w14:paraId="4AAEF0D9">
      <w:pPr>
        <w:spacing w:line="360" w:lineRule="auto"/>
        <w:rPr>
          <w:rFonts w:hint="eastAsia" w:ascii="宋体" w:hAnsi="宋体" w:eastAsia="宋体" w:cs="宋体"/>
          <w:color w:val="auto"/>
          <w:szCs w:val="24"/>
        </w:rPr>
      </w:pPr>
      <w:r>
        <w:rPr>
          <w:rFonts w:hint="eastAsia" w:ascii="宋体" w:hAnsi="宋体" w:eastAsia="宋体" w:cs="宋体"/>
          <w:color w:val="auto"/>
          <w:szCs w:val="24"/>
        </w:rPr>
        <w:t>11、响应文件的编制</w:t>
      </w:r>
    </w:p>
    <w:p w14:paraId="31AC079F">
      <w:pPr>
        <w:spacing w:line="360" w:lineRule="auto"/>
        <w:ind w:firstLine="496" w:firstLineChars="200"/>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lang w:val="en-US" w:eastAsia="zh-CN"/>
        </w:rPr>
        <w:t>11.1</w:t>
      </w:r>
      <w:r>
        <w:rPr>
          <w:rFonts w:hint="eastAsia" w:ascii="宋体" w:hAnsi="宋体" w:eastAsia="宋体" w:cs="宋体"/>
          <w:color w:val="auto"/>
          <w:spacing w:val="4"/>
          <w:sz w:val="24"/>
          <w:szCs w:val="24"/>
          <w:lang w:eastAsia="zh-CN"/>
        </w:rPr>
        <w:t>投标人</w:t>
      </w:r>
      <w:r>
        <w:rPr>
          <w:rFonts w:hint="eastAsia" w:ascii="宋体" w:hAnsi="宋体" w:eastAsia="宋体" w:cs="宋体"/>
          <w:color w:val="auto"/>
          <w:spacing w:val="4"/>
          <w:sz w:val="24"/>
          <w:szCs w:val="24"/>
        </w:rPr>
        <w:t>应按照</w:t>
      </w:r>
      <w:r>
        <w:rPr>
          <w:rFonts w:hint="eastAsia" w:ascii="宋体" w:hAnsi="宋体" w:eastAsia="宋体" w:cs="宋体"/>
          <w:color w:val="auto"/>
          <w:spacing w:val="4"/>
          <w:sz w:val="24"/>
          <w:szCs w:val="24"/>
          <w:lang w:eastAsia="zh-CN"/>
        </w:rPr>
        <w:t>投标人</w:t>
      </w:r>
      <w:r>
        <w:rPr>
          <w:rFonts w:hint="eastAsia" w:ascii="宋体" w:hAnsi="宋体" w:eastAsia="宋体" w:cs="宋体"/>
          <w:color w:val="auto"/>
          <w:spacing w:val="4"/>
          <w:sz w:val="24"/>
          <w:szCs w:val="24"/>
        </w:rPr>
        <w:t>须知的要求, 准备一份竞</w:t>
      </w:r>
      <w:r>
        <w:rPr>
          <w:rFonts w:hint="eastAsia" w:ascii="宋体" w:hAnsi="宋体" w:eastAsia="宋体" w:cs="宋体"/>
          <w:color w:val="auto"/>
          <w:sz w:val="24"/>
          <w:szCs w:val="24"/>
        </w:rPr>
        <w:t>争性</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响应文件正本和“须知前附表”中规定数量的副本，每套竞争性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响应文件封面须清楚地标明“正本”或“副本”</w:t>
      </w:r>
      <w:r>
        <w:rPr>
          <w:rFonts w:hint="eastAsia" w:ascii="宋体" w:hAnsi="宋体" w:eastAsia="宋体" w:cs="宋体"/>
          <w:color w:val="auto"/>
          <w:spacing w:val="4"/>
          <w:sz w:val="24"/>
          <w:szCs w:val="24"/>
        </w:rPr>
        <w:t>。</w:t>
      </w:r>
    </w:p>
    <w:p w14:paraId="6775DC1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任何行间插字、涂改和增删，必须由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的法定代表人或其授权代表在旁边签字才有效。</w:t>
      </w:r>
    </w:p>
    <w:p w14:paraId="2EE0A6A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名称应填写全称。</w:t>
      </w:r>
    </w:p>
    <w:p w14:paraId="5D9966F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因字迹潦草、表述不清或不按竞争性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文件格式编制的竞争性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响应文件，所引起的对</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不利的后果，由</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自行负责。</w:t>
      </w:r>
    </w:p>
    <w:p w14:paraId="217F9867">
      <w:pPr>
        <w:spacing w:line="360" w:lineRule="auto"/>
        <w:ind w:firstLine="480" w:firstLineChars="200"/>
        <w:rPr>
          <w:rFonts w:hint="eastAsia" w:ascii="宋体" w:hAnsi="宋体" w:eastAsia="宋体" w:cs="宋体"/>
          <w:b/>
          <w:color w:val="auto"/>
          <w:sz w:val="24"/>
          <w:szCs w:val="24"/>
        </w:rPr>
      </w:pPr>
      <w:bookmarkStart w:id="25" w:name="_Toc246928911"/>
      <w:bookmarkStart w:id="26" w:name="_Toc394934424"/>
      <w:bookmarkStart w:id="27" w:name="_Toc317248152"/>
      <w:r>
        <w:rPr>
          <w:rFonts w:hint="eastAsia" w:ascii="宋体" w:hAnsi="宋体" w:eastAsia="宋体" w:cs="宋体"/>
          <w:color w:val="auto"/>
          <w:sz w:val="24"/>
          <w:szCs w:val="24"/>
          <w:highlight w:val="none"/>
          <w:lang w:val="en-US" w:eastAsia="zh-CN"/>
        </w:rPr>
        <w:t>11.5</w:t>
      </w:r>
      <w:r>
        <w:rPr>
          <w:rFonts w:hint="eastAsia" w:ascii="宋体" w:hAnsi="宋体" w:eastAsia="宋体" w:cs="宋体"/>
          <w:b/>
          <w:color w:val="auto"/>
          <w:sz w:val="24"/>
          <w:szCs w:val="24"/>
        </w:rPr>
        <w:t>本项目采用电子化</w:t>
      </w:r>
      <w:r>
        <w:rPr>
          <w:rFonts w:hint="eastAsia" w:ascii="宋体" w:hAnsi="宋体" w:eastAsia="宋体" w:cs="宋体"/>
          <w:b/>
          <w:color w:val="auto"/>
          <w:sz w:val="24"/>
          <w:szCs w:val="24"/>
          <w:lang w:eastAsia="zh-CN"/>
        </w:rPr>
        <w:t>招投标</w:t>
      </w:r>
      <w:r>
        <w:rPr>
          <w:rFonts w:hint="eastAsia" w:ascii="宋体" w:hAnsi="宋体" w:eastAsia="宋体" w:cs="宋体"/>
          <w:b/>
          <w:color w:val="auto"/>
          <w:sz w:val="24"/>
          <w:szCs w:val="24"/>
        </w:rPr>
        <w:t>。投标人须使用数字认证证书对电子</w:t>
      </w:r>
      <w:r>
        <w:rPr>
          <w:rFonts w:hint="eastAsia" w:ascii="宋体" w:hAnsi="宋体" w:eastAsia="宋体" w:cs="宋体"/>
          <w:b/>
          <w:color w:val="auto"/>
          <w:sz w:val="24"/>
          <w:szCs w:val="24"/>
          <w:lang w:eastAsia="zh-CN"/>
        </w:rPr>
        <w:t>磋商响应文件</w:t>
      </w:r>
      <w:r>
        <w:rPr>
          <w:rFonts w:hint="eastAsia" w:ascii="宋体" w:hAnsi="宋体" w:eastAsia="宋体" w:cs="宋体"/>
          <w:b/>
          <w:color w:val="auto"/>
          <w:sz w:val="24"/>
          <w:szCs w:val="24"/>
        </w:rPr>
        <w:t>进行签章、加密、递交及开标时解密等相关招投标事宜。</w:t>
      </w:r>
    </w:p>
    <w:p w14:paraId="394330F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11.5.1电子磋商文件下载。供应商登录全国公共资源交易平台（陕西省）网站〖首页·〉电子交易平台·〉企业端〗后，在〖招标公告/出让公告〗模块中选择项目点击“我要投标”，参与投标活动。然后即可在〖我的项目〗中点击“项目流程&gt;交易文件下载”电子磋商文件。 </w:t>
      </w:r>
    </w:p>
    <w:p w14:paraId="26466E0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b w:val="0"/>
          <w:bCs w:val="0"/>
          <w:color w:val="auto"/>
          <w:sz w:val="24"/>
          <w:szCs w:val="24"/>
          <w:highlight w:val="none"/>
          <w:lang w:val="en-US" w:eastAsia="zh-CN"/>
        </w:rPr>
        <w:t>.5.2</w:t>
      </w:r>
      <w:r>
        <w:rPr>
          <w:rFonts w:hint="eastAsia" w:ascii="宋体" w:hAnsi="宋体" w:eastAsia="宋体" w:cs="宋体"/>
          <w:b w:val="0"/>
          <w:bCs w:val="0"/>
          <w:color w:val="auto"/>
          <w:sz w:val="24"/>
          <w:szCs w:val="24"/>
        </w:rPr>
        <w:t>电子</w:t>
      </w:r>
      <w:r>
        <w:rPr>
          <w:rFonts w:hint="eastAsia" w:ascii="宋体" w:hAnsi="宋体" w:eastAsia="宋体" w:cs="宋体"/>
          <w:b w:val="0"/>
          <w:bCs w:val="0"/>
          <w:color w:val="auto"/>
          <w:sz w:val="24"/>
          <w:szCs w:val="24"/>
          <w:lang w:eastAsia="zh-CN"/>
        </w:rPr>
        <w:t>磋商响应文件</w:t>
      </w:r>
      <w:r>
        <w:rPr>
          <w:rFonts w:hint="eastAsia" w:ascii="宋体" w:hAnsi="宋体" w:eastAsia="宋体" w:cs="宋体"/>
          <w:b w:val="0"/>
          <w:bCs w:val="0"/>
          <w:color w:val="auto"/>
          <w:sz w:val="24"/>
          <w:szCs w:val="24"/>
          <w:highlight w:val="none"/>
          <w:lang w:val="en-US" w:eastAsia="zh-CN"/>
        </w:rPr>
        <w:t>需要使用专用软件打开、浏览。供应商可在全国公共资源交易平台（陕西省）网站〖首页·〉服务指南·〉下载专区〗免费下载“陕西省公共资源交易平台政府采购电子标书制作工具”，并升级至最新版本，使用该客户端可以打开</w:t>
      </w:r>
      <w:r>
        <w:rPr>
          <w:rFonts w:hint="eastAsia" w:ascii="宋体" w:hAnsi="宋体" w:eastAsia="宋体" w:cs="宋体"/>
          <w:b w:val="0"/>
          <w:bCs w:val="0"/>
          <w:color w:val="auto"/>
          <w:sz w:val="24"/>
          <w:szCs w:val="24"/>
        </w:rPr>
        <w:t>电子</w:t>
      </w:r>
      <w:r>
        <w:rPr>
          <w:rFonts w:hint="eastAsia" w:ascii="宋体" w:hAnsi="宋体" w:eastAsia="宋体" w:cs="宋体"/>
          <w:b w:val="0"/>
          <w:bCs w:val="0"/>
          <w:color w:val="auto"/>
          <w:sz w:val="24"/>
          <w:szCs w:val="24"/>
          <w:lang w:eastAsia="zh-CN"/>
        </w:rPr>
        <w:t>磋商响应文件</w:t>
      </w:r>
      <w:r>
        <w:rPr>
          <w:rFonts w:hint="eastAsia" w:ascii="宋体" w:hAnsi="宋体" w:eastAsia="宋体" w:cs="宋体"/>
          <w:b w:val="0"/>
          <w:bCs w:val="0"/>
          <w:color w:val="auto"/>
          <w:sz w:val="24"/>
          <w:szCs w:val="24"/>
          <w:highlight w:val="none"/>
          <w:lang w:val="en-US" w:eastAsia="zh-CN"/>
        </w:rPr>
        <w:t>。软件操作手册详见全国公共资源交易平台（陕西省）网站〖首页·〉服务指南·〉下载专区〗中的《陕西省公共资源交易（政府采购类）磋商响应文件制作软件操作手册》。</w:t>
      </w:r>
    </w:p>
    <w:p w14:paraId="354DD5D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.5.3制作</w:t>
      </w:r>
      <w:r>
        <w:rPr>
          <w:rFonts w:hint="eastAsia" w:ascii="宋体" w:hAnsi="宋体" w:eastAsia="宋体" w:cs="宋体"/>
          <w:b w:val="0"/>
          <w:bCs w:val="0"/>
          <w:color w:val="auto"/>
          <w:sz w:val="24"/>
          <w:szCs w:val="24"/>
        </w:rPr>
        <w:t>电子</w:t>
      </w:r>
      <w:r>
        <w:rPr>
          <w:rFonts w:hint="eastAsia" w:ascii="宋体" w:hAnsi="宋体" w:eastAsia="宋体" w:cs="宋体"/>
          <w:b w:val="0"/>
          <w:bCs w:val="0"/>
          <w:color w:val="auto"/>
          <w:sz w:val="24"/>
          <w:szCs w:val="24"/>
          <w:lang w:eastAsia="zh-CN"/>
        </w:rPr>
        <w:t>磋商响应文件</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rPr>
        <w:t>电子</w:t>
      </w:r>
      <w:r>
        <w:rPr>
          <w:rFonts w:hint="eastAsia" w:ascii="宋体" w:hAnsi="宋体" w:eastAsia="宋体" w:cs="宋体"/>
          <w:b w:val="0"/>
          <w:bCs w:val="0"/>
          <w:color w:val="auto"/>
          <w:sz w:val="24"/>
          <w:szCs w:val="24"/>
          <w:lang w:eastAsia="zh-CN"/>
        </w:rPr>
        <w:t>磋商响应文件</w:t>
      </w:r>
      <w:r>
        <w:rPr>
          <w:rFonts w:hint="eastAsia" w:ascii="宋体" w:hAnsi="宋体" w:eastAsia="宋体" w:cs="宋体"/>
          <w:b w:val="0"/>
          <w:bCs w:val="0"/>
          <w:color w:val="auto"/>
          <w:sz w:val="24"/>
          <w:szCs w:val="24"/>
          <w:highlight w:val="none"/>
          <w:lang w:val="en-US" w:eastAsia="zh-CN"/>
        </w:rPr>
        <w:t>同样需要使用上述软件进行编制。 在编制过程中，如有技术性问题，请先翻阅操作手册</w:t>
      </w:r>
      <w:r>
        <w:rPr>
          <w:rFonts w:hint="eastAsia" w:ascii="宋体" w:hAnsi="宋体" w:eastAsia="宋体" w:cs="宋体"/>
          <w:color w:val="auto"/>
          <w:sz w:val="24"/>
          <w:szCs w:val="24"/>
          <w:highlight w:val="none"/>
          <w:lang w:val="en-US" w:eastAsia="zh-CN"/>
        </w:rPr>
        <w:t xml:space="preserve">，或致电软件开发商。 </w:t>
      </w:r>
    </w:p>
    <w:p w14:paraId="317B6DD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技术支持热线：4009280095、4009980000 </w:t>
      </w:r>
    </w:p>
    <w:p w14:paraId="6CC4D352">
      <w:pPr>
        <w:spacing w:line="360" w:lineRule="auto"/>
        <w:rPr>
          <w:rFonts w:hint="eastAsia" w:ascii="宋体" w:hAnsi="宋体" w:eastAsia="宋体" w:cs="宋体"/>
          <w:color w:val="auto"/>
          <w:szCs w:val="24"/>
        </w:rPr>
      </w:pPr>
      <w:r>
        <w:rPr>
          <w:rFonts w:hint="eastAsia" w:ascii="宋体" w:hAnsi="宋体" w:eastAsia="宋体" w:cs="宋体"/>
          <w:color w:val="auto"/>
          <w:szCs w:val="24"/>
        </w:rPr>
        <w:t>12、供应商资质证明文件</w:t>
      </w:r>
      <w:bookmarkEnd w:id="25"/>
      <w:bookmarkEnd w:id="26"/>
    </w:p>
    <w:bookmarkEnd w:id="27"/>
    <w:p w14:paraId="7922BAF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详见组织前附表</w:t>
      </w:r>
    </w:p>
    <w:p w14:paraId="6AC94E89">
      <w:pPr>
        <w:spacing w:line="360" w:lineRule="auto"/>
        <w:rPr>
          <w:rFonts w:hint="eastAsia" w:ascii="宋体" w:hAnsi="宋体" w:eastAsia="宋体" w:cs="宋体"/>
          <w:color w:val="auto"/>
          <w:szCs w:val="24"/>
        </w:rPr>
      </w:pPr>
      <w:r>
        <w:rPr>
          <w:rFonts w:hint="eastAsia" w:ascii="宋体" w:hAnsi="宋体" w:eastAsia="宋体" w:cs="宋体"/>
          <w:color w:val="auto"/>
          <w:szCs w:val="24"/>
        </w:rPr>
        <w:t>13、磋商有效期</w:t>
      </w:r>
    </w:p>
    <w:p w14:paraId="6D8FFF8B">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13.1响应文件从磋商之日起，磋商有效期为</w:t>
      </w:r>
      <w:r>
        <w:rPr>
          <w:rFonts w:hint="eastAsia" w:ascii="宋体" w:hAnsi="宋体" w:eastAsia="宋体" w:cs="宋体"/>
          <w:color w:val="auto"/>
          <w:szCs w:val="24"/>
          <w:u w:val="single"/>
          <w:lang w:val="en-US" w:eastAsia="zh-CN"/>
        </w:rPr>
        <w:t>90日历天</w:t>
      </w:r>
      <w:r>
        <w:rPr>
          <w:rFonts w:hint="eastAsia" w:ascii="宋体" w:hAnsi="宋体" w:eastAsia="宋体" w:cs="宋体"/>
          <w:color w:val="auto"/>
          <w:szCs w:val="24"/>
        </w:rPr>
        <w:t xml:space="preserve">。响应文件中所有要求的证明文件的有效期比本须知规定的有效期短的，将被视为非响应磋商，采购人有权拒绝。 </w:t>
      </w:r>
    </w:p>
    <w:p w14:paraId="22418468">
      <w:pPr>
        <w:spacing w:line="360" w:lineRule="auto"/>
        <w:ind w:firstLine="480" w:firstLineChars="200"/>
        <w:rPr>
          <w:rFonts w:hint="eastAsia" w:ascii="宋体" w:hAnsi="宋体" w:eastAsia="宋体" w:cs="宋体"/>
          <w:color w:val="auto"/>
          <w:szCs w:val="24"/>
          <w:lang w:eastAsia="zh-CN"/>
        </w:rPr>
      </w:pPr>
      <w:r>
        <w:rPr>
          <w:rFonts w:hint="eastAsia" w:ascii="宋体" w:hAnsi="宋体" w:eastAsia="宋体" w:cs="宋体"/>
          <w:color w:val="auto"/>
          <w:szCs w:val="24"/>
        </w:rPr>
        <w:t>13.2特殊情况下，采购人可于磋商有效期满之前要求供应商同意延长有效期，要求与答复均应为书面形式。对于同意该要求的供应商，既不要求也不允许其修改响应文件，但将要求其相应延长</w:t>
      </w:r>
      <w:r>
        <w:rPr>
          <w:rFonts w:hint="eastAsia" w:ascii="宋体" w:hAnsi="宋体" w:eastAsia="宋体" w:cs="宋体"/>
          <w:color w:val="auto"/>
          <w:kern w:val="2"/>
          <w:sz w:val="24"/>
          <w:szCs w:val="24"/>
          <w:lang w:val="en-US" w:eastAsia="zh-CN" w:bidi="ar-SA"/>
        </w:rPr>
        <w:t>投标信用承诺书（保证金）</w:t>
      </w:r>
      <w:r>
        <w:rPr>
          <w:rFonts w:hint="eastAsia" w:ascii="宋体" w:hAnsi="宋体" w:eastAsia="宋体" w:cs="宋体"/>
          <w:color w:val="auto"/>
          <w:szCs w:val="24"/>
        </w:rPr>
        <w:t>的有效期</w:t>
      </w:r>
      <w:r>
        <w:rPr>
          <w:rFonts w:hint="eastAsia" w:ascii="宋体" w:hAnsi="宋体" w:eastAsia="宋体" w:cs="宋体"/>
          <w:color w:val="auto"/>
          <w:szCs w:val="24"/>
          <w:lang w:eastAsia="zh-CN"/>
        </w:rPr>
        <w:t>。</w:t>
      </w:r>
    </w:p>
    <w:p w14:paraId="6580EF35">
      <w:pPr>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rPr>
        <w:t>14、磋商保证金：</w:t>
      </w:r>
      <w:r>
        <w:rPr>
          <w:rFonts w:hint="eastAsia" w:ascii="宋体" w:hAnsi="宋体" w:eastAsia="宋体" w:cs="宋体"/>
          <w:b/>
          <w:bCs/>
          <w:color w:val="auto"/>
          <w:kern w:val="2"/>
          <w:sz w:val="24"/>
          <w:szCs w:val="24"/>
          <w:lang w:val="en-US" w:eastAsia="zh-CN" w:bidi="ar-SA"/>
        </w:rPr>
        <w:t>投标信用承诺书（保证金）替代保证金</w:t>
      </w:r>
    </w:p>
    <w:p w14:paraId="6BC7DC35">
      <w:pPr>
        <w:spacing w:line="360" w:lineRule="auto"/>
        <w:jc w:val="center"/>
        <w:rPr>
          <w:rFonts w:hint="eastAsia" w:ascii="宋体" w:hAnsi="宋体" w:eastAsia="宋体" w:cs="宋体"/>
          <w:b/>
          <w:color w:val="auto"/>
          <w:szCs w:val="24"/>
        </w:rPr>
      </w:pPr>
      <w:r>
        <w:rPr>
          <w:rFonts w:hint="eastAsia" w:ascii="宋体" w:hAnsi="宋体" w:eastAsia="宋体" w:cs="宋体"/>
          <w:b/>
          <w:color w:val="auto"/>
          <w:szCs w:val="24"/>
        </w:rPr>
        <w:t>（四） 响应文件的提交</w:t>
      </w:r>
    </w:p>
    <w:p w14:paraId="224E3B5F">
      <w:pPr>
        <w:spacing w:line="360" w:lineRule="auto"/>
        <w:rPr>
          <w:rFonts w:hint="eastAsia" w:ascii="宋体" w:hAnsi="宋体" w:eastAsia="宋体" w:cs="宋体"/>
          <w:b/>
          <w:bCs/>
          <w:color w:val="auto"/>
          <w:szCs w:val="24"/>
        </w:rPr>
      </w:pPr>
      <w:bookmarkStart w:id="28" w:name="_Toc246928917"/>
      <w:bookmarkStart w:id="29" w:name="_Toc394934430"/>
      <w:r>
        <w:rPr>
          <w:rFonts w:hint="eastAsia" w:ascii="宋体" w:hAnsi="宋体" w:eastAsia="宋体" w:cs="宋体"/>
          <w:b/>
          <w:bCs/>
          <w:color w:val="auto"/>
          <w:szCs w:val="24"/>
        </w:rPr>
        <w:t>15.</w:t>
      </w:r>
      <w:r>
        <w:rPr>
          <w:rFonts w:hint="eastAsia" w:ascii="宋体" w:hAnsi="宋体" w:eastAsia="宋体" w:cs="宋体"/>
          <w:b/>
          <w:bCs/>
          <w:color w:val="auto"/>
          <w:szCs w:val="24"/>
          <w:lang w:eastAsia="zh-CN"/>
        </w:rPr>
        <w:t>纸质版</w:t>
      </w:r>
      <w:r>
        <w:rPr>
          <w:rFonts w:hint="eastAsia" w:ascii="宋体" w:hAnsi="宋体" w:eastAsia="宋体" w:cs="宋体"/>
          <w:b/>
          <w:bCs/>
          <w:color w:val="auto"/>
          <w:szCs w:val="24"/>
        </w:rPr>
        <w:t>响应文件的密封和标记</w:t>
      </w:r>
      <w:bookmarkEnd w:id="28"/>
      <w:bookmarkEnd w:id="29"/>
    </w:p>
    <w:p w14:paraId="2764722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投标单位无需提交纸质版投标文件，待中标结果公示发布后五个工作日内，中标单位需补交一正二副的纸质版投标文件（备案用）。</w:t>
      </w:r>
    </w:p>
    <w:p w14:paraId="6346859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right="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16、响应文件的提交</w:t>
      </w:r>
    </w:p>
    <w:p w14:paraId="60A558E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right="0" w:firstLine="480" w:firstLineChars="20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电子</w:t>
      </w:r>
      <w:r>
        <w:rPr>
          <w:rFonts w:hint="eastAsia" w:ascii="宋体" w:hAnsi="宋体" w:eastAsia="宋体" w:cs="宋体"/>
          <w:b w:val="0"/>
          <w:bCs/>
          <w:color w:val="auto"/>
          <w:kern w:val="2"/>
          <w:sz w:val="24"/>
          <w:szCs w:val="24"/>
          <w:lang w:eastAsia="zh-CN"/>
        </w:rPr>
        <w:t>磋商响应文件</w:t>
      </w:r>
      <w:r>
        <w:rPr>
          <w:rFonts w:hint="eastAsia" w:ascii="宋体" w:hAnsi="宋体" w:eastAsia="宋体" w:cs="宋体"/>
          <w:b w:val="0"/>
          <w:bCs/>
          <w:color w:val="auto"/>
          <w:sz w:val="24"/>
          <w:szCs w:val="24"/>
          <w:lang w:val="en-US" w:eastAsia="zh-CN"/>
        </w:rPr>
        <w:t>可于提交</w:t>
      </w:r>
      <w:r>
        <w:rPr>
          <w:rFonts w:hint="eastAsia" w:ascii="宋体" w:hAnsi="宋体" w:eastAsia="宋体" w:cs="宋体"/>
          <w:b w:val="0"/>
          <w:bCs/>
          <w:color w:val="auto"/>
          <w:kern w:val="2"/>
          <w:sz w:val="24"/>
          <w:szCs w:val="24"/>
          <w:lang w:eastAsia="zh-CN"/>
        </w:rPr>
        <w:t>磋商响应文件</w:t>
      </w:r>
      <w:r>
        <w:rPr>
          <w:rFonts w:hint="eastAsia" w:ascii="宋体" w:hAnsi="宋体" w:eastAsia="宋体" w:cs="宋体"/>
          <w:b w:val="0"/>
          <w:bCs/>
          <w:color w:val="auto"/>
          <w:sz w:val="24"/>
          <w:szCs w:val="24"/>
          <w:lang w:val="en-US" w:eastAsia="zh-CN"/>
        </w:rPr>
        <w:t>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磋商响应文件”，上传加密的电子</w:t>
      </w:r>
      <w:r>
        <w:rPr>
          <w:rFonts w:hint="eastAsia" w:ascii="宋体" w:hAnsi="宋体" w:eastAsia="宋体" w:cs="宋体"/>
          <w:b w:val="0"/>
          <w:bCs/>
          <w:color w:val="auto"/>
          <w:kern w:val="2"/>
          <w:sz w:val="24"/>
          <w:szCs w:val="24"/>
          <w:lang w:eastAsia="zh-CN"/>
        </w:rPr>
        <w:t>磋商响应文</w:t>
      </w:r>
      <w:r>
        <w:rPr>
          <w:rFonts w:hint="eastAsia" w:ascii="宋体" w:hAnsi="宋体" w:eastAsia="宋体" w:cs="宋体"/>
          <w:b w:val="0"/>
          <w:bCs/>
          <w:color w:val="auto"/>
          <w:sz w:val="24"/>
          <w:szCs w:val="24"/>
          <w:lang w:val="en-US" w:eastAsia="zh-CN"/>
        </w:rPr>
        <w:t xml:space="preserve">件。上传成功后，电子化平台将予以记录。 </w:t>
      </w:r>
    </w:p>
    <w:p w14:paraId="4657D34E">
      <w:pPr>
        <w:spacing w:line="360" w:lineRule="auto"/>
        <w:jc w:val="center"/>
        <w:rPr>
          <w:rFonts w:hint="eastAsia" w:ascii="宋体" w:hAnsi="宋体" w:eastAsia="宋体" w:cs="宋体"/>
          <w:b/>
          <w:color w:val="auto"/>
          <w:szCs w:val="24"/>
        </w:rPr>
      </w:pPr>
      <w:r>
        <w:rPr>
          <w:rFonts w:hint="eastAsia" w:ascii="宋体" w:hAnsi="宋体" w:eastAsia="宋体" w:cs="宋体"/>
          <w:b/>
          <w:color w:val="auto"/>
          <w:szCs w:val="24"/>
        </w:rPr>
        <w:t>（五）开 标</w:t>
      </w:r>
    </w:p>
    <w:p w14:paraId="4E25AD47">
      <w:pPr>
        <w:spacing w:line="360" w:lineRule="auto"/>
        <w:rPr>
          <w:rFonts w:hint="eastAsia" w:ascii="宋体" w:hAnsi="宋体" w:eastAsia="宋体" w:cs="宋体"/>
          <w:color w:val="auto"/>
          <w:szCs w:val="24"/>
        </w:rPr>
      </w:pPr>
      <w:bookmarkStart w:id="30" w:name="_Toc394934434"/>
      <w:r>
        <w:rPr>
          <w:rFonts w:hint="eastAsia" w:ascii="宋体" w:hAnsi="宋体" w:eastAsia="宋体" w:cs="宋体"/>
          <w:color w:val="auto"/>
          <w:szCs w:val="24"/>
        </w:rPr>
        <w:t>17、</w:t>
      </w:r>
      <w:bookmarkEnd w:id="30"/>
      <w:r>
        <w:rPr>
          <w:rFonts w:hint="eastAsia" w:ascii="宋体" w:hAnsi="宋体" w:eastAsia="宋体" w:cs="宋体"/>
          <w:color w:val="auto"/>
          <w:szCs w:val="24"/>
        </w:rPr>
        <w:t>磋商</w:t>
      </w:r>
    </w:p>
    <w:p w14:paraId="00A38E53">
      <w:pPr>
        <w:spacing w:line="360" w:lineRule="auto"/>
        <w:ind w:firstLine="480" w:firstLineChars="200"/>
        <w:rPr>
          <w:rFonts w:hint="eastAsia" w:ascii="宋体" w:hAnsi="宋体" w:eastAsia="宋体" w:cs="宋体"/>
          <w:color w:val="auto"/>
          <w:sz w:val="24"/>
          <w:szCs w:val="24"/>
        </w:rPr>
      </w:pPr>
      <w:bookmarkStart w:id="31" w:name="_Toc394934435"/>
      <w:bookmarkStart w:id="32" w:name="_Toc246928921"/>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.1 采购代理机构在规定的时间和地点组织</w:t>
      </w:r>
      <w:r>
        <w:rPr>
          <w:rFonts w:hint="eastAsia" w:ascii="宋体" w:hAnsi="宋体" w:eastAsia="宋体" w:cs="宋体"/>
          <w:color w:val="auto"/>
          <w:sz w:val="24"/>
          <w:szCs w:val="24"/>
          <w:lang w:eastAsia="zh-CN"/>
        </w:rPr>
        <w:t>磋商会议</w:t>
      </w:r>
      <w:r>
        <w:rPr>
          <w:rFonts w:hint="eastAsia" w:ascii="宋体" w:hAnsi="宋体" w:eastAsia="宋体" w:cs="宋体"/>
          <w:color w:val="auto"/>
          <w:sz w:val="24"/>
          <w:szCs w:val="24"/>
        </w:rPr>
        <w:t>。</w:t>
      </w:r>
    </w:p>
    <w:p w14:paraId="25CD0EB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磋商会议开始时</w:t>
      </w:r>
      <w:r>
        <w:rPr>
          <w:rFonts w:hint="eastAsia" w:ascii="宋体" w:hAnsi="宋体" w:eastAsia="宋体" w:cs="宋体"/>
          <w:color w:val="auto"/>
          <w:sz w:val="24"/>
          <w:szCs w:val="24"/>
        </w:rPr>
        <w:t>，</w:t>
      </w:r>
      <w:r>
        <w:rPr>
          <w:rFonts w:hint="eastAsia" w:ascii="宋体" w:hAnsi="宋体" w:eastAsia="宋体" w:cs="宋体"/>
          <w:color w:val="auto"/>
          <w:kern w:val="2"/>
          <w:sz w:val="24"/>
          <w:szCs w:val="24"/>
          <w:highlight w:val="none"/>
          <w:lang w:val="en-US" w:eastAsia="zh-CN" w:bidi="ar"/>
        </w:rPr>
        <w:t>投标人将电子磋商响应文件解密，由代理机构工作人员按照电子开标程序完成电子开标程序。</w:t>
      </w:r>
      <w:r>
        <w:rPr>
          <w:rFonts w:hint="eastAsia" w:ascii="宋体" w:hAnsi="宋体" w:eastAsia="宋体" w:cs="宋体"/>
          <w:color w:val="auto"/>
          <w:sz w:val="24"/>
          <w:szCs w:val="24"/>
        </w:rPr>
        <w:t>各</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的每轮</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报价不予公布。</w:t>
      </w:r>
    </w:p>
    <w:p w14:paraId="5F555EB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有效</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不足三家的，按照国家相关法律及规定执行。</w:t>
      </w:r>
    </w:p>
    <w:p w14:paraId="0CA8EA3E">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采购代理机构将做开标记录，存档备查。</w:t>
      </w:r>
    </w:p>
    <w:p w14:paraId="3D721F64">
      <w:pPr>
        <w:spacing w:line="360" w:lineRule="auto"/>
        <w:rPr>
          <w:rFonts w:hint="eastAsia" w:ascii="宋体" w:hAnsi="宋体" w:eastAsia="宋体" w:cs="宋体"/>
          <w:color w:val="auto"/>
          <w:szCs w:val="24"/>
        </w:rPr>
      </w:pPr>
      <w:r>
        <w:rPr>
          <w:rFonts w:hint="eastAsia" w:ascii="宋体" w:hAnsi="宋体" w:eastAsia="宋体" w:cs="宋体"/>
          <w:color w:val="auto"/>
          <w:szCs w:val="24"/>
        </w:rPr>
        <w:t>18、磋商小组</w:t>
      </w:r>
      <w:bookmarkEnd w:id="31"/>
      <w:bookmarkEnd w:id="32"/>
    </w:p>
    <w:p w14:paraId="2AB24D82">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18.1根据本次招标项目的特点，</w:t>
      </w:r>
      <w:r>
        <w:rPr>
          <w:rFonts w:hint="eastAsia" w:ascii="宋体" w:hAnsi="宋体" w:eastAsia="宋体" w:cs="宋体"/>
          <w:color w:val="auto"/>
          <w:szCs w:val="24"/>
          <w:lang w:eastAsia="zh-CN"/>
        </w:rPr>
        <w:t>按</w:t>
      </w:r>
      <w:r>
        <w:rPr>
          <w:rFonts w:hint="eastAsia" w:ascii="宋体" w:hAnsi="宋体" w:eastAsia="宋体" w:cs="宋体"/>
          <w:color w:val="auto"/>
          <w:szCs w:val="24"/>
        </w:rPr>
        <w:t>照《中华人民共和国政府采购法》等有关规定组建磋商小组。</w:t>
      </w:r>
    </w:p>
    <w:p w14:paraId="6131ACD9">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18.2本项目磋商小组</w:t>
      </w:r>
      <w:r>
        <w:rPr>
          <w:rFonts w:hint="eastAsia" w:ascii="宋体" w:hAnsi="宋体" w:eastAsia="宋体" w:cs="宋体"/>
          <w:color w:val="auto"/>
          <w:szCs w:val="24"/>
          <w:lang w:eastAsia="zh-CN"/>
        </w:rPr>
        <w:t>由采购人和</w:t>
      </w:r>
      <w:r>
        <w:rPr>
          <w:rFonts w:hint="eastAsia" w:ascii="宋体" w:hAnsi="宋体" w:eastAsia="宋体" w:cs="宋体"/>
          <w:color w:val="auto"/>
          <w:szCs w:val="24"/>
        </w:rPr>
        <w:t>专家</w:t>
      </w:r>
      <w:r>
        <w:rPr>
          <w:rFonts w:hint="eastAsia" w:ascii="宋体" w:hAnsi="宋体" w:eastAsia="宋体" w:cs="宋体"/>
          <w:color w:val="auto"/>
          <w:szCs w:val="24"/>
          <w:lang w:eastAsia="zh-CN"/>
        </w:rPr>
        <w:t>组成，专家</w:t>
      </w:r>
      <w:r>
        <w:rPr>
          <w:rFonts w:hint="eastAsia" w:ascii="宋体" w:hAnsi="宋体" w:eastAsia="宋体" w:cs="宋体"/>
          <w:color w:val="auto"/>
          <w:szCs w:val="24"/>
        </w:rPr>
        <w:t>产生方式符合国家有关评审专家产生方式的规定。</w:t>
      </w:r>
    </w:p>
    <w:p w14:paraId="50DDBC79">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18.3磋商小组成员对各供应商磋商响应文件进行审查、质疑、评估和比较，并推荐成交候选供应商。</w:t>
      </w:r>
    </w:p>
    <w:p w14:paraId="08D3812F">
      <w:pPr>
        <w:spacing w:line="360" w:lineRule="auto"/>
        <w:jc w:val="center"/>
        <w:rPr>
          <w:rFonts w:hint="eastAsia" w:ascii="宋体" w:hAnsi="宋体" w:eastAsia="宋体" w:cs="宋体"/>
          <w:b/>
          <w:color w:val="auto"/>
          <w:szCs w:val="24"/>
        </w:rPr>
      </w:pPr>
      <w:bookmarkStart w:id="33" w:name="_Toc394934436"/>
      <w:bookmarkStart w:id="34" w:name="_Toc246928924"/>
      <w:r>
        <w:rPr>
          <w:rFonts w:hint="eastAsia" w:ascii="宋体" w:hAnsi="宋体" w:eastAsia="宋体" w:cs="宋体"/>
          <w:b/>
          <w:color w:val="auto"/>
          <w:szCs w:val="24"/>
        </w:rPr>
        <w:t>（六）评 审</w:t>
      </w:r>
    </w:p>
    <w:p w14:paraId="7FB41A18">
      <w:pPr>
        <w:spacing w:line="360" w:lineRule="auto"/>
        <w:rPr>
          <w:rFonts w:hint="eastAsia" w:ascii="宋体" w:hAnsi="宋体" w:eastAsia="宋体" w:cs="宋体"/>
          <w:color w:val="auto"/>
          <w:szCs w:val="24"/>
        </w:rPr>
      </w:pPr>
      <w:r>
        <w:rPr>
          <w:rFonts w:hint="eastAsia" w:ascii="宋体" w:hAnsi="宋体" w:eastAsia="宋体" w:cs="宋体"/>
          <w:color w:val="auto"/>
          <w:szCs w:val="24"/>
        </w:rPr>
        <w:t>19、评审</w:t>
      </w:r>
      <w:bookmarkEnd w:id="33"/>
      <w:bookmarkEnd w:id="34"/>
    </w:p>
    <w:p w14:paraId="307E37A9">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19.1磋商小组将遵循公开、公平、公正和择优的原则，对所有供应商的磋商响应文件评审，都采用相同的程序和标准。</w:t>
      </w:r>
    </w:p>
    <w:p w14:paraId="02021D9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19.2评审过程的保密：评审应在严格保密的状态下进行，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6393A742">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19.3供应商或磋商响应文件出现的下列情形将按照无效响应文件处理，由磋商小组否决其磋商：</w:t>
      </w:r>
    </w:p>
    <w:p w14:paraId="781A49F4">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19.3.1未按磋商文件规定要求签署、盖章；</w:t>
      </w:r>
    </w:p>
    <w:p w14:paraId="0380C590">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19.3.2不具备磋商文件规定资格条件的或提供的资格证明文件不全的；</w:t>
      </w:r>
    </w:p>
    <w:p w14:paraId="4B52A8E5">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19.3.3响应文件内容不全或字迹模糊辨认不清导致磋商响应文件不满足磋商文件实质性要求的；</w:t>
      </w:r>
    </w:p>
    <w:p w14:paraId="5702D3C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19.3.4</w:t>
      </w:r>
      <w:r>
        <w:rPr>
          <w:rFonts w:hint="eastAsia" w:ascii="宋体" w:hAnsi="宋体" w:eastAsia="宋体" w:cs="宋体"/>
          <w:color w:val="auto"/>
          <w:szCs w:val="24"/>
          <w:lang w:val="en-US" w:eastAsia="zh-CN"/>
        </w:rPr>
        <w:t>报价超过竞争性磋商文件中规定的预算金额或者最高限价的或明显低于市场正常工资</w:t>
      </w:r>
      <w:r>
        <w:rPr>
          <w:rFonts w:hint="eastAsia" w:ascii="宋体" w:hAnsi="宋体" w:eastAsia="宋体" w:cs="宋体"/>
          <w:color w:val="auto"/>
          <w:szCs w:val="24"/>
        </w:rPr>
        <w:t>；</w:t>
      </w:r>
    </w:p>
    <w:p w14:paraId="7913D91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19.3.5</w:t>
      </w:r>
      <w:r>
        <w:rPr>
          <w:rFonts w:hint="eastAsia" w:ascii="宋体" w:hAnsi="宋体" w:eastAsia="宋体" w:cs="宋体"/>
          <w:color w:val="auto"/>
          <w:szCs w:val="24"/>
          <w:lang w:eastAsia="zh-CN"/>
        </w:rPr>
        <w:t>工期、</w:t>
      </w:r>
      <w:r>
        <w:rPr>
          <w:rFonts w:hint="eastAsia" w:ascii="宋体" w:hAnsi="宋体" w:eastAsia="宋体" w:cs="宋体"/>
          <w:color w:val="auto"/>
          <w:szCs w:val="24"/>
        </w:rPr>
        <w:t>付款方式不满足竞争性磋商文件要求的；</w:t>
      </w:r>
    </w:p>
    <w:p w14:paraId="6C95BCFC">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19.3.6</w:t>
      </w:r>
      <w:r>
        <w:rPr>
          <w:rFonts w:hint="eastAsia" w:ascii="宋体" w:hAnsi="宋体" w:eastAsia="宋体" w:cs="宋体"/>
          <w:color w:val="auto"/>
          <w:kern w:val="2"/>
          <w:sz w:val="24"/>
          <w:szCs w:val="22"/>
          <w:highlight w:val="none"/>
          <w:lang w:val="en-US" w:eastAsia="zh-CN" w:bidi="ar"/>
        </w:rPr>
        <w:t>无磋商有效期或有效期达不到磋商文件要求的；</w:t>
      </w:r>
    </w:p>
    <w:p w14:paraId="0B00687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19.3.7 属于磋商文件中所列无效响应情形的；</w:t>
      </w:r>
    </w:p>
    <w:p w14:paraId="4077E57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19.3.8 与磋商文件要求条款有重大偏离的；</w:t>
      </w:r>
    </w:p>
    <w:p w14:paraId="03EA3E63">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Cs w:val="24"/>
        </w:rPr>
        <w:t>19.3.</w:t>
      </w:r>
      <w:r>
        <w:rPr>
          <w:rFonts w:hint="eastAsia" w:ascii="宋体" w:hAnsi="宋体" w:eastAsia="宋体" w:cs="宋体"/>
          <w:color w:val="auto"/>
          <w:szCs w:val="24"/>
          <w:lang w:val="en-US" w:eastAsia="zh-CN"/>
        </w:rPr>
        <w:t xml:space="preserve">9 </w:t>
      </w:r>
      <w:r>
        <w:rPr>
          <w:rFonts w:hint="eastAsia" w:ascii="宋体" w:hAnsi="宋体" w:eastAsia="宋体" w:cs="宋体"/>
          <w:color w:val="auto"/>
          <w:sz w:val="24"/>
          <w:szCs w:val="24"/>
          <w:lang w:val="en-US" w:eastAsia="zh-CN"/>
        </w:rPr>
        <w:t>逾期提交电子响应文件；</w:t>
      </w:r>
    </w:p>
    <w:p w14:paraId="1FFA86E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Cs w:val="24"/>
        </w:rPr>
        <w:t>19.3.</w:t>
      </w:r>
      <w:r>
        <w:rPr>
          <w:rFonts w:hint="eastAsia" w:ascii="宋体" w:hAnsi="宋体" w:eastAsia="宋体" w:cs="宋体"/>
          <w:color w:val="auto"/>
          <w:szCs w:val="24"/>
          <w:lang w:val="en-US" w:eastAsia="zh-CN"/>
        </w:rPr>
        <w:t>10</w:t>
      </w:r>
      <w:r>
        <w:rPr>
          <w:rFonts w:hint="eastAsia" w:ascii="宋体" w:hAnsi="宋体" w:eastAsia="宋体" w:cs="宋体"/>
          <w:color w:val="auto"/>
          <w:sz w:val="24"/>
          <w:szCs w:val="24"/>
          <w:lang w:val="en-US" w:eastAsia="zh-CN"/>
        </w:rPr>
        <w:t>提交的响应文件与本项目不相符；</w:t>
      </w:r>
    </w:p>
    <w:p w14:paraId="7C7FA9E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Cs w:val="24"/>
        </w:rPr>
        <w:t>19.3.</w:t>
      </w:r>
      <w:r>
        <w:rPr>
          <w:rFonts w:hint="eastAsia" w:ascii="宋体" w:hAnsi="宋体" w:eastAsia="宋体" w:cs="宋体"/>
          <w:color w:val="auto"/>
          <w:szCs w:val="24"/>
          <w:lang w:val="en-US" w:eastAsia="zh-CN"/>
        </w:rPr>
        <w:t>11</w:t>
      </w:r>
      <w:r>
        <w:rPr>
          <w:rFonts w:hint="eastAsia" w:ascii="宋体" w:hAnsi="宋体" w:eastAsia="宋体" w:cs="宋体"/>
          <w:color w:val="auto"/>
          <w:sz w:val="24"/>
          <w:szCs w:val="24"/>
          <w:lang w:val="en-US" w:eastAsia="zh-CN"/>
        </w:rPr>
        <w:t>供应商拒绝对电子响应文件进行解密；</w:t>
      </w:r>
    </w:p>
    <w:p w14:paraId="4E3EF821">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Cs w:val="24"/>
        </w:rPr>
        <w:t>19.3.</w:t>
      </w:r>
      <w:r>
        <w:rPr>
          <w:rFonts w:hint="eastAsia" w:ascii="宋体" w:hAnsi="宋体" w:eastAsia="宋体" w:cs="宋体"/>
          <w:color w:val="auto"/>
          <w:szCs w:val="24"/>
          <w:lang w:val="en-US" w:eastAsia="zh-CN"/>
        </w:rPr>
        <w:t>12</w:t>
      </w:r>
      <w:r>
        <w:rPr>
          <w:rFonts w:hint="eastAsia" w:ascii="宋体" w:hAnsi="宋体" w:eastAsia="宋体" w:cs="宋体"/>
          <w:color w:val="auto"/>
          <w:sz w:val="24"/>
          <w:szCs w:val="24"/>
          <w:lang w:val="en-US" w:eastAsia="zh-CN"/>
        </w:rPr>
        <w:t>因供应商自身原因（如未带CA锁、或所带CA锁与制作电子响应文件使用的CA锁不一致、或沿用旧版磋商文件编制磋商响应文件等情形），导致在规定时间内无法解密响应文件；</w:t>
      </w:r>
    </w:p>
    <w:p w14:paraId="76C9DBFA">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Cs w:val="24"/>
        </w:rPr>
        <w:t>19.3.</w:t>
      </w:r>
      <w:r>
        <w:rPr>
          <w:rFonts w:hint="eastAsia" w:ascii="宋体" w:hAnsi="宋体" w:eastAsia="宋体" w:cs="宋体"/>
          <w:color w:val="auto"/>
          <w:szCs w:val="24"/>
          <w:lang w:val="en-US" w:eastAsia="zh-CN"/>
        </w:rPr>
        <w:t>13</w:t>
      </w:r>
      <w:r>
        <w:rPr>
          <w:rFonts w:hint="eastAsia" w:ascii="宋体" w:hAnsi="宋体" w:eastAsia="宋体" w:cs="宋体"/>
          <w:color w:val="auto"/>
          <w:sz w:val="24"/>
          <w:szCs w:val="24"/>
          <w:lang w:val="en-US" w:eastAsia="zh-CN"/>
        </w:rPr>
        <w:t>上传的电子响应文件无法打开；</w:t>
      </w:r>
    </w:p>
    <w:p w14:paraId="692B1D10">
      <w:pPr>
        <w:spacing w:line="360" w:lineRule="auto"/>
        <w:ind w:firstLine="480" w:firstLineChars="200"/>
        <w:rPr>
          <w:rFonts w:hint="eastAsia" w:ascii="宋体" w:hAnsi="宋体" w:eastAsia="宋体" w:cs="宋体"/>
          <w:color w:val="auto"/>
          <w:szCs w:val="24"/>
          <w:lang w:eastAsia="zh-CN"/>
        </w:rPr>
      </w:pPr>
      <w:r>
        <w:rPr>
          <w:rFonts w:hint="eastAsia" w:ascii="宋体" w:hAnsi="宋体" w:eastAsia="宋体" w:cs="宋体"/>
          <w:color w:val="auto"/>
          <w:szCs w:val="24"/>
        </w:rPr>
        <w:t>19.3.</w:t>
      </w:r>
      <w:r>
        <w:rPr>
          <w:rFonts w:hint="eastAsia" w:ascii="宋体" w:hAnsi="宋体" w:eastAsia="宋体" w:cs="宋体"/>
          <w:color w:val="auto"/>
          <w:szCs w:val="24"/>
          <w:lang w:val="en-US" w:eastAsia="zh-CN"/>
        </w:rPr>
        <w:t>14</w:t>
      </w:r>
      <w:r>
        <w:rPr>
          <w:rFonts w:hint="eastAsia" w:ascii="宋体" w:hAnsi="宋体" w:eastAsia="宋体" w:cs="宋体"/>
          <w:color w:val="auto"/>
          <w:szCs w:val="24"/>
        </w:rPr>
        <w:t>不符合法律、法规和磋商文件中规定的其他实质性要求的</w:t>
      </w:r>
      <w:r>
        <w:rPr>
          <w:rFonts w:hint="eastAsia" w:ascii="宋体" w:hAnsi="宋体" w:eastAsia="宋体" w:cs="宋体"/>
          <w:color w:val="auto"/>
          <w:szCs w:val="24"/>
          <w:lang w:eastAsia="zh-CN"/>
        </w:rPr>
        <w:t>；</w:t>
      </w:r>
    </w:p>
    <w:p w14:paraId="390D32AC">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19.3.15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投标处理。</w:t>
      </w:r>
    </w:p>
    <w:p w14:paraId="35E56A05">
      <w:pPr>
        <w:spacing w:line="360" w:lineRule="auto"/>
        <w:rPr>
          <w:rFonts w:hint="eastAsia" w:ascii="宋体" w:hAnsi="宋体" w:eastAsia="宋体" w:cs="宋体"/>
          <w:color w:val="auto"/>
          <w:szCs w:val="24"/>
        </w:rPr>
      </w:pPr>
      <w:bookmarkStart w:id="35" w:name="_Toc394934437"/>
      <w:r>
        <w:rPr>
          <w:rFonts w:hint="eastAsia" w:ascii="宋体" w:hAnsi="宋体" w:eastAsia="宋体" w:cs="宋体"/>
          <w:color w:val="auto"/>
          <w:szCs w:val="24"/>
        </w:rPr>
        <w:t>20、评审</w:t>
      </w:r>
      <w:bookmarkEnd w:id="35"/>
      <w:r>
        <w:rPr>
          <w:rFonts w:hint="eastAsia" w:ascii="宋体" w:hAnsi="宋体" w:eastAsia="宋体" w:cs="宋体"/>
          <w:color w:val="auto"/>
          <w:szCs w:val="24"/>
        </w:rPr>
        <w:t>程序及办法</w:t>
      </w:r>
    </w:p>
    <w:p w14:paraId="7CE77E24">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20.1采购人对各个供应商的响应文件先进行资格审查，磋商小组再进行符合性审查，审查全都合格的供应商才有参加磋商与承诺的资格。</w:t>
      </w:r>
    </w:p>
    <w:p w14:paraId="69012DBE">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20.1.1资格审查内容为：供应商须知前附表（供应商资质证明文件）</w:t>
      </w:r>
    </w:p>
    <w:p w14:paraId="6DB51991">
      <w:pPr>
        <w:spacing w:line="360" w:lineRule="auto"/>
        <w:ind w:firstLine="480" w:firstLineChars="200"/>
        <w:rPr>
          <w:rFonts w:hint="eastAsia" w:ascii="宋体" w:hAnsi="宋体" w:eastAsia="宋体" w:cs="宋体"/>
          <w:color w:val="auto"/>
          <w:szCs w:val="24"/>
          <w:lang w:val="en-US" w:eastAsia="zh-CN"/>
        </w:rPr>
      </w:pPr>
      <w:r>
        <w:rPr>
          <w:rFonts w:hint="eastAsia" w:ascii="宋体" w:hAnsi="宋体" w:eastAsia="宋体" w:cs="宋体"/>
          <w:color w:val="auto"/>
          <w:szCs w:val="24"/>
        </w:rPr>
        <w:t>20.2符合性审查内容为：</w:t>
      </w:r>
      <w:r>
        <w:rPr>
          <w:rFonts w:hint="eastAsia" w:ascii="宋体" w:hAnsi="宋体" w:eastAsia="宋体" w:cs="宋体"/>
          <w:color w:val="auto"/>
          <w:szCs w:val="24"/>
          <w:lang w:eastAsia="zh-CN"/>
        </w:rPr>
        <w:t>详见评标</w:t>
      </w:r>
      <w:r>
        <w:rPr>
          <w:rFonts w:hint="eastAsia" w:ascii="宋体" w:hAnsi="宋体" w:eastAsia="宋体" w:cs="宋体"/>
          <w:color w:val="auto"/>
          <w:szCs w:val="24"/>
          <w:lang w:val="en-US" w:eastAsia="zh-CN"/>
        </w:rPr>
        <w:t>办法</w:t>
      </w:r>
    </w:p>
    <w:p w14:paraId="6E34AEF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lang w:val="en-US" w:eastAsia="zh-CN"/>
        </w:rPr>
        <w:t>20.3</w:t>
      </w:r>
      <w:r>
        <w:rPr>
          <w:rFonts w:hint="eastAsia" w:ascii="宋体" w:hAnsi="宋体" w:eastAsia="宋体" w:cs="宋体"/>
          <w:color w:val="auto"/>
          <w:szCs w:val="24"/>
        </w:rPr>
        <w:t>磋商</w:t>
      </w:r>
    </w:p>
    <w:p w14:paraId="6138C3AA">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0</w:t>
      </w:r>
      <w:r>
        <w:rPr>
          <w:rFonts w:hint="eastAsia" w:ascii="宋体" w:hAnsi="宋体" w:eastAsia="宋体" w:cs="宋体"/>
          <w:color w:val="auto"/>
          <w:szCs w:val="24"/>
        </w:rPr>
        <w:t>.</w:t>
      </w:r>
      <w:r>
        <w:rPr>
          <w:rFonts w:hint="eastAsia" w:ascii="宋体" w:hAnsi="宋体" w:eastAsia="宋体" w:cs="宋体"/>
          <w:color w:val="auto"/>
          <w:szCs w:val="24"/>
          <w:lang w:val="en-US" w:eastAsia="zh-CN"/>
        </w:rPr>
        <w:t>3.1</w:t>
      </w:r>
      <w:r>
        <w:rPr>
          <w:rFonts w:hint="eastAsia" w:ascii="宋体" w:hAnsi="宋体" w:eastAsia="宋体" w:cs="宋体"/>
          <w:color w:val="auto"/>
          <w:szCs w:val="24"/>
        </w:rPr>
        <w:t>磋商小组根据各磋商供应商响应文件响应情况决定是否与各供应商进行磋商，磋商方式为磋商小组所有成员集中与单一供应商分别进行磋商，并给与参加磋商的供应商平等的磋商机会。</w:t>
      </w:r>
    </w:p>
    <w:p w14:paraId="1D512649">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0</w:t>
      </w:r>
      <w:r>
        <w:rPr>
          <w:rFonts w:hint="eastAsia" w:ascii="宋体" w:hAnsi="宋体" w:eastAsia="宋体" w:cs="宋体"/>
          <w:color w:val="auto"/>
          <w:szCs w:val="24"/>
        </w:rPr>
        <w:t>.</w:t>
      </w:r>
      <w:r>
        <w:rPr>
          <w:rFonts w:hint="eastAsia" w:ascii="宋体" w:hAnsi="宋体" w:eastAsia="宋体" w:cs="宋体"/>
          <w:color w:val="auto"/>
          <w:szCs w:val="24"/>
          <w:lang w:val="en-US" w:eastAsia="zh-CN"/>
        </w:rPr>
        <w:t>3.2</w:t>
      </w:r>
      <w:r>
        <w:rPr>
          <w:rFonts w:hint="eastAsia" w:ascii="宋体" w:hAnsi="宋体" w:eastAsia="宋体" w:cs="宋体"/>
          <w:color w:val="auto"/>
          <w:szCs w:val="24"/>
        </w:rPr>
        <w:t>经磋商小组评审，质量和服务均能满足磋商文件实质性响应要求的供应商才具有最后报价的机会。供应商应按磋商小组规定的时间进行最后报价，最后报价现场不公布。该磋商报价为不可更改价格，作为磋商小组推荐成交候选人的依据。</w:t>
      </w:r>
    </w:p>
    <w:p w14:paraId="537C2A46">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0</w:t>
      </w:r>
      <w:r>
        <w:rPr>
          <w:rFonts w:hint="eastAsia" w:ascii="宋体" w:hAnsi="宋体" w:eastAsia="宋体" w:cs="宋体"/>
          <w:color w:val="auto"/>
          <w:szCs w:val="24"/>
        </w:rPr>
        <w:t>.3</w:t>
      </w:r>
      <w:r>
        <w:rPr>
          <w:rFonts w:hint="eastAsia" w:ascii="宋体" w:hAnsi="宋体" w:eastAsia="宋体" w:cs="宋体"/>
          <w:color w:val="auto"/>
          <w:szCs w:val="24"/>
          <w:lang w:val="en-US" w:eastAsia="zh-CN"/>
        </w:rPr>
        <w:t>.3</w:t>
      </w:r>
      <w:r>
        <w:rPr>
          <w:rFonts w:hint="eastAsia" w:ascii="宋体" w:hAnsi="宋体" w:eastAsia="宋体" w:cs="宋体"/>
          <w:color w:val="auto"/>
          <w:szCs w:val="24"/>
        </w:rPr>
        <w:t>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531A4AA7">
      <w:pPr>
        <w:spacing w:line="360" w:lineRule="auto"/>
        <w:ind w:firstLine="480" w:firstLineChars="200"/>
        <w:rPr>
          <w:rFonts w:hint="eastAsia" w:ascii="宋体" w:hAnsi="宋体" w:eastAsia="宋体" w:cs="宋体"/>
          <w:color w:val="auto"/>
          <w:szCs w:val="24"/>
          <w:lang w:eastAsia="zh-CN"/>
        </w:rPr>
      </w:pPr>
      <w:r>
        <w:rPr>
          <w:rFonts w:hint="eastAsia" w:ascii="宋体" w:hAnsi="宋体" w:eastAsia="宋体" w:cs="宋体"/>
          <w:color w:val="auto"/>
          <w:szCs w:val="24"/>
          <w:lang w:val="en-US" w:eastAsia="zh-CN"/>
        </w:rPr>
        <w:t>20.4</w:t>
      </w:r>
      <w:r>
        <w:rPr>
          <w:rFonts w:hint="eastAsia" w:ascii="宋体" w:hAnsi="宋体" w:eastAsia="宋体" w:cs="宋体"/>
          <w:color w:val="auto"/>
          <w:szCs w:val="24"/>
        </w:rPr>
        <w:t>评委会各成员按照</w:t>
      </w:r>
      <w:r>
        <w:rPr>
          <w:rFonts w:hint="eastAsia" w:ascii="宋体" w:hAnsi="宋体" w:eastAsia="宋体" w:cs="宋体"/>
          <w:color w:val="auto"/>
          <w:sz w:val="24"/>
          <w:szCs w:val="24"/>
        </w:rPr>
        <w:t>磋商文件中规定的各项因素进行综合评</w:t>
      </w:r>
      <w:r>
        <w:rPr>
          <w:rFonts w:hint="eastAsia" w:ascii="宋体" w:hAnsi="宋体" w:eastAsia="宋体" w:cs="宋体"/>
          <w:color w:val="auto"/>
          <w:sz w:val="24"/>
          <w:szCs w:val="24"/>
          <w:lang w:eastAsia="zh-CN"/>
        </w:rPr>
        <w:t>审</w:t>
      </w:r>
      <w:r>
        <w:rPr>
          <w:rFonts w:hint="eastAsia" w:ascii="宋体" w:hAnsi="宋体" w:eastAsia="宋体" w:cs="宋体"/>
          <w:color w:val="auto"/>
          <w:sz w:val="24"/>
          <w:szCs w:val="24"/>
        </w:rPr>
        <w:t>，以</w:t>
      </w:r>
      <w:r>
        <w:rPr>
          <w:rFonts w:hint="eastAsia" w:ascii="宋体" w:hAnsi="宋体" w:eastAsia="宋体" w:cs="宋体"/>
          <w:color w:val="auto"/>
          <w:szCs w:val="24"/>
        </w:rPr>
        <w:t>最后</w:t>
      </w:r>
      <w:r>
        <w:rPr>
          <w:rFonts w:hint="eastAsia" w:ascii="宋体" w:hAnsi="宋体" w:eastAsia="宋体" w:cs="宋体"/>
          <w:color w:val="auto"/>
          <w:sz w:val="24"/>
          <w:szCs w:val="24"/>
        </w:rPr>
        <w:t>得分由高到低</w:t>
      </w:r>
      <w:r>
        <w:rPr>
          <w:rFonts w:hint="eastAsia" w:ascii="宋体" w:hAnsi="宋体" w:eastAsia="宋体" w:cs="宋体"/>
          <w:color w:val="auto"/>
          <w:sz w:val="24"/>
          <w:szCs w:val="24"/>
          <w:lang w:eastAsia="zh-CN"/>
        </w:rPr>
        <w:t>的顺序</w:t>
      </w:r>
      <w:r>
        <w:rPr>
          <w:rFonts w:hint="eastAsia" w:ascii="宋体" w:hAnsi="宋体" w:eastAsia="宋体" w:cs="宋体"/>
          <w:color w:val="auto"/>
          <w:sz w:val="24"/>
          <w:szCs w:val="24"/>
        </w:rPr>
        <w:t>推荐成交候选人</w:t>
      </w:r>
      <w:r>
        <w:rPr>
          <w:rFonts w:hint="eastAsia" w:ascii="宋体" w:hAnsi="宋体" w:eastAsia="宋体" w:cs="宋体"/>
          <w:color w:val="auto"/>
          <w:sz w:val="24"/>
          <w:szCs w:val="24"/>
          <w:lang w:eastAsia="zh-CN"/>
        </w:rPr>
        <w:t>。</w:t>
      </w:r>
    </w:p>
    <w:p w14:paraId="11209C4D">
      <w:pPr>
        <w:spacing w:line="360" w:lineRule="auto"/>
        <w:ind w:firstLine="496" w:firstLineChars="200"/>
        <w:rPr>
          <w:rFonts w:hint="eastAsia" w:ascii="宋体" w:hAnsi="宋体" w:eastAsia="宋体" w:cs="宋体"/>
          <w:color w:val="auto"/>
          <w:szCs w:val="24"/>
        </w:rPr>
      </w:pPr>
      <w:r>
        <w:rPr>
          <w:rFonts w:hint="eastAsia" w:ascii="宋体" w:hAnsi="宋体" w:eastAsia="宋体" w:cs="宋体"/>
          <w:bCs/>
          <w:color w:val="auto"/>
          <w:spacing w:val="4"/>
          <w:szCs w:val="24"/>
          <w:lang w:val="en-US" w:eastAsia="zh-CN"/>
        </w:rPr>
        <w:t>20.5</w:t>
      </w:r>
      <w:r>
        <w:rPr>
          <w:rFonts w:hint="eastAsia" w:ascii="宋体" w:hAnsi="宋体" w:eastAsia="宋体" w:cs="宋体"/>
          <w:color w:val="auto"/>
          <w:szCs w:val="24"/>
        </w:rPr>
        <w:t>评审方法</w:t>
      </w:r>
    </w:p>
    <w:p w14:paraId="11460CDD">
      <w:pPr>
        <w:spacing w:line="360" w:lineRule="auto"/>
        <w:ind w:firstLine="480" w:firstLineChars="200"/>
        <w:jc w:val="left"/>
        <w:rPr>
          <w:rFonts w:hint="eastAsia" w:ascii="宋体" w:hAnsi="宋体" w:eastAsia="宋体" w:cs="宋体"/>
          <w:color w:val="auto"/>
          <w:szCs w:val="24"/>
        </w:rPr>
      </w:pPr>
      <w:r>
        <w:rPr>
          <w:rFonts w:hint="eastAsia" w:ascii="宋体" w:hAnsi="宋体" w:eastAsia="宋体" w:cs="宋体"/>
          <w:color w:val="auto"/>
          <w:szCs w:val="24"/>
        </w:rPr>
        <w:t>磋商小组从质量和服务均能满足磋商文件实质性响应要求的供应商中，按照最后得分由高到低的顺序提出成交候选人。</w:t>
      </w:r>
    </w:p>
    <w:p w14:paraId="7C2CA363">
      <w:pPr>
        <w:spacing w:line="360" w:lineRule="auto"/>
        <w:jc w:val="center"/>
        <w:rPr>
          <w:rFonts w:hint="eastAsia" w:ascii="宋体" w:hAnsi="宋体" w:eastAsia="宋体" w:cs="宋体"/>
          <w:b/>
          <w:snapToGrid w:val="0"/>
          <w:color w:val="auto"/>
          <w:szCs w:val="24"/>
        </w:rPr>
      </w:pPr>
      <w:r>
        <w:rPr>
          <w:rFonts w:hint="eastAsia" w:ascii="宋体" w:hAnsi="宋体" w:eastAsia="宋体" w:cs="宋体"/>
          <w:b/>
          <w:snapToGrid w:val="0"/>
          <w:color w:val="auto"/>
          <w:szCs w:val="24"/>
        </w:rPr>
        <w:t>（八） 授予合同</w:t>
      </w:r>
    </w:p>
    <w:p w14:paraId="1879F003">
      <w:pPr>
        <w:spacing w:line="360" w:lineRule="auto"/>
        <w:rPr>
          <w:rFonts w:hint="eastAsia" w:ascii="宋体" w:hAnsi="宋体" w:eastAsia="宋体" w:cs="宋体"/>
          <w:color w:val="auto"/>
          <w:szCs w:val="24"/>
        </w:rPr>
      </w:pPr>
      <w:bookmarkStart w:id="36" w:name="_Toc385992361"/>
      <w:bookmarkStart w:id="37" w:name="_Toc389620200"/>
      <w:bookmarkStart w:id="38" w:name="_Toc394934441"/>
      <w:bookmarkStart w:id="39" w:name="_Toc246928926"/>
      <w:r>
        <w:rPr>
          <w:rFonts w:hint="eastAsia" w:ascii="宋体" w:hAnsi="宋体" w:eastAsia="宋体" w:cs="宋体"/>
          <w:color w:val="auto"/>
          <w:szCs w:val="24"/>
        </w:rPr>
        <w:t>2</w:t>
      </w:r>
      <w:r>
        <w:rPr>
          <w:rFonts w:hint="eastAsia" w:ascii="宋体" w:hAnsi="宋体" w:eastAsia="宋体" w:cs="宋体"/>
          <w:color w:val="auto"/>
          <w:szCs w:val="24"/>
          <w:lang w:val="en-US" w:eastAsia="zh-CN"/>
        </w:rPr>
        <w:t>1</w:t>
      </w:r>
      <w:r>
        <w:rPr>
          <w:rFonts w:hint="eastAsia" w:ascii="宋体" w:hAnsi="宋体" w:eastAsia="宋体" w:cs="宋体"/>
          <w:color w:val="auto"/>
          <w:szCs w:val="24"/>
        </w:rPr>
        <w:t>、成交准则</w:t>
      </w:r>
      <w:bookmarkEnd w:id="36"/>
      <w:bookmarkEnd w:id="37"/>
      <w:bookmarkEnd w:id="38"/>
      <w:bookmarkEnd w:id="39"/>
    </w:p>
    <w:p w14:paraId="028D9ACD">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1</w:t>
      </w:r>
      <w:r>
        <w:rPr>
          <w:rFonts w:hint="eastAsia" w:ascii="宋体" w:hAnsi="宋体" w:eastAsia="宋体" w:cs="宋体"/>
          <w:color w:val="auto"/>
          <w:szCs w:val="24"/>
        </w:rPr>
        <w:t>.1合同将授予响应文件符合磋商文件要求、并能圆满地履行合同且总得分最高的供应商。</w:t>
      </w:r>
    </w:p>
    <w:p w14:paraId="7EF98410">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1</w:t>
      </w:r>
      <w:r>
        <w:rPr>
          <w:rFonts w:hint="eastAsia" w:ascii="宋体" w:hAnsi="宋体" w:eastAsia="宋体" w:cs="宋体"/>
          <w:color w:val="auto"/>
          <w:szCs w:val="24"/>
        </w:rPr>
        <w:t>.2磋商小组将根据评审方法推荐成交候选供应商名单。</w:t>
      </w:r>
      <w:bookmarkStart w:id="40" w:name="_Toc389620201"/>
      <w:bookmarkStart w:id="41" w:name="_Toc385992362"/>
    </w:p>
    <w:p w14:paraId="69BC78D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1</w:t>
      </w:r>
      <w:r>
        <w:rPr>
          <w:rFonts w:hint="eastAsia" w:ascii="宋体" w:hAnsi="宋体" w:eastAsia="宋体" w:cs="宋体"/>
          <w:color w:val="auto"/>
          <w:szCs w:val="24"/>
        </w:rPr>
        <w:t>.3采购代理机构在评审结束后将评审结论送采购人，采购人在收到评审结论后按照评审报告中推荐的成交候选供应商确定成交人。</w:t>
      </w:r>
    </w:p>
    <w:p w14:paraId="04D3152E">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1</w:t>
      </w:r>
      <w:r>
        <w:rPr>
          <w:rFonts w:hint="eastAsia" w:ascii="宋体" w:hAnsi="宋体" w:eastAsia="宋体" w:cs="宋体"/>
          <w:color w:val="auto"/>
          <w:szCs w:val="24"/>
        </w:rPr>
        <w:t>.4成交人因不可抗力或自身原因不能履行合同的，采购人可以再排位在成交人之后的第一位的成交候选人签订合同，以此类推。</w:t>
      </w:r>
    </w:p>
    <w:bookmarkEnd w:id="40"/>
    <w:bookmarkEnd w:id="41"/>
    <w:p w14:paraId="416C9F42">
      <w:pPr>
        <w:spacing w:line="360" w:lineRule="auto"/>
        <w:rPr>
          <w:rFonts w:hint="eastAsia" w:ascii="宋体" w:hAnsi="宋体" w:eastAsia="宋体" w:cs="宋体"/>
          <w:color w:val="auto"/>
          <w:szCs w:val="24"/>
        </w:rPr>
      </w:pPr>
      <w:bookmarkStart w:id="42" w:name="_Toc385992364"/>
      <w:bookmarkStart w:id="43" w:name="_Toc389620203"/>
      <w:bookmarkStart w:id="44" w:name="_Toc246928927"/>
      <w:bookmarkStart w:id="45" w:name="_Toc394934442"/>
      <w:r>
        <w:rPr>
          <w:rFonts w:hint="eastAsia" w:ascii="宋体" w:hAnsi="宋体" w:eastAsia="宋体" w:cs="宋体"/>
          <w:color w:val="auto"/>
          <w:szCs w:val="24"/>
        </w:rPr>
        <w:t>2</w:t>
      </w:r>
      <w:r>
        <w:rPr>
          <w:rFonts w:hint="eastAsia" w:ascii="宋体" w:hAnsi="宋体" w:eastAsia="宋体" w:cs="宋体"/>
          <w:color w:val="auto"/>
          <w:szCs w:val="24"/>
          <w:lang w:val="en-US" w:eastAsia="zh-CN"/>
        </w:rPr>
        <w:t>2</w:t>
      </w:r>
      <w:r>
        <w:rPr>
          <w:rFonts w:hint="eastAsia" w:ascii="宋体" w:hAnsi="宋体" w:eastAsia="宋体" w:cs="宋体"/>
          <w:color w:val="auto"/>
          <w:szCs w:val="24"/>
        </w:rPr>
        <w:t>、定标</w:t>
      </w:r>
    </w:p>
    <w:p w14:paraId="34241D6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lang w:val="en-US" w:eastAsia="zh-CN"/>
        </w:rPr>
        <w:t>22</w:t>
      </w:r>
      <w:r>
        <w:rPr>
          <w:rFonts w:hint="eastAsia" w:ascii="宋体" w:hAnsi="宋体" w:eastAsia="宋体" w:cs="宋体"/>
          <w:color w:val="auto"/>
          <w:szCs w:val="24"/>
        </w:rPr>
        <w:t>.1采购代理机构应在评审结束后2个工作日内，将评审结论送采购人确认。</w:t>
      </w:r>
    </w:p>
    <w:bookmarkEnd w:id="42"/>
    <w:bookmarkEnd w:id="43"/>
    <w:p w14:paraId="348FAC4D">
      <w:pPr>
        <w:spacing w:line="360" w:lineRule="auto"/>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3</w:t>
      </w:r>
      <w:r>
        <w:rPr>
          <w:rFonts w:hint="eastAsia" w:ascii="宋体" w:hAnsi="宋体" w:eastAsia="宋体" w:cs="宋体"/>
          <w:color w:val="auto"/>
          <w:szCs w:val="24"/>
        </w:rPr>
        <w:t>、成交通知</w:t>
      </w:r>
      <w:bookmarkEnd w:id="44"/>
      <w:r>
        <w:rPr>
          <w:rFonts w:hint="eastAsia" w:ascii="宋体" w:hAnsi="宋体" w:eastAsia="宋体" w:cs="宋体"/>
          <w:color w:val="auto"/>
          <w:szCs w:val="24"/>
        </w:rPr>
        <w:t>书</w:t>
      </w:r>
      <w:bookmarkEnd w:id="45"/>
    </w:p>
    <w:p w14:paraId="3BA1D213">
      <w:pPr>
        <w:spacing w:line="360" w:lineRule="auto"/>
        <w:ind w:firstLine="480" w:firstLineChars="200"/>
        <w:rPr>
          <w:rFonts w:hint="eastAsia" w:ascii="宋体" w:hAnsi="宋体" w:eastAsia="宋体" w:cs="宋体"/>
          <w:color w:val="auto"/>
          <w:szCs w:val="24"/>
        </w:rPr>
      </w:pPr>
      <w:bookmarkStart w:id="46" w:name="_Toc246928928"/>
      <w:bookmarkStart w:id="47" w:name="_Toc389620205"/>
      <w:bookmarkStart w:id="48" w:name="_Toc385992366"/>
      <w:bookmarkStart w:id="49" w:name="_Toc394934443"/>
      <w:r>
        <w:rPr>
          <w:rFonts w:hint="eastAsia" w:ascii="宋体" w:hAnsi="宋体" w:eastAsia="宋体" w:cs="宋体"/>
          <w:color w:val="auto"/>
          <w:szCs w:val="24"/>
        </w:rPr>
        <w:t>2</w:t>
      </w:r>
      <w:r>
        <w:rPr>
          <w:rFonts w:hint="eastAsia" w:ascii="宋体" w:hAnsi="宋体" w:eastAsia="宋体" w:cs="宋体"/>
          <w:color w:val="auto"/>
          <w:szCs w:val="24"/>
          <w:lang w:val="en-US" w:eastAsia="zh-CN"/>
        </w:rPr>
        <w:t>3</w:t>
      </w:r>
      <w:r>
        <w:rPr>
          <w:rFonts w:hint="eastAsia" w:ascii="宋体" w:hAnsi="宋体" w:eastAsia="宋体" w:cs="宋体"/>
          <w:color w:val="auto"/>
          <w:szCs w:val="24"/>
        </w:rPr>
        <w:t>.1《成交通知书》将作为签订合同的依据。</w:t>
      </w:r>
    </w:p>
    <w:p w14:paraId="2C90CF3E">
      <w:pPr>
        <w:spacing w:line="360" w:lineRule="auto"/>
        <w:ind w:firstLine="480" w:firstLineChars="200"/>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3</w:t>
      </w:r>
      <w:r>
        <w:rPr>
          <w:rFonts w:hint="eastAsia" w:ascii="宋体" w:hAnsi="宋体" w:eastAsia="宋体" w:cs="宋体"/>
          <w:color w:val="auto"/>
          <w:szCs w:val="24"/>
        </w:rPr>
        <w:t>.2</w:t>
      </w:r>
      <w:r>
        <w:rPr>
          <w:rFonts w:hint="eastAsia" w:ascii="宋体" w:hAnsi="宋体" w:eastAsia="宋体" w:cs="宋体"/>
          <w:color w:val="auto"/>
          <w:kern w:val="2"/>
          <w:sz w:val="24"/>
          <w:szCs w:val="24"/>
          <w:highlight w:val="none"/>
          <w:lang w:val="en-US" w:eastAsia="zh-CN" w:bidi="ar"/>
        </w:rPr>
        <w:t>中标人确定之后，中标结果将在财政部门指定的政府采购信息发布媒体上公告，在公告中标结果的同时，采购人或者采购代理机构应当向中标人发出中标通知书；对未通过资格审查的投标人，应当告知其未通过的原因；采用综合评分法评审的，还应当告知未中标人本人的评审得分与排序。</w:t>
      </w:r>
    </w:p>
    <w:p w14:paraId="2507A8CC">
      <w:pPr>
        <w:spacing w:line="360" w:lineRule="auto"/>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4</w:t>
      </w:r>
      <w:r>
        <w:rPr>
          <w:rFonts w:hint="eastAsia" w:ascii="宋体" w:hAnsi="宋体" w:eastAsia="宋体" w:cs="宋体"/>
          <w:color w:val="auto"/>
          <w:szCs w:val="24"/>
        </w:rPr>
        <w:t>、签订合同</w:t>
      </w:r>
      <w:bookmarkEnd w:id="46"/>
      <w:bookmarkEnd w:id="47"/>
      <w:bookmarkEnd w:id="48"/>
      <w:bookmarkEnd w:id="49"/>
    </w:p>
    <w:p w14:paraId="6E2DAFDB">
      <w:pPr>
        <w:spacing w:line="360" w:lineRule="auto"/>
        <w:ind w:firstLine="480" w:firstLineChars="200"/>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4</w:t>
      </w:r>
      <w:r>
        <w:rPr>
          <w:rFonts w:hint="eastAsia" w:ascii="宋体" w:hAnsi="宋体" w:eastAsia="宋体" w:cs="宋体"/>
          <w:color w:val="auto"/>
          <w:szCs w:val="24"/>
        </w:rPr>
        <w:t>.1成交人应当自成交通知书发出之日起</w:t>
      </w:r>
      <w:r>
        <w:rPr>
          <w:rFonts w:hint="eastAsia" w:ascii="宋体" w:hAnsi="宋体" w:eastAsia="宋体" w:cs="宋体"/>
          <w:b/>
          <w:bCs/>
          <w:color w:val="auto"/>
          <w:szCs w:val="24"/>
          <w:lang w:val="en-US" w:eastAsia="zh-CN"/>
        </w:rPr>
        <w:t>十</w:t>
      </w:r>
      <w:r>
        <w:rPr>
          <w:rFonts w:hint="eastAsia" w:ascii="宋体" w:hAnsi="宋体" w:eastAsia="宋体" w:cs="宋体"/>
          <w:b/>
          <w:bCs/>
          <w:color w:val="auto"/>
          <w:szCs w:val="24"/>
        </w:rPr>
        <w:t>日</w:t>
      </w:r>
      <w:r>
        <w:rPr>
          <w:rFonts w:hint="eastAsia" w:ascii="宋体" w:hAnsi="宋体" w:eastAsia="宋体" w:cs="宋体"/>
          <w:color w:val="auto"/>
          <w:szCs w:val="24"/>
        </w:rPr>
        <w:t>内，按照磋商文件确定的事项和成交人的响应文件，持成交通知书与采购人签订合同</w:t>
      </w:r>
      <w:r>
        <w:rPr>
          <w:rFonts w:hint="eastAsia" w:ascii="宋体" w:hAnsi="宋体" w:eastAsia="宋体" w:cs="宋体"/>
          <w:color w:val="auto"/>
          <w:kern w:val="2"/>
          <w:sz w:val="24"/>
          <w:szCs w:val="24"/>
          <w:highlight w:val="none"/>
          <w:lang w:val="en-US" w:eastAsia="zh-CN" w:bidi="ar"/>
        </w:rPr>
        <w:t>。</w:t>
      </w:r>
    </w:p>
    <w:p w14:paraId="3F2FA456">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4</w:t>
      </w:r>
      <w:r>
        <w:rPr>
          <w:rFonts w:hint="eastAsia" w:ascii="宋体" w:hAnsi="宋体" w:eastAsia="宋体" w:cs="宋体"/>
          <w:color w:val="auto"/>
          <w:szCs w:val="24"/>
        </w:rPr>
        <w:t>.2 磋商文件、成交人的响应文件和补充文件（如澄清、承诺等）等，均为签订合同的依据。所签订的合同不得对磋商文件和成交人响应文件作实质性修改。</w:t>
      </w:r>
    </w:p>
    <w:p w14:paraId="06B4D16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.2采购人自采购合同签订之日起</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个工作日</w:t>
      </w:r>
      <w:r>
        <w:rPr>
          <w:rFonts w:hint="eastAsia" w:ascii="宋体" w:hAnsi="宋体" w:eastAsia="宋体" w:cs="宋体"/>
          <w:color w:val="auto"/>
          <w:sz w:val="24"/>
          <w:szCs w:val="24"/>
        </w:rPr>
        <w:t>内，将采购合同副本报同级人民政府财政部门备案。</w:t>
      </w:r>
    </w:p>
    <w:p w14:paraId="2852915E">
      <w:pPr>
        <w:pStyle w:val="7"/>
        <w:rPr>
          <w:rFonts w:hint="eastAsia" w:ascii="宋体" w:hAnsi="宋体" w:eastAsia="宋体" w:cs="宋体"/>
          <w:color w:val="auto"/>
        </w:rPr>
      </w:pPr>
    </w:p>
    <w:p w14:paraId="328721A4">
      <w:pPr>
        <w:spacing w:line="360" w:lineRule="auto"/>
        <w:jc w:val="center"/>
        <w:rPr>
          <w:rFonts w:hint="eastAsia" w:ascii="宋体" w:hAnsi="宋体" w:eastAsia="宋体" w:cs="宋体"/>
          <w:b/>
          <w:snapToGrid w:val="0"/>
          <w:color w:val="auto"/>
          <w:szCs w:val="24"/>
        </w:rPr>
      </w:pPr>
      <w:bookmarkStart w:id="50" w:name="_Toc7215"/>
      <w:r>
        <w:rPr>
          <w:rFonts w:hint="eastAsia" w:ascii="宋体" w:hAnsi="宋体" w:eastAsia="宋体" w:cs="宋体"/>
          <w:b/>
          <w:snapToGrid w:val="0"/>
          <w:color w:val="auto"/>
          <w:szCs w:val="24"/>
        </w:rPr>
        <w:t>（九）合同的履约验收</w:t>
      </w:r>
      <w:bookmarkEnd w:id="50"/>
    </w:p>
    <w:p w14:paraId="27D22F96">
      <w:pPr>
        <w:spacing w:line="360" w:lineRule="auto"/>
        <w:rPr>
          <w:rFonts w:hint="eastAsia" w:ascii="宋体" w:hAnsi="宋体" w:eastAsia="宋体" w:cs="宋体"/>
          <w:color w:val="auto"/>
        </w:rPr>
      </w:pPr>
      <w:r>
        <w:rPr>
          <w:rFonts w:hint="eastAsia" w:ascii="宋体" w:hAnsi="宋体" w:eastAsia="宋体" w:cs="宋体"/>
          <w:color w:val="auto"/>
        </w:rPr>
        <w:t xml:space="preserve">     采购人应按照政府采购合同约定的技术、服务、安全标准组织对</w:t>
      </w:r>
      <w:r>
        <w:rPr>
          <w:rFonts w:hint="eastAsia" w:ascii="宋体" w:hAnsi="宋体" w:eastAsia="宋体" w:cs="宋体"/>
          <w:color w:val="auto"/>
          <w:lang w:eastAsia="zh-CN"/>
        </w:rPr>
        <w:t>供应商</w:t>
      </w:r>
      <w:r>
        <w:rPr>
          <w:rFonts w:hint="eastAsia" w:ascii="宋体" w:hAnsi="宋体" w:eastAsia="宋体" w:cs="宋体"/>
          <w:color w:val="auto"/>
        </w:rPr>
        <w:t>每一项技术、服务、安全标准的履约情况进行验收，并出具验收书。</w:t>
      </w:r>
    </w:p>
    <w:p w14:paraId="6F9BCDFA">
      <w:pPr>
        <w:spacing w:line="360" w:lineRule="auto"/>
        <w:jc w:val="center"/>
        <w:rPr>
          <w:rFonts w:hint="eastAsia" w:ascii="宋体" w:hAnsi="宋体" w:eastAsia="宋体" w:cs="宋体"/>
          <w:b/>
          <w:snapToGrid w:val="0"/>
          <w:color w:val="auto"/>
          <w:szCs w:val="24"/>
        </w:rPr>
      </w:pPr>
      <w:bookmarkStart w:id="51" w:name="_Toc15528"/>
      <w:r>
        <w:rPr>
          <w:rFonts w:hint="eastAsia" w:ascii="宋体" w:hAnsi="宋体" w:eastAsia="宋体" w:cs="宋体"/>
          <w:b/>
          <w:snapToGrid w:val="0"/>
          <w:color w:val="auto"/>
          <w:szCs w:val="24"/>
        </w:rPr>
        <w:t>（十）招标服务费</w:t>
      </w:r>
      <w:bookmarkEnd w:id="51"/>
    </w:p>
    <w:p w14:paraId="2B51CC67">
      <w:pPr>
        <w:spacing w:line="360" w:lineRule="auto"/>
        <w:rPr>
          <w:rFonts w:hint="eastAsia" w:ascii="宋体" w:hAnsi="宋体" w:eastAsia="宋体" w:cs="宋体"/>
          <w:bCs/>
          <w:color w:val="0000FF"/>
          <w:szCs w:val="24"/>
        </w:rPr>
      </w:pPr>
      <w:r>
        <w:rPr>
          <w:rFonts w:hint="eastAsia" w:ascii="宋体" w:hAnsi="宋体" w:eastAsia="宋体" w:cs="Times New Roman"/>
          <w:sz w:val="24"/>
          <w:lang w:val="en-US" w:eastAsia="zh-CN"/>
        </w:rPr>
        <w:t>25、招标代理服务费：参照《招标代理服务收费管理暂行办法》的通知（计价格〔2002〕1980号）、《国家</w:t>
      </w:r>
      <w:r>
        <w:rPr>
          <w:rFonts w:hint="eastAsia" w:ascii="宋体" w:hAnsi="宋体"/>
          <w:sz w:val="24"/>
          <w:lang w:val="en-US" w:eastAsia="zh-CN"/>
        </w:rPr>
        <w:t>发展和改革委员会办公厅关于招标代理服务收费有关问题的通知》（发改办价格〔2003〕857号）及《招标代理服务收费管理暂行办法》的通知（发改价格（2015）299号）</w:t>
      </w:r>
      <w:r>
        <w:rPr>
          <w:rFonts w:hint="eastAsia" w:ascii="宋体" w:hAnsi="宋体"/>
          <w:sz w:val="24"/>
        </w:rPr>
        <w:t>文件规定标准</w:t>
      </w:r>
      <w:r>
        <w:rPr>
          <w:rFonts w:hint="eastAsia" w:ascii="宋体" w:hAnsi="宋体" w:eastAsia="宋体" w:cs="宋体"/>
          <w:color w:val="auto"/>
          <w:lang w:eastAsia="zh-CN"/>
        </w:rPr>
        <w:t>工程类收取</w:t>
      </w:r>
      <w:r>
        <w:rPr>
          <w:rFonts w:hint="eastAsia" w:ascii="宋体" w:hAnsi="宋体" w:eastAsia="宋体" w:cs="宋体"/>
          <w:color w:val="auto"/>
        </w:rPr>
        <w:t>。</w:t>
      </w:r>
    </w:p>
    <w:p w14:paraId="4516A3FA">
      <w:pPr>
        <w:keepNext w:val="0"/>
        <w:keepLines w:val="0"/>
        <w:numPr>
          <w:ilvl w:val="0"/>
          <w:numId w:val="0"/>
        </w:numPr>
        <w:suppressLineNumbers w:val="0"/>
        <w:spacing w:before="0" w:beforeAutospacing="0" w:after="0" w:afterAutospacing="0" w:line="360" w:lineRule="auto"/>
        <w:ind w:left="0" w:leftChars="0" w:right="0"/>
        <w:jc w:val="center"/>
        <w:rPr>
          <w:rFonts w:hint="eastAsia" w:ascii="宋体" w:hAnsi="宋体" w:eastAsia="宋体" w:cs="宋体"/>
          <w:b/>
          <w:bCs/>
          <w:color w:val="auto"/>
          <w:sz w:val="24"/>
          <w:szCs w:val="24"/>
          <w:highlight w:val="none"/>
          <w:shd w:val="clear" w:color="auto" w:fill="auto"/>
          <w:lang w:val="en-US"/>
        </w:rPr>
      </w:pPr>
      <w:r>
        <w:rPr>
          <w:rFonts w:hint="eastAsia" w:ascii="宋体" w:hAnsi="宋体" w:eastAsia="宋体" w:cs="宋体"/>
          <w:b/>
          <w:bCs/>
          <w:color w:val="auto"/>
          <w:sz w:val="24"/>
          <w:szCs w:val="24"/>
          <w:highlight w:val="none"/>
          <w:shd w:val="clear" w:color="auto" w:fill="auto"/>
          <w:lang w:val="en-US" w:eastAsia="zh-CN"/>
        </w:rPr>
        <w:t>招标代理服务收费标准(费率)</w:t>
      </w:r>
    </w:p>
    <w:tbl>
      <w:tblPr>
        <w:tblStyle w:val="24"/>
        <w:tblW w:w="8458"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326"/>
        <w:gridCol w:w="2276"/>
        <w:gridCol w:w="1934"/>
        <w:gridCol w:w="1922"/>
      </w:tblGrid>
      <w:tr w14:paraId="378B6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blCellSpacing w:w="0" w:type="dxa"/>
          <w:jc w:val="center"/>
        </w:trPr>
        <w:tc>
          <w:tcPr>
            <w:tcW w:w="2326" w:type="dxa"/>
            <w:tcBorders>
              <w:top w:val="single" w:color="auto" w:sz="4" w:space="0"/>
              <w:left w:val="single" w:color="auto" w:sz="0" w:space="0"/>
              <w:bottom w:val="single" w:color="auto" w:sz="4" w:space="0"/>
              <w:right w:val="single" w:color="auto" w:sz="4" w:space="0"/>
            </w:tcBorders>
            <w:noWrap w:val="0"/>
            <w:vAlign w:val="center"/>
          </w:tcPr>
          <w:p w14:paraId="32F9D82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中标金额（万元）</w:t>
            </w:r>
          </w:p>
        </w:tc>
        <w:tc>
          <w:tcPr>
            <w:tcW w:w="2276" w:type="dxa"/>
            <w:tcBorders>
              <w:top w:val="single" w:color="auto" w:sz="4" w:space="0"/>
              <w:left w:val="single" w:color="auto" w:sz="4" w:space="0"/>
              <w:bottom w:val="single" w:color="auto" w:sz="4" w:space="0"/>
              <w:right w:val="single" w:color="auto" w:sz="4" w:space="0"/>
            </w:tcBorders>
            <w:noWrap w:val="0"/>
            <w:vAlign w:val="center"/>
          </w:tcPr>
          <w:p w14:paraId="3688632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货物招标</w:t>
            </w:r>
          </w:p>
        </w:tc>
        <w:tc>
          <w:tcPr>
            <w:tcW w:w="1934" w:type="dxa"/>
            <w:tcBorders>
              <w:top w:val="single" w:color="auto" w:sz="4" w:space="0"/>
              <w:left w:val="single" w:color="auto" w:sz="4" w:space="0"/>
              <w:bottom w:val="single" w:color="auto" w:sz="4" w:space="0"/>
              <w:right w:val="single" w:color="auto" w:sz="4" w:space="0"/>
            </w:tcBorders>
            <w:noWrap w:val="0"/>
            <w:vAlign w:val="center"/>
          </w:tcPr>
          <w:p w14:paraId="30B7D67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服务招标</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3DF1810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工程招标</w:t>
            </w:r>
          </w:p>
        </w:tc>
      </w:tr>
      <w:tr w14:paraId="423DA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blCellSpacing w:w="0" w:type="dxa"/>
          <w:jc w:val="center"/>
        </w:trPr>
        <w:tc>
          <w:tcPr>
            <w:tcW w:w="2326" w:type="dxa"/>
            <w:tcBorders>
              <w:top w:val="single" w:color="auto" w:sz="4" w:space="0"/>
              <w:left w:val="single" w:color="auto" w:sz="4" w:space="0"/>
              <w:bottom w:val="single" w:color="auto" w:sz="4" w:space="0"/>
              <w:right w:val="single" w:color="auto" w:sz="4" w:space="0"/>
            </w:tcBorders>
            <w:noWrap w:val="0"/>
            <w:vAlign w:val="center"/>
          </w:tcPr>
          <w:p w14:paraId="317C84D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100以下</w:t>
            </w:r>
          </w:p>
        </w:tc>
        <w:tc>
          <w:tcPr>
            <w:tcW w:w="2276" w:type="dxa"/>
            <w:tcBorders>
              <w:top w:val="single" w:color="auto" w:sz="4" w:space="0"/>
              <w:left w:val="single" w:color="auto" w:sz="4" w:space="0"/>
              <w:bottom w:val="single" w:color="auto" w:sz="4" w:space="0"/>
              <w:right w:val="single" w:color="auto" w:sz="4" w:space="0"/>
            </w:tcBorders>
            <w:noWrap w:val="0"/>
            <w:vAlign w:val="center"/>
          </w:tcPr>
          <w:p w14:paraId="0C3CEE2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1.5％</w:t>
            </w:r>
          </w:p>
        </w:tc>
        <w:tc>
          <w:tcPr>
            <w:tcW w:w="1934" w:type="dxa"/>
            <w:tcBorders>
              <w:top w:val="single" w:color="auto" w:sz="4" w:space="0"/>
              <w:left w:val="single" w:color="auto" w:sz="4" w:space="0"/>
              <w:bottom w:val="single" w:color="auto" w:sz="4" w:space="0"/>
              <w:right w:val="single" w:color="auto" w:sz="4" w:space="0"/>
            </w:tcBorders>
            <w:noWrap w:val="0"/>
            <w:vAlign w:val="center"/>
          </w:tcPr>
          <w:p w14:paraId="754CC14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1.5％</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6579D1E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1.0%</w:t>
            </w:r>
          </w:p>
        </w:tc>
      </w:tr>
      <w:tr w14:paraId="1376B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blCellSpacing w:w="0" w:type="dxa"/>
          <w:jc w:val="center"/>
        </w:trPr>
        <w:tc>
          <w:tcPr>
            <w:tcW w:w="2326" w:type="dxa"/>
            <w:tcBorders>
              <w:top w:val="single" w:color="auto" w:sz="4" w:space="0"/>
              <w:left w:val="single" w:color="auto" w:sz="4" w:space="0"/>
              <w:bottom w:val="single" w:color="auto" w:sz="4" w:space="0"/>
              <w:right w:val="single" w:color="auto" w:sz="4" w:space="0"/>
            </w:tcBorders>
            <w:noWrap w:val="0"/>
            <w:vAlign w:val="center"/>
          </w:tcPr>
          <w:p w14:paraId="20AF073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100—500</w:t>
            </w:r>
          </w:p>
        </w:tc>
        <w:tc>
          <w:tcPr>
            <w:tcW w:w="2276" w:type="dxa"/>
            <w:tcBorders>
              <w:top w:val="single" w:color="auto" w:sz="4" w:space="0"/>
              <w:left w:val="single" w:color="auto" w:sz="4" w:space="0"/>
              <w:bottom w:val="single" w:color="auto" w:sz="4" w:space="0"/>
              <w:right w:val="single" w:color="auto" w:sz="4" w:space="0"/>
            </w:tcBorders>
            <w:noWrap w:val="0"/>
            <w:vAlign w:val="center"/>
          </w:tcPr>
          <w:p w14:paraId="2DFDDFC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1.1％</w:t>
            </w:r>
          </w:p>
        </w:tc>
        <w:tc>
          <w:tcPr>
            <w:tcW w:w="1934" w:type="dxa"/>
            <w:tcBorders>
              <w:top w:val="single" w:color="auto" w:sz="4" w:space="0"/>
              <w:left w:val="single" w:color="auto" w:sz="4" w:space="0"/>
              <w:bottom w:val="single" w:color="auto" w:sz="4" w:space="0"/>
              <w:right w:val="single" w:color="auto" w:sz="4" w:space="0"/>
            </w:tcBorders>
            <w:noWrap w:val="0"/>
            <w:vAlign w:val="center"/>
          </w:tcPr>
          <w:p w14:paraId="48A5F33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0.8％</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41396F5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0.7%</w:t>
            </w:r>
          </w:p>
        </w:tc>
      </w:tr>
      <w:tr w14:paraId="709B3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blCellSpacing w:w="0" w:type="dxa"/>
          <w:jc w:val="center"/>
        </w:trPr>
        <w:tc>
          <w:tcPr>
            <w:tcW w:w="2326" w:type="dxa"/>
            <w:tcBorders>
              <w:top w:val="single" w:color="auto" w:sz="4" w:space="0"/>
              <w:left w:val="single" w:color="auto" w:sz="4" w:space="0"/>
              <w:bottom w:val="single" w:color="auto" w:sz="4" w:space="0"/>
              <w:right w:val="single" w:color="auto" w:sz="4" w:space="0"/>
            </w:tcBorders>
            <w:noWrap w:val="0"/>
            <w:vAlign w:val="center"/>
          </w:tcPr>
          <w:p w14:paraId="17B2A23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500—1000</w:t>
            </w:r>
          </w:p>
        </w:tc>
        <w:tc>
          <w:tcPr>
            <w:tcW w:w="2276" w:type="dxa"/>
            <w:tcBorders>
              <w:top w:val="single" w:color="auto" w:sz="4" w:space="0"/>
              <w:left w:val="single" w:color="auto" w:sz="4" w:space="0"/>
              <w:bottom w:val="single" w:color="auto" w:sz="4" w:space="0"/>
              <w:right w:val="single" w:color="auto" w:sz="4" w:space="0"/>
            </w:tcBorders>
            <w:noWrap w:val="0"/>
            <w:vAlign w:val="center"/>
          </w:tcPr>
          <w:p w14:paraId="6826468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0.8％</w:t>
            </w:r>
          </w:p>
        </w:tc>
        <w:tc>
          <w:tcPr>
            <w:tcW w:w="1934" w:type="dxa"/>
            <w:tcBorders>
              <w:top w:val="single" w:color="auto" w:sz="4" w:space="0"/>
              <w:left w:val="single" w:color="auto" w:sz="4" w:space="0"/>
              <w:bottom w:val="single" w:color="auto" w:sz="4" w:space="0"/>
              <w:right w:val="single" w:color="auto" w:sz="4" w:space="0"/>
            </w:tcBorders>
            <w:noWrap w:val="0"/>
            <w:vAlign w:val="center"/>
          </w:tcPr>
          <w:p w14:paraId="6380C0F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0.45％</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4FBFF32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0.55%</w:t>
            </w:r>
          </w:p>
        </w:tc>
      </w:tr>
      <w:tr w14:paraId="1FB82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blCellSpacing w:w="0" w:type="dxa"/>
          <w:jc w:val="center"/>
        </w:trPr>
        <w:tc>
          <w:tcPr>
            <w:tcW w:w="2326" w:type="dxa"/>
            <w:tcBorders>
              <w:top w:val="single" w:color="auto" w:sz="4" w:space="0"/>
              <w:left w:val="single" w:color="auto" w:sz="4" w:space="0"/>
              <w:bottom w:val="single" w:color="auto" w:sz="4" w:space="0"/>
              <w:right w:val="single" w:color="auto" w:sz="4" w:space="0"/>
            </w:tcBorders>
            <w:noWrap w:val="0"/>
            <w:vAlign w:val="center"/>
          </w:tcPr>
          <w:p w14:paraId="350FC7A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1000—5000</w:t>
            </w:r>
          </w:p>
        </w:tc>
        <w:tc>
          <w:tcPr>
            <w:tcW w:w="2276" w:type="dxa"/>
            <w:tcBorders>
              <w:top w:val="single" w:color="auto" w:sz="4" w:space="0"/>
              <w:left w:val="single" w:color="auto" w:sz="4" w:space="0"/>
              <w:bottom w:val="single" w:color="auto" w:sz="4" w:space="0"/>
              <w:right w:val="single" w:color="auto" w:sz="4" w:space="0"/>
            </w:tcBorders>
            <w:noWrap w:val="0"/>
            <w:vAlign w:val="center"/>
          </w:tcPr>
          <w:p w14:paraId="4E189F2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0.5％</w:t>
            </w:r>
          </w:p>
        </w:tc>
        <w:tc>
          <w:tcPr>
            <w:tcW w:w="1934" w:type="dxa"/>
            <w:tcBorders>
              <w:top w:val="single" w:color="auto" w:sz="4" w:space="0"/>
              <w:left w:val="single" w:color="auto" w:sz="4" w:space="0"/>
              <w:bottom w:val="single" w:color="auto" w:sz="4" w:space="0"/>
              <w:right w:val="single" w:color="auto" w:sz="4" w:space="0"/>
            </w:tcBorders>
            <w:noWrap w:val="0"/>
            <w:vAlign w:val="center"/>
          </w:tcPr>
          <w:p w14:paraId="7DC4073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0.25％</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0E16D04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0.35%</w:t>
            </w:r>
          </w:p>
        </w:tc>
      </w:tr>
    </w:tbl>
    <w:p w14:paraId="659799DC">
      <w:pPr>
        <w:keepNext w:val="0"/>
        <w:keepLines w:val="0"/>
        <w:pageBreakBefore w:val="0"/>
        <w:tabs>
          <w:tab w:val="left" w:pos="610"/>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lang w:val="en-US" w:eastAsia="zh-CN"/>
        </w:rPr>
        <w:t>采购代理机构开户名称:</w:t>
      </w:r>
      <w:r>
        <w:rPr>
          <w:rFonts w:hint="eastAsia" w:ascii="宋体" w:hAnsi="宋体" w:eastAsia="宋体" w:cs="宋体"/>
          <w:b w:val="0"/>
          <w:bCs/>
          <w:color w:val="auto"/>
          <w:sz w:val="24"/>
          <w:szCs w:val="24"/>
          <w:highlight w:val="none"/>
          <w:lang w:eastAsia="zh-CN"/>
        </w:rPr>
        <w:t>榆林腾达建诚信息咨询有限公司</w:t>
      </w:r>
    </w:p>
    <w:p w14:paraId="3AF4304B">
      <w:pPr>
        <w:pStyle w:val="32"/>
        <w:spacing w:line="360" w:lineRule="auto"/>
        <w:ind w:left="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开户行名称：中国银行股份有限公司榆林肤施路支行</w:t>
      </w:r>
    </w:p>
    <w:p w14:paraId="43D1B08A">
      <w:pPr>
        <w:pStyle w:val="32"/>
        <w:spacing w:line="360" w:lineRule="auto"/>
        <w:ind w:left="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账   号：103722080667</w:t>
      </w:r>
    </w:p>
    <w:p w14:paraId="02C2A20C">
      <w:pPr>
        <w:spacing w:line="360" w:lineRule="auto"/>
        <w:rPr>
          <w:rFonts w:hint="eastAsia" w:ascii="宋体" w:hAnsi="宋体" w:eastAsia="宋体" w:cs="宋体"/>
          <w:color w:val="auto"/>
          <w:szCs w:val="24"/>
        </w:rPr>
      </w:pPr>
      <w:r>
        <w:rPr>
          <w:rFonts w:hint="eastAsia" w:ascii="宋体" w:hAnsi="宋体" w:eastAsia="宋体" w:cs="宋体"/>
          <w:bCs/>
          <w:color w:val="auto"/>
          <w:szCs w:val="24"/>
          <w:lang w:val="en-US" w:eastAsia="zh-CN"/>
        </w:rPr>
        <w:t>26、</w:t>
      </w:r>
      <w:r>
        <w:rPr>
          <w:rFonts w:hint="eastAsia" w:ascii="宋体" w:hAnsi="宋体" w:eastAsia="宋体" w:cs="宋体"/>
          <w:bCs/>
          <w:color w:val="auto"/>
          <w:szCs w:val="24"/>
        </w:rPr>
        <w:t>代理服务费的收取：由成交</w:t>
      </w:r>
      <w:r>
        <w:rPr>
          <w:rFonts w:hint="eastAsia" w:ascii="宋体" w:hAnsi="宋体" w:eastAsia="宋体" w:cs="宋体"/>
          <w:bCs/>
          <w:color w:val="auto"/>
          <w:szCs w:val="24"/>
          <w:lang w:val="en-US" w:eastAsia="zh-CN"/>
        </w:rPr>
        <w:t>单位</w:t>
      </w:r>
      <w:r>
        <w:rPr>
          <w:rFonts w:hint="eastAsia" w:ascii="宋体" w:hAnsi="宋体" w:eastAsia="宋体" w:cs="宋体"/>
          <w:bCs/>
          <w:color w:val="auto"/>
          <w:szCs w:val="24"/>
        </w:rPr>
        <w:t>在领取成交通知书前按照磋商文件列明的标准向代理机构交纳。</w:t>
      </w:r>
      <w:bookmarkStart w:id="52" w:name="_Toc188808820"/>
      <w:bookmarkStart w:id="53" w:name="_Toc194663910"/>
      <w:bookmarkStart w:id="54" w:name="_Toc193187089"/>
      <w:bookmarkStart w:id="55" w:name="_Toc193126874"/>
    </w:p>
    <w:p w14:paraId="16597D04">
      <w:pPr>
        <w:spacing w:line="360" w:lineRule="auto"/>
        <w:rPr>
          <w:rFonts w:hint="eastAsia" w:ascii="宋体" w:hAnsi="宋体" w:eastAsia="宋体" w:cs="宋体"/>
          <w:color w:val="auto"/>
          <w:szCs w:val="24"/>
        </w:rPr>
      </w:pPr>
      <w:r>
        <w:rPr>
          <w:rFonts w:hint="eastAsia" w:ascii="宋体" w:hAnsi="宋体" w:eastAsia="宋体" w:cs="宋体"/>
          <w:color w:val="auto"/>
          <w:szCs w:val="24"/>
          <w:lang w:val="en-US" w:eastAsia="zh-CN"/>
        </w:rPr>
        <w:t>27、</w:t>
      </w:r>
      <w:r>
        <w:rPr>
          <w:rFonts w:hint="eastAsia" w:ascii="宋体" w:hAnsi="宋体" w:eastAsia="宋体" w:cs="宋体"/>
          <w:color w:val="auto"/>
          <w:szCs w:val="24"/>
        </w:rPr>
        <w:t>招标服务费应采用转账、刷卡、现金形式缴纳。</w:t>
      </w:r>
    </w:p>
    <w:bookmarkEnd w:id="52"/>
    <w:bookmarkEnd w:id="53"/>
    <w:bookmarkEnd w:id="54"/>
    <w:bookmarkEnd w:id="55"/>
    <w:p w14:paraId="2A65298F">
      <w:pPr>
        <w:spacing w:line="360" w:lineRule="auto"/>
        <w:jc w:val="center"/>
        <w:rPr>
          <w:rFonts w:hint="eastAsia" w:ascii="宋体" w:hAnsi="宋体" w:eastAsia="宋体" w:cs="宋体"/>
          <w:b/>
          <w:snapToGrid w:val="0"/>
          <w:color w:val="auto"/>
          <w:szCs w:val="24"/>
        </w:rPr>
      </w:pPr>
      <w:bookmarkStart w:id="56" w:name="_Toc31556"/>
      <w:bookmarkStart w:id="57" w:name="_Toc458617743"/>
      <w:bookmarkStart w:id="58" w:name="_Toc458617466"/>
      <w:r>
        <w:rPr>
          <w:rFonts w:hint="eastAsia" w:ascii="宋体" w:hAnsi="宋体" w:eastAsia="宋体" w:cs="宋体"/>
          <w:b/>
          <w:snapToGrid w:val="0"/>
          <w:color w:val="auto"/>
          <w:szCs w:val="24"/>
        </w:rPr>
        <w:t>（十一）询问、质疑与投诉(按照 中华人民共和国财政部令第94号</w:t>
      </w:r>
      <w:r>
        <w:rPr>
          <w:rFonts w:hint="eastAsia" w:ascii="宋体" w:hAnsi="宋体" w:eastAsia="宋体" w:cs="宋体"/>
          <w:b/>
          <w:snapToGrid w:val="0"/>
          <w:color w:val="auto"/>
          <w:szCs w:val="24"/>
          <w:lang w:eastAsia="zh-CN"/>
        </w:rPr>
        <w:t>《</w:t>
      </w:r>
      <w:r>
        <w:rPr>
          <w:rFonts w:hint="eastAsia" w:ascii="宋体" w:hAnsi="宋体" w:eastAsia="宋体" w:cs="宋体"/>
          <w:b/>
          <w:snapToGrid w:val="0"/>
          <w:color w:val="auto"/>
          <w:szCs w:val="24"/>
        </w:rPr>
        <w:t>政府采购质疑和投诉办法</w:t>
      </w:r>
      <w:r>
        <w:rPr>
          <w:rFonts w:hint="eastAsia" w:ascii="宋体" w:hAnsi="宋体" w:eastAsia="宋体" w:cs="宋体"/>
          <w:b/>
          <w:snapToGrid w:val="0"/>
          <w:color w:val="auto"/>
          <w:szCs w:val="24"/>
          <w:lang w:eastAsia="zh-CN"/>
        </w:rPr>
        <w:t>》</w:t>
      </w:r>
      <w:r>
        <w:rPr>
          <w:rFonts w:hint="eastAsia" w:ascii="宋体" w:hAnsi="宋体" w:eastAsia="宋体" w:cs="宋体"/>
          <w:b/>
          <w:snapToGrid w:val="0"/>
          <w:color w:val="auto"/>
          <w:szCs w:val="24"/>
        </w:rPr>
        <w:t>执行)</w:t>
      </w:r>
      <w:bookmarkEnd w:id="56"/>
    </w:p>
    <w:bookmarkEnd w:id="57"/>
    <w:bookmarkEnd w:id="58"/>
    <w:p w14:paraId="32A02906">
      <w:pPr>
        <w:spacing w:line="360" w:lineRule="auto"/>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0</w:t>
      </w:r>
      <w:r>
        <w:rPr>
          <w:rFonts w:hint="eastAsia" w:ascii="宋体" w:hAnsi="宋体" w:eastAsia="宋体" w:cs="宋体"/>
          <w:color w:val="auto"/>
          <w:szCs w:val="24"/>
        </w:rPr>
        <w:t>、询问</w:t>
      </w:r>
    </w:p>
    <w:p w14:paraId="25178ABD">
      <w:pPr>
        <w:spacing w:line="360" w:lineRule="auto"/>
        <w:ind w:firstLine="480" w:firstLineChars="200"/>
        <w:rPr>
          <w:rFonts w:hint="eastAsia" w:ascii="宋体" w:hAnsi="宋体" w:eastAsia="宋体" w:cs="宋体"/>
          <w:color w:val="auto"/>
          <w:kern w:val="0"/>
          <w:szCs w:val="24"/>
        </w:rPr>
      </w:pPr>
      <w:r>
        <w:rPr>
          <w:rFonts w:hint="eastAsia" w:ascii="宋体" w:hAnsi="宋体" w:eastAsia="宋体" w:cs="宋体"/>
          <w:color w:val="auto"/>
          <w:kern w:val="0"/>
          <w:szCs w:val="24"/>
        </w:rPr>
        <w:t>供应商对政府采购活动事项有疑问的，可以向采购人、采购代理机构提出询问。</w:t>
      </w:r>
    </w:p>
    <w:p w14:paraId="7216E059">
      <w:pPr>
        <w:spacing w:line="360" w:lineRule="auto"/>
        <w:rPr>
          <w:rFonts w:hint="eastAsia" w:ascii="宋体" w:hAnsi="宋体" w:eastAsia="宋体" w:cs="宋体"/>
          <w:color w:val="auto"/>
          <w:kern w:val="0"/>
          <w:szCs w:val="24"/>
        </w:rPr>
      </w:pPr>
      <w:r>
        <w:rPr>
          <w:rFonts w:hint="eastAsia" w:ascii="宋体" w:hAnsi="宋体" w:eastAsia="宋体" w:cs="宋体"/>
          <w:color w:val="auto"/>
          <w:kern w:val="0"/>
          <w:szCs w:val="24"/>
        </w:rPr>
        <w:t>3</w:t>
      </w:r>
      <w:r>
        <w:rPr>
          <w:rFonts w:hint="eastAsia" w:ascii="宋体" w:hAnsi="宋体" w:eastAsia="宋体" w:cs="宋体"/>
          <w:color w:val="auto"/>
          <w:kern w:val="0"/>
          <w:szCs w:val="24"/>
          <w:lang w:val="en-US" w:eastAsia="zh-CN"/>
        </w:rPr>
        <w:t>1</w:t>
      </w:r>
      <w:r>
        <w:rPr>
          <w:rFonts w:hint="eastAsia" w:ascii="宋体" w:hAnsi="宋体" w:eastAsia="宋体" w:cs="宋体"/>
          <w:color w:val="auto"/>
          <w:kern w:val="0"/>
          <w:szCs w:val="24"/>
        </w:rPr>
        <w:t>、质疑</w:t>
      </w:r>
    </w:p>
    <w:p w14:paraId="72732381">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.1供应商认为采购文件、采购过程、中标或者成交结果使自己的权益受到损害的，可以在知道或者应知其权益受到损害之日起7个工作日内，以书面形式向采购人、采购代理机构提出质疑；</w:t>
      </w:r>
    </w:p>
    <w:p w14:paraId="15933925">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.2潜在供应商已依法获取其可质疑的采购文件的，可以对该文件提出质疑。对采购文件提出质疑的，应当在获取采购文件或者采购文件公告期限届满之日起7个工作日内提出。</w:t>
      </w:r>
    </w:p>
    <w:p w14:paraId="4DF4412E">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.2.1有异议的应提供以下资料，资料不全的不予受理：</w:t>
      </w:r>
    </w:p>
    <w:p w14:paraId="7BD7BC1F">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（1）质疑书（内容包含异议事项的基本事实；相关请求及主张；异议人的名称、地址邮编、联系人、联系电话及有效联系方式）；</w:t>
      </w:r>
    </w:p>
    <w:p w14:paraId="5A6BE879">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（2）质疑的项目名称、项目编号；</w:t>
      </w:r>
    </w:p>
    <w:p w14:paraId="1DB542CD">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（3）具体、明确的质疑事项和与质疑事项相关的请求；</w:t>
      </w:r>
    </w:p>
    <w:p w14:paraId="42A6E115">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（4）事实依据；</w:t>
      </w:r>
    </w:p>
    <w:p w14:paraId="5E9A63D4">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（5）必要的法律依据；</w:t>
      </w:r>
    </w:p>
    <w:p w14:paraId="634A4598">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（6）提出质疑的日期。</w:t>
      </w:r>
    </w:p>
    <w:p w14:paraId="26422943">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具体有效线索和相关证明材料；</w:t>
      </w:r>
    </w:p>
    <w:p w14:paraId="4AC3D6C2">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（7）质疑人的法定代表人/单位负责人或负责人的身份证明，或者授权委托人的经公证的授权委托书及有效身份证件；</w:t>
      </w:r>
    </w:p>
    <w:p w14:paraId="44F45DD0">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（8）</w:t>
      </w:r>
      <w:r>
        <w:rPr>
          <w:rFonts w:hint="eastAsia" w:ascii="宋体" w:hAnsi="宋体" w:eastAsia="宋体" w:cs="宋体"/>
          <w:color w:val="auto"/>
          <w:szCs w:val="24"/>
          <w:lang w:eastAsia="zh-CN"/>
        </w:rPr>
        <w:t>供应商</w:t>
      </w:r>
      <w:r>
        <w:rPr>
          <w:rFonts w:hint="eastAsia" w:ascii="宋体" w:hAnsi="宋体" w:eastAsia="宋体" w:cs="宋体"/>
          <w:color w:val="auto"/>
          <w:szCs w:val="24"/>
        </w:rPr>
        <w:t>为自然人的，应当由本人签字；</w:t>
      </w:r>
      <w:r>
        <w:rPr>
          <w:rFonts w:hint="eastAsia" w:ascii="宋体" w:hAnsi="宋体" w:eastAsia="宋体" w:cs="宋体"/>
          <w:color w:val="auto"/>
          <w:szCs w:val="24"/>
          <w:lang w:eastAsia="zh-CN"/>
        </w:rPr>
        <w:t>供应商</w:t>
      </w:r>
      <w:r>
        <w:rPr>
          <w:rFonts w:hint="eastAsia" w:ascii="宋体" w:hAnsi="宋体" w:eastAsia="宋体" w:cs="宋体"/>
          <w:color w:val="auto"/>
          <w:szCs w:val="24"/>
        </w:rPr>
        <w:t xml:space="preserve">为法人或者其他组织的，应当由法定代表人/单位负责人、主要负责人，或者其授权代表签字或者盖章，并加盖公章。  </w:t>
      </w:r>
    </w:p>
    <w:p w14:paraId="50BE7F02">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.3</w:t>
      </w:r>
      <w:r>
        <w:rPr>
          <w:rFonts w:hint="eastAsia" w:ascii="宋体" w:hAnsi="宋体" w:eastAsia="宋体" w:cs="宋体"/>
          <w:color w:val="auto"/>
          <w:szCs w:val="24"/>
          <w:lang w:eastAsia="zh-CN"/>
        </w:rPr>
        <w:t>供应商</w:t>
      </w:r>
      <w:r>
        <w:rPr>
          <w:rFonts w:hint="eastAsia" w:ascii="宋体" w:hAnsi="宋体" w:eastAsia="宋体" w:cs="宋体"/>
          <w:color w:val="auto"/>
          <w:szCs w:val="24"/>
        </w:rPr>
        <w:t>在法定质疑期内必须一次性提出针对同一采购程序环节的质疑，多次提出相同质疑问题的采购人及采购代理机构不接收。</w:t>
      </w:r>
    </w:p>
    <w:p w14:paraId="78AACFE5">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.4质疑</w:t>
      </w:r>
      <w:r>
        <w:rPr>
          <w:rFonts w:hint="eastAsia" w:ascii="宋体" w:hAnsi="宋体" w:eastAsia="宋体" w:cs="宋体"/>
          <w:color w:val="auto"/>
          <w:szCs w:val="24"/>
          <w:lang w:eastAsia="zh-CN"/>
        </w:rPr>
        <w:t>供应商</w:t>
      </w:r>
      <w:r>
        <w:rPr>
          <w:rFonts w:hint="eastAsia" w:ascii="宋体" w:hAnsi="宋体" w:eastAsia="宋体" w:cs="宋体"/>
          <w:color w:val="auto"/>
          <w:szCs w:val="24"/>
        </w:rPr>
        <w:t>对采购人、采购代理机构的答复不满意，认为本次招标活动违反法律、法规和规章规定的，有权向项目所在地财政局提出投诉，质疑是投诉的前置条件；</w:t>
      </w:r>
    </w:p>
    <w:p w14:paraId="4C008938">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.5其他应说明的事项：</w:t>
      </w:r>
    </w:p>
    <w:p w14:paraId="7740E8D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.5.1以上材料，质疑人须在每一页上加盖公章原件及电子版送至质疑函递交地址。</w:t>
      </w:r>
    </w:p>
    <w:p w14:paraId="749426CB">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.5.2质疑提出时间：质疑需在有效期内提出，逾期不予受理；</w:t>
      </w:r>
    </w:p>
    <w:p w14:paraId="1D7ED86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.5.3质疑递交地址：</w:t>
      </w:r>
      <w:r>
        <w:rPr>
          <w:rFonts w:hint="eastAsia" w:ascii="宋体" w:hAnsi="宋体" w:eastAsia="宋体" w:cs="宋体"/>
          <w:color w:val="auto"/>
          <w:szCs w:val="24"/>
          <w:lang w:eastAsia="zh-CN"/>
        </w:rPr>
        <w:t>榆林腾达建诚信息咨询有限公司</w:t>
      </w:r>
      <w:r>
        <w:rPr>
          <w:rFonts w:hint="eastAsia" w:ascii="宋体" w:hAnsi="宋体" w:eastAsia="宋体" w:cs="宋体"/>
          <w:color w:val="auto"/>
          <w:szCs w:val="24"/>
        </w:rPr>
        <w:t>（</w:t>
      </w:r>
      <w:r>
        <w:rPr>
          <w:rFonts w:hint="eastAsia" w:ascii="宋体" w:hAnsi="宋体" w:eastAsia="宋体" w:cs="宋体"/>
          <w:color w:val="auto"/>
          <w:szCs w:val="24"/>
          <w:lang w:eastAsia="zh-CN"/>
        </w:rPr>
        <w:t>陕西省榆林市</w:t>
      </w:r>
      <w:r>
        <w:rPr>
          <w:rFonts w:hint="eastAsia" w:ascii="宋体" w:hAnsi="宋体" w:eastAsia="宋体" w:cs="宋体"/>
          <w:color w:val="auto"/>
          <w:szCs w:val="24"/>
          <w:lang w:val="en-US" w:eastAsia="zh-CN"/>
        </w:rPr>
        <w:t>东环路绿园小区4排5号</w:t>
      </w:r>
      <w:r>
        <w:rPr>
          <w:rFonts w:hint="eastAsia" w:ascii="宋体" w:hAnsi="宋体" w:eastAsia="宋体" w:cs="宋体"/>
          <w:color w:val="auto"/>
          <w:szCs w:val="24"/>
        </w:rPr>
        <w:t>）；</w:t>
      </w:r>
    </w:p>
    <w:p w14:paraId="0E94AC84">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 xml:space="preserve">.5.4联系人： </w:t>
      </w:r>
      <w:r>
        <w:rPr>
          <w:rFonts w:hint="eastAsia" w:ascii="宋体" w:hAnsi="宋体" w:cs="宋体"/>
          <w:color w:val="auto"/>
          <w:szCs w:val="24"/>
          <w:lang w:val="en-US" w:eastAsia="zh-CN"/>
        </w:rPr>
        <w:t>白琳</w:t>
      </w:r>
      <w:r>
        <w:rPr>
          <w:rFonts w:hint="eastAsia" w:ascii="宋体" w:hAnsi="宋体" w:eastAsia="宋体" w:cs="宋体"/>
          <w:color w:val="auto"/>
          <w:szCs w:val="24"/>
        </w:rPr>
        <w:t xml:space="preserve">  </w:t>
      </w:r>
    </w:p>
    <w:p w14:paraId="297D5C96">
      <w:pPr>
        <w:spacing w:line="360" w:lineRule="auto"/>
        <w:ind w:firstLine="480" w:firstLineChars="200"/>
        <w:rPr>
          <w:rFonts w:hint="eastAsia" w:ascii="宋体" w:hAnsi="宋体" w:eastAsia="宋体" w:cs="宋体"/>
          <w:color w:val="auto"/>
          <w:szCs w:val="24"/>
          <w:lang w:val="en-US" w:eastAsia="zh-CN"/>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.5.5联系电话：</w:t>
      </w:r>
      <w:r>
        <w:rPr>
          <w:rFonts w:hint="eastAsia" w:ascii="宋体" w:hAnsi="宋体" w:cs="宋体"/>
          <w:color w:val="auto"/>
          <w:szCs w:val="24"/>
          <w:lang w:eastAsia="zh-CN"/>
        </w:rPr>
        <w:t>18109129286</w:t>
      </w:r>
    </w:p>
    <w:p w14:paraId="3E358112">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1</w:t>
      </w:r>
      <w:r>
        <w:rPr>
          <w:rFonts w:hint="eastAsia" w:ascii="宋体" w:hAnsi="宋体" w:eastAsia="宋体" w:cs="宋体"/>
          <w:color w:val="auto"/>
          <w:szCs w:val="24"/>
        </w:rPr>
        <w:t>.6投诉</w:t>
      </w:r>
    </w:p>
    <w:p w14:paraId="798DC23C">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kern w:val="0"/>
          <w:szCs w:val="24"/>
        </w:rPr>
        <w:t>质疑</w:t>
      </w:r>
      <w:r>
        <w:rPr>
          <w:rFonts w:hint="eastAsia" w:ascii="宋体" w:hAnsi="宋体" w:eastAsia="宋体" w:cs="宋体"/>
          <w:color w:val="auto"/>
          <w:kern w:val="0"/>
          <w:szCs w:val="24"/>
          <w:lang w:eastAsia="zh-CN"/>
        </w:rPr>
        <w:t>供应商</w:t>
      </w:r>
      <w:r>
        <w:rPr>
          <w:rFonts w:hint="eastAsia" w:ascii="宋体" w:hAnsi="宋体" w:eastAsia="宋体" w:cs="宋体"/>
          <w:color w:val="auto"/>
          <w:kern w:val="0"/>
          <w:szCs w:val="24"/>
        </w:rPr>
        <w:t>对采购人、采购代理机构的答复不满意或者采购人、采购代理机构未在规定的时间内作出答复的，可按《政府采购法》第55条和</w:t>
      </w:r>
      <w:r>
        <w:rPr>
          <w:rFonts w:hint="eastAsia" w:ascii="宋体" w:hAnsi="宋体" w:eastAsia="宋体" w:cs="宋体"/>
          <w:color w:val="auto"/>
          <w:szCs w:val="24"/>
        </w:rPr>
        <w:t>《政府采购质疑和投诉办法》（财政部令第94号）第17条</w:t>
      </w:r>
      <w:r>
        <w:rPr>
          <w:rFonts w:hint="eastAsia" w:ascii="宋体" w:hAnsi="宋体" w:eastAsia="宋体" w:cs="宋体"/>
          <w:color w:val="auto"/>
          <w:kern w:val="0"/>
          <w:szCs w:val="24"/>
        </w:rPr>
        <w:t>等有关规定执行。</w:t>
      </w:r>
    </w:p>
    <w:p w14:paraId="6D32ABF6">
      <w:pPr>
        <w:spacing w:line="360" w:lineRule="auto"/>
        <w:ind w:firstLine="482" w:firstLineChars="200"/>
        <w:jc w:val="center"/>
        <w:rPr>
          <w:rFonts w:hint="eastAsia" w:ascii="宋体" w:hAnsi="宋体" w:eastAsia="宋体" w:cs="宋体"/>
          <w:b/>
          <w:snapToGrid w:val="0"/>
          <w:color w:val="auto"/>
          <w:szCs w:val="24"/>
        </w:rPr>
      </w:pPr>
      <w:r>
        <w:rPr>
          <w:rFonts w:hint="eastAsia" w:ascii="宋体" w:hAnsi="宋体" w:eastAsia="宋体" w:cs="宋体"/>
          <w:b/>
          <w:snapToGrid w:val="0"/>
          <w:color w:val="auto"/>
          <w:szCs w:val="24"/>
        </w:rPr>
        <w:t>（十二）拒绝商业贿赂</w:t>
      </w:r>
    </w:p>
    <w:p w14:paraId="18310845">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2</w:t>
      </w:r>
      <w:r>
        <w:rPr>
          <w:rFonts w:hint="eastAsia" w:ascii="宋体" w:hAnsi="宋体" w:eastAsia="宋体" w:cs="宋体"/>
          <w:color w:val="auto"/>
          <w:szCs w:val="24"/>
        </w:rPr>
        <w:t>、遵照陕西省财政厅的规定，采购人、采购代理机构、评审专家在招投标活动中，都要签订相应的《拒绝政府采购领域商业贿赂承诺书》，并对违反承诺的行为承担全部责任。</w:t>
      </w:r>
    </w:p>
    <w:p w14:paraId="434B1B83">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3</w:t>
      </w:r>
      <w:r>
        <w:rPr>
          <w:rFonts w:hint="eastAsia" w:ascii="宋体" w:hAnsi="宋体" w:eastAsia="宋体" w:cs="宋体"/>
          <w:color w:val="auto"/>
          <w:szCs w:val="24"/>
        </w:rPr>
        <w:t>、供应商必须填写《拒绝政府采购领域商业贿赂承诺书》（附件）并附在竞争性磋商响应文件中，同时应保证竞争性磋商响应文件正、副本中一致。</w:t>
      </w:r>
    </w:p>
    <w:p w14:paraId="3A659B69">
      <w:pPr>
        <w:spacing w:line="360" w:lineRule="auto"/>
        <w:ind w:firstLine="482" w:firstLineChars="200"/>
        <w:jc w:val="center"/>
        <w:rPr>
          <w:rFonts w:hint="eastAsia" w:ascii="宋体" w:hAnsi="宋体" w:eastAsia="宋体" w:cs="宋体"/>
          <w:b/>
          <w:snapToGrid w:val="0"/>
          <w:color w:val="auto"/>
          <w:szCs w:val="24"/>
        </w:rPr>
      </w:pPr>
      <w:r>
        <w:rPr>
          <w:rFonts w:hint="eastAsia" w:ascii="宋体" w:hAnsi="宋体" w:eastAsia="宋体" w:cs="宋体"/>
          <w:b/>
          <w:snapToGrid w:val="0"/>
          <w:color w:val="auto"/>
          <w:szCs w:val="24"/>
        </w:rPr>
        <w:t>（十三）其他</w:t>
      </w:r>
    </w:p>
    <w:p w14:paraId="18A8948C">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4</w:t>
      </w:r>
      <w:r>
        <w:rPr>
          <w:rFonts w:hint="eastAsia" w:ascii="宋体" w:hAnsi="宋体" w:eastAsia="宋体" w:cs="宋体"/>
          <w:color w:val="auto"/>
          <w:szCs w:val="24"/>
        </w:rPr>
        <w:t>、本次项目的验收费用由成交单位承担。</w:t>
      </w:r>
    </w:p>
    <w:p w14:paraId="64896A0E">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5</w:t>
      </w:r>
      <w:r>
        <w:rPr>
          <w:rFonts w:hint="eastAsia" w:ascii="宋体" w:hAnsi="宋体" w:eastAsia="宋体" w:cs="宋体"/>
          <w:color w:val="auto"/>
          <w:szCs w:val="24"/>
        </w:rPr>
        <w:t>、本竞争性磋商文件的解释权归采购人及采购代理机构所有。</w:t>
      </w:r>
    </w:p>
    <w:p w14:paraId="68EBBBA0">
      <w:pPr>
        <w:pStyle w:val="20"/>
        <w:numPr>
          <w:ilvl w:val="0"/>
          <w:numId w:val="0"/>
        </w:numPr>
        <w:spacing w:line="360" w:lineRule="auto"/>
        <w:ind w:left="3120" w:leftChars="0"/>
        <w:jc w:val="both"/>
        <w:rPr>
          <w:rFonts w:hint="eastAsia" w:ascii="宋体" w:hAnsi="宋体" w:eastAsia="宋体" w:cs="宋体"/>
          <w:b/>
          <w:bCs/>
          <w:color w:val="auto"/>
          <w:sz w:val="32"/>
          <w:szCs w:val="21"/>
          <w:lang w:eastAsia="zh-CN"/>
        </w:rPr>
      </w:pPr>
    </w:p>
    <w:p w14:paraId="70E6B927">
      <w:pPr>
        <w:pStyle w:val="20"/>
        <w:numPr>
          <w:ilvl w:val="0"/>
          <w:numId w:val="0"/>
        </w:numPr>
        <w:spacing w:line="360" w:lineRule="auto"/>
        <w:ind w:left="3120" w:leftChars="0"/>
        <w:jc w:val="both"/>
        <w:rPr>
          <w:rFonts w:hint="eastAsia" w:ascii="宋体" w:hAnsi="宋体" w:eastAsia="宋体" w:cs="宋体"/>
          <w:b/>
          <w:bCs/>
          <w:color w:val="auto"/>
          <w:sz w:val="32"/>
          <w:szCs w:val="21"/>
          <w:lang w:eastAsia="zh-CN"/>
        </w:rPr>
        <w:sectPr>
          <w:pgSz w:w="11900" w:h="16838"/>
          <w:pgMar w:top="1332" w:right="1196" w:bottom="1417" w:left="1672" w:header="680" w:footer="680" w:gutter="0"/>
          <w:pgNumType w:fmt="decimal"/>
          <w:cols w:space="0" w:num="1"/>
          <w:rtlGutter w:val="0"/>
          <w:docGrid w:linePitch="312" w:charSpace="0"/>
        </w:sectPr>
      </w:pPr>
    </w:p>
    <w:p w14:paraId="5320C446">
      <w:pPr>
        <w:pStyle w:val="2"/>
        <w:bidi w:val="0"/>
        <w:rPr>
          <w:rFonts w:hint="eastAsia" w:ascii="宋体" w:hAnsi="宋体" w:eastAsia="宋体" w:cs="宋体"/>
          <w:color w:val="auto"/>
          <w:lang w:eastAsia="zh-CN"/>
        </w:rPr>
      </w:pPr>
      <w:bookmarkStart w:id="59" w:name="_Toc27631"/>
      <w:bookmarkStart w:id="60" w:name="_Toc2359"/>
      <w:r>
        <w:rPr>
          <w:rFonts w:hint="eastAsia" w:ascii="宋体" w:hAnsi="宋体" w:eastAsia="宋体" w:cs="宋体"/>
          <w:color w:val="auto"/>
          <w:lang w:eastAsia="zh-CN"/>
        </w:rPr>
        <w:t>第三章</w:t>
      </w:r>
      <w:r>
        <w:rPr>
          <w:rFonts w:hint="eastAsia" w:ascii="宋体" w:hAnsi="宋体" w:eastAsia="宋体" w:cs="宋体"/>
          <w:color w:val="auto"/>
          <w:lang w:val="en-US" w:eastAsia="zh-CN"/>
        </w:rPr>
        <w:t xml:space="preserve"> </w:t>
      </w:r>
      <w:r>
        <w:rPr>
          <w:rFonts w:hint="eastAsia" w:ascii="宋体" w:hAnsi="宋体" w:eastAsia="宋体" w:cs="宋体"/>
          <w:color w:val="auto"/>
          <w:lang w:eastAsia="zh-CN"/>
        </w:rPr>
        <w:t>商务要求</w:t>
      </w:r>
      <w:bookmarkEnd w:id="59"/>
      <w:bookmarkEnd w:id="60"/>
    </w:p>
    <w:tbl>
      <w:tblPr>
        <w:tblStyle w:val="24"/>
        <w:tblW w:w="979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4"/>
        <w:gridCol w:w="8877"/>
      </w:tblGrid>
      <w:tr w14:paraId="519C1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33" w:hRule="atLeast"/>
          <w:jc w:val="center"/>
        </w:trPr>
        <w:tc>
          <w:tcPr>
            <w:tcW w:w="914" w:type="dxa"/>
            <w:noWrap w:val="0"/>
            <w:vAlign w:val="center"/>
          </w:tcPr>
          <w:p w14:paraId="53CEAD9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8877" w:type="dxa"/>
            <w:noWrap w:val="0"/>
            <w:vAlign w:val="center"/>
          </w:tcPr>
          <w:p w14:paraId="6E52D15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0DF458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06" w:hRule="exact"/>
          <w:jc w:val="center"/>
        </w:trPr>
        <w:tc>
          <w:tcPr>
            <w:tcW w:w="914" w:type="dxa"/>
            <w:noWrap w:val="0"/>
            <w:vAlign w:val="center"/>
          </w:tcPr>
          <w:p w14:paraId="15D68CE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877" w:type="dxa"/>
            <w:noWrap w:val="0"/>
            <w:vAlign w:val="center"/>
          </w:tcPr>
          <w:p w14:paraId="760AD330">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cs="宋体"/>
                <w:color w:val="auto"/>
                <w:sz w:val="24"/>
                <w:szCs w:val="24"/>
                <w:lang w:eastAsia="zh-CN"/>
              </w:rPr>
              <w:t>米脂县第三中学</w:t>
            </w:r>
          </w:p>
          <w:p w14:paraId="294262B5">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址：</w:t>
            </w:r>
            <w:r>
              <w:rPr>
                <w:rFonts w:hint="eastAsia" w:ascii="宋体" w:hAnsi="宋体" w:cs="宋体"/>
                <w:color w:val="auto"/>
                <w:sz w:val="24"/>
                <w:szCs w:val="24"/>
                <w:highlight w:val="none"/>
                <w:lang w:eastAsia="zh-CN"/>
              </w:rPr>
              <w:t>米脂县城隍庙湾12号</w:t>
            </w:r>
          </w:p>
          <w:p w14:paraId="11F73043">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w:t>
            </w:r>
            <w:r>
              <w:rPr>
                <w:rFonts w:hint="eastAsia" w:ascii="宋体" w:hAnsi="宋体" w:cs="宋体"/>
                <w:color w:val="auto"/>
                <w:sz w:val="24"/>
                <w:szCs w:val="24"/>
                <w:lang w:eastAsia="zh-CN"/>
              </w:rPr>
              <w:t>米脂县第三中学消防改造工程</w:t>
            </w:r>
          </w:p>
          <w:p w14:paraId="448AB9F5">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资金来源：财政拨款，资金已落实</w:t>
            </w:r>
          </w:p>
          <w:p w14:paraId="573C3C1A">
            <w:pPr>
              <w:spacing w:line="360" w:lineRule="auto"/>
              <w:jc w:val="left"/>
              <w:rPr>
                <w:rFonts w:hint="eastAsia" w:ascii="宋体" w:hAnsi="宋体" w:eastAsia="宋体" w:cs="宋体"/>
                <w:color w:val="auto"/>
                <w:sz w:val="24"/>
                <w:szCs w:val="24"/>
              </w:rPr>
            </w:pPr>
          </w:p>
          <w:p w14:paraId="11AD6530">
            <w:pPr>
              <w:spacing w:line="360" w:lineRule="auto"/>
              <w:jc w:val="left"/>
              <w:rPr>
                <w:rFonts w:hint="eastAsia" w:ascii="宋体" w:hAnsi="宋体" w:eastAsia="宋体" w:cs="宋体"/>
                <w:color w:val="auto"/>
                <w:sz w:val="24"/>
                <w:szCs w:val="24"/>
              </w:rPr>
            </w:pPr>
          </w:p>
          <w:p w14:paraId="62512BAB">
            <w:pPr>
              <w:spacing w:line="360" w:lineRule="auto"/>
              <w:jc w:val="left"/>
              <w:rPr>
                <w:rFonts w:hint="eastAsia" w:ascii="宋体" w:hAnsi="宋体" w:eastAsia="宋体" w:cs="宋体"/>
                <w:color w:val="auto"/>
                <w:sz w:val="24"/>
                <w:szCs w:val="24"/>
              </w:rPr>
            </w:pPr>
          </w:p>
        </w:tc>
      </w:tr>
      <w:tr w14:paraId="7E4074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exact"/>
          <w:jc w:val="center"/>
        </w:trPr>
        <w:tc>
          <w:tcPr>
            <w:tcW w:w="914" w:type="dxa"/>
            <w:noWrap w:val="0"/>
            <w:vAlign w:val="center"/>
          </w:tcPr>
          <w:p w14:paraId="06965A1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877" w:type="dxa"/>
            <w:noWrap w:val="0"/>
            <w:vAlign w:val="center"/>
          </w:tcPr>
          <w:p w14:paraId="617A9968">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项目实施地点：</w:t>
            </w:r>
            <w:r>
              <w:rPr>
                <w:rFonts w:hint="eastAsia" w:ascii="宋体" w:hAnsi="宋体" w:cs="宋体"/>
                <w:color w:val="auto"/>
                <w:sz w:val="24"/>
                <w:szCs w:val="24"/>
                <w:lang w:eastAsia="zh-CN"/>
              </w:rPr>
              <w:t>米脂县第三中学</w:t>
            </w:r>
          </w:p>
        </w:tc>
      </w:tr>
      <w:tr w14:paraId="6E9B2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4" w:hRule="exact"/>
          <w:jc w:val="center"/>
        </w:trPr>
        <w:tc>
          <w:tcPr>
            <w:tcW w:w="914" w:type="dxa"/>
            <w:noWrap w:val="0"/>
            <w:vAlign w:val="center"/>
          </w:tcPr>
          <w:p w14:paraId="1986872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877" w:type="dxa"/>
            <w:noWrap w:val="0"/>
            <w:vAlign w:val="center"/>
          </w:tcPr>
          <w:p w14:paraId="12111EDC">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工期：合同签订之日起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日历天</w:t>
            </w:r>
          </w:p>
        </w:tc>
      </w:tr>
      <w:tr w14:paraId="7F9DE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914" w:type="dxa"/>
            <w:noWrap w:val="0"/>
            <w:vAlign w:val="center"/>
          </w:tcPr>
          <w:p w14:paraId="4E7CD25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8877" w:type="dxa"/>
            <w:noWrap w:val="0"/>
            <w:vAlign w:val="center"/>
          </w:tcPr>
          <w:p w14:paraId="5658235C">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1.投标报价</w:t>
            </w:r>
          </w:p>
          <w:p w14:paraId="34B62B2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1.1 所有报价均以人民币报价。</w:t>
            </w:r>
          </w:p>
          <w:p w14:paraId="63927B2F">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投标报价：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应在投标报价</w:t>
            </w:r>
            <w:r>
              <w:rPr>
                <w:rFonts w:hint="eastAsia" w:ascii="宋体" w:hAnsi="宋体" w:eastAsia="宋体" w:cs="宋体"/>
                <w:color w:val="auto"/>
                <w:sz w:val="24"/>
                <w:szCs w:val="24"/>
                <w:lang w:eastAsia="zh-CN"/>
              </w:rPr>
              <w:t>标</w:t>
            </w:r>
            <w:r>
              <w:rPr>
                <w:rFonts w:hint="eastAsia" w:ascii="宋体" w:hAnsi="宋体" w:eastAsia="宋体" w:cs="宋体"/>
                <w:color w:val="auto"/>
                <w:sz w:val="24"/>
                <w:szCs w:val="24"/>
              </w:rPr>
              <w:t>明完成</w:t>
            </w:r>
            <w:r>
              <w:rPr>
                <w:rFonts w:hint="eastAsia" w:ascii="宋体" w:hAnsi="宋体" w:eastAsia="宋体" w:cs="宋体"/>
                <w:color w:val="auto"/>
                <w:sz w:val="24"/>
                <w:szCs w:val="24"/>
                <w:lang w:eastAsia="zh-CN"/>
              </w:rPr>
              <w:t>本</w:t>
            </w:r>
            <w:r>
              <w:rPr>
                <w:rFonts w:hint="eastAsia" w:ascii="宋体" w:hAnsi="宋体" w:eastAsia="宋体" w:cs="宋体"/>
                <w:color w:val="auto"/>
                <w:sz w:val="24"/>
                <w:szCs w:val="24"/>
              </w:rPr>
              <w:t>工程</w:t>
            </w:r>
            <w:r>
              <w:rPr>
                <w:rFonts w:hint="eastAsia" w:ascii="宋体" w:hAnsi="宋体" w:eastAsia="宋体" w:cs="宋体"/>
                <w:color w:val="auto"/>
                <w:sz w:val="24"/>
                <w:szCs w:val="24"/>
                <w:lang w:eastAsia="zh-CN"/>
              </w:rPr>
              <w:t>施工</w:t>
            </w:r>
            <w:r>
              <w:rPr>
                <w:rFonts w:hint="eastAsia" w:ascii="宋体" w:hAnsi="宋体" w:eastAsia="宋体" w:cs="宋体"/>
                <w:color w:val="auto"/>
                <w:sz w:val="24"/>
                <w:szCs w:val="24"/>
              </w:rPr>
              <w:t>且验收合格的所有费用，包括</w:t>
            </w:r>
            <w:r>
              <w:rPr>
                <w:rFonts w:hint="eastAsia" w:ascii="宋体" w:hAnsi="宋体" w:eastAsia="宋体" w:cs="宋体"/>
                <w:color w:val="auto"/>
                <w:sz w:val="24"/>
              </w:rPr>
              <w:t>完成该</w:t>
            </w:r>
            <w:r>
              <w:rPr>
                <w:rFonts w:hint="eastAsia" w:ascii="宋体" w:hAnsi="宋体" w:eastAsia="宋体" w:cs="宋体"/>
                <w:color w:val="auto"/>
                <w:sz w:val="24"/>
                <w:lang w:eastAsia="zh-CN"/>
              </w:rPr>
              <w:t>项目</w:t>
            </w:r>
            <w:r>
              <w:rPr>
                <w:rFonts w:hint="eastAsia" w:ascii="宋体" w:hAnsi="宋体" w:eastAsia="宋体" w:cs="宋体"/>
                <w:color w:val="auto"/>
                <w:sz w:val="24"/>
              </w:rPr>
              <w:t>的</w:t>
            </w:r>
            <w:r>
              <w:rPr>
                <w:rFonts w:hint="eastAsia" w:ascii="宋体" w:hAnsi="宋体" w:eastAsia="宋体" w:cs="宋体"/>
                <w:color w:val="auto"/>
                <w:sz w:val="24"/>
                <w:lang w:eastAsia="zh-CN"/>
              </w:rPr>
              <w:t>人工费、机械费、材料费、施工费用等</w:t>
            </w:r>
            <w:r>
              <w:rPr>
                <w:rFonts w:hint="eastAsia" w:ascii="宋体" w:hAnsi="宋体" w:eastAsia="宋体" w:cs="宋体"/>
                <w:color w:val="auto"/>
                <w:sz w:val="24"/>
              </w:rPr>
              <w:t>和</w:t>
            </w:r>
            <w:r>
              <w:rPr>
                <w:rFonts w:hint="eastAsia" w:ascii="宋体" w:hAnsi="宋体" w:eastAsia="宋体" w:cs="宋体"/>
                <w:color w:val="auto"/>
                <w:sz w:val="24"/>
                <w:lang w:eastAsia="zh-CN"/>
              </w:rPr>
              <w:t>供应商</w:t>
            </w:r>
            <w:r>
              <w:rPr>
                <w:rFonts w:hint="eastAsia" w:ascii="宋体" w:hAnsi="宋体" w:eastAsia="宋体" w:cs="宋体"/>
                <w:color w:val="auto"/>
                <w:sz w:val="24"/>
              </w:rPr>
              <w:t>必须的其他费用以及合同中明示或暗示的所有风险、责任和义务等全部费用。</w:t>
            </w:r>
            <w:r>
              <w:rPr>
                <w:rFonts w:hint="eastAsia" w:ascii="宋体" w:hAnsi="宋体" w:eastAsia="宋体" w:cs="宋体"/>
                <w:color w:val="auto"/>
                <w:sz w:val="24"/>
                <w:szCs w:val="24"/>
              </w:rPr>
              <w:t>任何有选择的报价将不予接受，按无效投标处理。</w:t>
            </w:r>
          </w:p>
          <w:p w14:paraId="073603AD">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lang w:eastAsia="zh-CN"/>
              </w:rPr>
              <w:t>采购人不承担任何补充费用。任何有选择的报价将不予接受。</w:t>
            </w:r>
          </w:p>
          <w:p w14:paraId="7077245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付款方式和</w:t>
            </w:r>
            <w:r>
              <w:rPr>
                <w:rFonts w:hint="eastAsia" w:ascii="宋体" w:hAnsi="宋体" w:eastAsia="宋体" w:cs="宋体"/>
                <w:color w:val="auto"/>
                <w:sz w:val="24"/>
                <w:szCs w:val="24"/>
              </w:rPr>
              <w:t>程序：</w:t>
            </w:r>
          </w:p>
          <w:p w14:paraId="40E6002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 结算方式：</w:t>
            </w:r>
          </w:p>
          <w:p w14:paraId="2293BBF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由采购人以人民币负责结算，在付款前，</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必须开具</w:t>
            </w:r>
            <w:r>
              <w:rPr>
                <w:rFonts w:hint="eastAsia" w:ascii="宋体" w:hAnsi="宋体" w:eastAsia="宋体" w:cs="宋体"/>
                <w:color w:val="auto"/>
                <w:sz w:val="24"/>
                <w:szCs w:val="24"/>
                <w:lang w:eastAsia="zh-CN"/>
              </w:rPr>
              <w:t>相应金额的</w:t>
            </w:r>
            <w:r>
              <w:rPr>
                <w:rFonts w:hint="eastAsia" w:ascii="宋体" w:hAnsi="宋体" w:eastAsia="宋体" w:cs="宋体"/>
                <w:color w:val="auto"/>
                <w:sz w:val="24"/>
                <w:szCs w:val="24"/>
              </w:rPr>
              <w:t>发票给采购人。</w:t>
            </w:r>
          </w:p>
          <w:p w14:paraId="6850E57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B付款方式：</w:t>
            </w:r>
          </w:p>
          <w:p w14:paraId="36EBE99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按照工程建设进度结合财政拨付资金到位情况支付工程款，双方签订合同后，预付工程款 40%，工程完工付总工程款 40%。竣工验收合格、决算审计后，支付其余的工程款20%。每次付款均需提供正式发票。</w:t>
            </w:r>
            <w:r>
              <w:rPr>
                <w:rFonts w:hint="eastAsia" w:ascii="宋体" w:hAnsi="宋体" w:eastAsia="宋体" w:cs="宋体"/>
                <w:color w:val="auto"/>
                <w:sz w:val="24"/>
                <w:szCs w:val="24"/>
                <w:lang w:eastAsia="zh-CN"/>
              </w:rPr>
              <w:t>。</w:t>
            </w:r>
          </w:p>
          <w:p w14:paraId="4017512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履约情况：</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lang w:eastAsia="zh-CN"/>
              </w:rPr>
              <w:t>完成后，采购人组织相关部门及人员进行验收，验收不合格的，造成的一切费用由供货商承担，并负担采购人的一切损失。</w:t>
            </w:r>
          </w:p>
        </w:tc>
      </w:tr>
      <w:tr w14:paraId="40D845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jc w:val="center"/>
        </w:trPr>
        <w:tc>
          <w:tcPr>
            <w:tcW w:w="914" w:type="dxa"/>
            <w:noWrap w:val="0"/>
            <w:vAlign w:val="center"/>
          </w:tcPr>
          <w:p w14:paraId="1646387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8877" w:type="dxa"/>
            <w:noWrap w:val="0"/>
            <w:vAlign w:val="center"/>
          </w:tcPr>
          <w:p w14:paraId="7FB78F97">
            <w:pPr>
              <w:spacing w:line="360" w:lineRule="auto"/>
              <w:rPr>
                <w:rFonts w:hint="eastAsia" w:ascii="宋体" w:hAnsi="宋体" w:eastAsia="宋体" w:cs="宋体"/>
                <w:b w:val="0"/>
                <w:bCs/>
                <w:color w:val="auto"/>
                <w:sz w:val="24"/>
                <w:szCs w:val="24"/>
              </w:rPr>
            </w:pPr>
            <w:r>
              <w:rPr>
                <w:rFonts w:hint="eastAsia" w:ascii="宋体" w:hAnsi="宋体" w:eastAsia="宋体" w:cs="宋体"/>
                <w:b/>
                <w:color w:val="auto"/>
                <w:kern w:val="0"/>
                <w:sz w:val="24"/>
                <w:lang w:eastAsia="zh-CN"/>
              </w:rPr>
              <w:t>质量要求：</w:t>
            </w:r>
            <w:r>
              <w:rPr>
                <w:rFonts w:hint="eastAsia" w:ascii="宋体" w:hAnsi="宋体" w:eastAsia="宋体" w:cs="宋体"/>
                <w:b w:val="0"/>
                <w:bCs/>
                <w:color w:val="auto"/>
                <w:sz w:val="24"/>
                <w:szCs w:val="24"/>
              </w:rPr>
              <w:t>1.所选材料必须保证质量可靠、进货渠道正常，符合国家相关标准，满足</w:t>
            </w:r>
            <w:r>
              <w:rPr>
                <w:rFonts w:hint="eastAsia" w:ascii="宋体" w:hAnsi="宋体" w:eastAsia="宋体" w:cs="宋体"/>
                <w:b w:val="0"/>
                <w:bCs/>
                <w:color w:val="auto"/>
                <w:sz w:val="24"/>
                <w:szCs w:val="24"/>
                <w:lang w:val="en-US" w:eastAsia="zh-CN"/>
              </w:rPr>
              <w:t>其他</w:t>
            </w:r>
            <w:r>
              <w:rPr>
                <w:rFonts w:hint="eastAsia" w:ascii="宋体" w:hAnsi="宋体" w:eastAsia="宋体" w:cs="宋体"/>
                <w:b w:val="0"/>
                <w:bCs/>
                <w:color w:val="auto"/>
                <w:sz w:val="24"/>
                <w:szCs w:val="24"/>
              </w:rPr>
              <w:t>要求。</w:t>
            </w:r>
          </w:p>
          <w:p w14:paraId="3F3E3404">
            <w:pPr>
              <w:spacing w:line="360" w:lineRule="auto"/>
              <w:rPr>
                <w:rFonts w:hint="eastAsia" w:ascii="宋体" w:hAnsi="宋体" w:eastAsia="宋体" w:cs="宋体"/>
                <w:b/>
                <w:color w:val="auto"/>
                <w:sz w:val="24"/>
                <w:szCs w:val="24"/>
              </w:rPr>
            </w:pPr>
            <w:r>
              <w:rPr>
                <w:rFonts w:hint="eastAsia" w:ascii="宋体" w:hAnsi="宋体" w:eastAsia="宋体" w:cs="宋体"/>
                <w:b w:val="0"/>
                <w:bCs/>
                <w:color w:val="auto"/>
                <w:sz w:val="24"/>
                <w:szCs w:val="24"/>
              </w:rPr>
              <w:t>2.成交单位应遵照国家规范规定的</w:t>
            </w:r>
            <w:r>
              <w:rPr>
                <w:rFonts w:hint="eastAsia" w:ascii="宋体" w:hAnsi="宋体" w:eastAsia="宋体" w:cs="宋体"/>
                <w:b w:val="0"/>
                <w:bCs/>
                <w:color w:val="auto"/>
                <w:sz w:val="24"/>
                <w:szCs w:val="24"/>
                <w:lang w:val="en-US" w:eastAsia="zh-CN"/>
              </w:rPr>
              <w:t>公路</w:t>
            </w:r>
            <w:r>
              <w:rPr>
                <w:rFonts w:hint="eastAsia" w:ascii="宋体" w:hAnsi="宋体" w:eastAsia="宋体" w:cs="宋体"/>
                <w:b w:val="0"/>
                <w:bCs/>
                <w:color w:val="auto"/>
                <w:sz w:val="24"/>
                <w:szCs w:val="24"/>
                <w:lang w:eastAsia="zh-CN"/>
              </w:rPr>
              <w:t>工程</w:t>
            </w:r>
            <w:r>
              <w:rPr>
                <w:rFonts w:hint="eastAsia" w:ascii="宋体" w:hAnsi="宋体" w:eastAsia="宋体" w:cs="宋体"/>
                <w:b w:val="0"/>
                <w:bCs/>
                <w:color w:val="auto"/>
                <w:sz w:val="24"/>
                <w:szCs w:val="24"/>
              </w:rPr>
              <w:t>施工质量标准及要求作出明确承诺。</w:t>
            </w:r>
          </w:p>
        </w:tc>
      </w:tr>
      <w:tr w14:paraId="52283D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jc w:val="center"/>
        </w:trPr>
        <w:tc>
          <w:tcPr>
            <w:tcW w:w="914" w:type="dxa"/>
            <w:noWrap w:val="0"/>
            <w:vAlign w:val="center"/>
          </w:tcPr>
          <w:p w14:paraId="14F2A8C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8877" w:type="dxa"/>
            <w:noWrap w:val="0"/>
            <w:vAlign w:val="center"/>
          </w:tcPr>
          <w:p w14:paraId="40BE14A7">
            <w:pPr>
              <w:spacing w:line="360" w:lineRule="auto"/>
              <w:rPr>
                <w:rFonts w:hint="eastAsia" w:ascii="宋体" w:hAnsi="宋体" w:eastAsia="宋体" w:cs="宋体"/>
                <w:b/>
                <w:color w:val="auto"/>
                <w:kern w:val="0"/>
                <w:sz w:val="24"/>
                <w:lang w:eastAsia="zh-CN"/>
              </w:rPr>
            </w:pPr>
            <w:r>
              <w:rPr>
                <w:rFonts w:hint="eastAsia" w:ascii="宋体" w:hAnsi="宋体" w:eastAsia="宋体" w:cs="宋体"/>
                <w:b/>
                <w:color w:val="auto"/>
                <w:kern w:val="0"/>
                <w:sz w:val="24"/>
                <w:lang w:val="en-US" w:eastAsia="zh-CN"/>
              </w:rPr>
              <w:t>质量标准：</w:t>
            </w:r>
            <w:r>
              <w:rPr>
                <w:rFonts w:hint="eastAsia" w:ascii="宋体" w:hAnsi="宋体" w:eastAsia="宋体" w:cs="宋体"/>
                <w:b/>
                <w:color w:val="auto"/>
                <w:kern w:val="0"/>
                <w:sz w:val="24"/>
                <w:lang w:eastAsia="zh-CN"/>
              </w:rPr>
              <w:t>国家现行验收规范“合格”</w:t>
            </w:r>
            <w:r>
              <w:rPr>
                <w:rFonts w:hint="eastAsia" w:ascii="宋体" w:hAnsi="宋体" w:cs="宋体"/>
                <w:b/>
                <w:color w:val="auto"/>
                <w:kern w:val="0"/>
                <w:sz w:val="24"/>
                <w:lang w:val="en-US" w:eastAsia="zh-CN"/>
              </w:rPr>
              <w:t>标准</w:t>
            </w:r>
            <w:r>
              <w:rPr>
                <w:rFonts w:hint="eastAsia" w:ascii="宋体" w:hAnsi="宋体" w:eastAsia="宋体" w:cs="宋体"/>
                <w:b/>
                <w:color w:val="auto"/>
                <w:kern w:val="0"/>
                <w:sz w:val="24"/>
                <w:lang w:eastAsia="zh-CN"/>
              </w:rPr>
              <w:t>。</w:t>
            </w:r>
          </w:p>
          <w:p w14:paraId="7AE13D34">
            <w:pPr>
              <w:spacing w:line="360" w:lineRule="auto"/>
              <w:rPr>
                <w:rFonts w:hint="default" w:ascii="宋体" w:hAnsi="宋体" w:eastAsia="宋体" w:cs="宋体"/>
                <w:b/>
                <w:color w:val="auto"/>
                <w:kern w:val="0"/>
                <w:sz w:val="24"/>
                <w:lang w:val="en-US" w:eastAsia="zh-CN"/>
              </w:rPr>
            </w:pPr>
            <w:r>
              <w:rPr>
                <w:rFonts w:hint="eastAsia" w:ascii="宋体" w:hAnsi="宋体" w:eastAsia="宋体" w:cs="宋体"/>
                <w:b/>
                <w:color w:val="auto"/>
                <w:kern w:val="0"/>
                <w:sz w:val="24"/>
                <w:lang w:val="en-US" w:eastAsia="zh-CN"/>
              </w:rPr>
              <w:t>质保期</w:t>
            </w:r>
            <w:r>
              <w:rPr>
                <w:rFonts w:hint="eastAsia" w:ascii="宋体" w:hAnsi="宋体" w:cs="宋体"/>
                <w:b/>
                <w:color w:val="auto"/>
                <w:kern w:val="0"/>
                <w:sz w:val="24"/>
                <w:lang w:val="en-US" w:eastAsia="zh-CN"/>
              </w:rPr>
              <w:t>：二年</w:t>
            </w:r>
          </w:p>
        </w:tc>
      </w:tr>
      <w:tr w14:paraId="165233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914" w:type="dxa"/>
            <w:noWrap w:val="0"/>
            <w:vAlign w:val="center"/>
          </w:tcPr>
          <w:p w14:paraId="495738A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8877" w:type="dxa"/>
            <w:noWrap w:val="0"/>
            <w:vAlign w:val="center"/>
          </w:tcPr>
          <w:p w14:paraId="1948BF34">
            <w:pPr>
              <w:adjustRightInd w:val="0"/>
              <w:snapToGrid w:val="0"/>
              <w:spacing w:line="360" w:lineRule="auto"/>
              <w:rPr>
                <w:rFonts w:hint="eastAsia" w:ascii="宋体" w:hAnsi="宋体" w:eastAsia="宋体" w:cs="宋体"/>
                <w:b/>
                <w:bCs/>
                <w:color w:val="auto"/>
                <w:sz w:val="24"/>
                <w:szCs w:val="22"/>
              </w:rPr>
            </w:pPr>
            <w:r>
              <w:rPr>
                <w:rFonts w:hint="eastAsia" w:ascii="宋体" w:hAnsi="宋体" w:eastAsia="宋体" w:cs="宋体"/>
                <w:b/>
                <w:bCs/>
                <w:color w:val="auto"/>
                <w:sz w:val="24"/>
                <w:szCs w:val="22"/>
              </w:rPr>
              <w:t>验收：</w:t>
            </w:r>
          </w:p>
          <w:p w14:paraId="39502877">
            <w:pPr>
              <w:adjustRightInd w:val="0"/>
              <w:snapToGrid w:val="0"/>
              <w:spacing w:line="360" w:lineRule="auto"/>
              <w:ind w:firstLine="480" w:firstLineChars="200"/>
              <w:rPr>
                <w:rFonts w:hint="eastAsia" w:ascii="宋体" w:hAnsi="宋体" w:eastAsia="宋体" w:cs="宋体"/>
                <w:b/>
                <w:color w:val="auto"/>
                <w:sz w:val="24"/>
              </w:rPr>
            </w:pPr>
            <w:r>
              <w:rPr>
                <w:rFonts w:hint="eastAsia" w:ascii="宋体" w:hAnsi="宋体" w:eastAsia="宋体" w:cs="宋体"/>
                <w:color w:val="auto"/>
                <w:sz w:val="24"/>
                <w:szCs w:val="22"/>
              </w:rPr>
              <w:t>1、终验:项目在竣工后，</w:t>
            </w:r>
            <w:r>
              <w:rPr>
                <w:rFonts w:hint="eastAsia" w:ascii="宋体" w:hAnsi="宋体" w:eastAsia="宋体" w:cs="宋体"/>
                <w:color w:val="auto"/>
                <w:sz w:val="24"/>
                <w:szCs w:val="22"/>
                <w:lang w:val="en-US" w:eastAsia="zh-CN"/>
              </w:rPr>
              <w:t>成交</w:t>
            </w:r>
            <w:r>
              <w:rPr>
                <w:rFonts w:hint="eastAsia" w:ascii="宋体" w:hAnsi="宋体" w:eastAsia="宋体" w:cs="宋体"/>
                <w:color w:val="auto"/>
                <w:sz w:val="24"/>
                <w:szCs w:val="22"/>
              </w:rPr>
              <w:t>单位应向甲方提交竣工验收申请报告，并将施工过程中相关资料提交</w:t>
            </w:r>
            <w:r>
              <w:rPr>
                <w:rFonts w:hint="eastAsia" w:ascii="宋体" w:hAnsi="宋体" w:eastAsia="宋体" w:cs="宋体"/>
                <w:color w:val="auto"/>
                <w:sz w:val="24"/>
              </w:rPr>
              <w:t>使用部门等有关单位，由甲方验收项目竣工情况。验收合格</w:t>
            </w:r>
            <w:r>
              <w:rPr>
                <w:rFonts w:hint="eastAsia" w:ascii="宋体" w:hAnsi="宋体" w:eastAsia="宋体" w:cs="宋体"/>
                <w:color w:val="auto"/>
                <w:kern w:val="0"/>
                <w:sz w:val="24"/>
              </w:rPr>
              <w:t>后，使用部门签发《终验合格单》。</w:t>
            </w:r>
          </w:p>
          <w:p w14:paraId="180FA6AA">
            <w:pPr>
              <w:adjustRightInd w:val="0"/>
              <w:snapToGrid w:val="0"/>
              <w:spacing w:line="360" w:lineRule="auto"/>
              <w:ind w:firstLine="470" w:firstLineChars="196"/>
              <w:rPr>
                <w:rFonts w:hint="eastAsia" w:ascii="宋体" w:hAnsi="宋体" w:eastAsia="宋体" w:cs="宋体"/>
                <w:color w:val="auto"/>
                <w:kern w:val="2"/>
                <w:sz w:val="24"/>
                <w:szCs w:val="20"/>
                <w:lang w:val="en-US" w:eastAsia="zh-CN" w:bidi="ar-SA"/>
              </w:rPr>
            </w:pPr>
            <w:r>
              <w:rPr>
                <w:rFonts w:hint="eastAsia" w:ascii="宋体" w:hAnsi="宋体" w:eastAsia="宋体" w:cs="宋体"/>
                <w:color w:val="auto"/>
                <w:sz w:val="24"/>
              </w:rPr>
              <w:t>2、验收不合格的</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单位，必须在接到通知后7个日历日内确保工程通过验收。如接到通知后7个日历日内验收仍不合格，</w:t>
            </w:r>
            <w:r>
              <w:rPr>
                <w:rFonts w:hint="eastAsia" w:ascii="宋体" w:hAnsi="宋体" w:eastAsia="宋体" w:cs="宋体"/>
                <w:color w:val="auto"/>
                <w:sz w:val="24"/>
                <w:lang w:val="en-US" w:eastAsia="zh-CN"/>
              </w:rPr>
              <w:t>采购</w:t>
            </w:r>
            <w:r>
              <w:rPr>
                <w:rFonts w:hint="eastAsia" w:ascii="宋体" w:hAnsi="宋体" w:eastAsia="宋体" w:cs="宋体"/>
                <w:color w:val="auto"/>
                <w:sz w:val="24"/>
              </w:rPr>
              <w:t>人可提出索赔或取消其施工合同。</w:t>
            </w:r>
          </w:p>
        </w:tc>
      </w:tr>
      <w:tr w14:paraId="5FA28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1" w:hRule="atLeast"/>
          <w:jc w:val="center"/>
        </w:trPr>
        <w:tc>
          <w:tcPr>
            <w:tcW w:w="914" w:type="dxa"/>
            <w:noWrap w:val="0"/>
            <w:vAlign w:val="center"/>
          </w:tcPr>
          <w:p w14:paraId="51ECBC7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8877" w:type="dxa"/>
            <w:noWrap w:val="0"/>
            <w:vAlign w:val="center"/>
          </w:tcPr>
          <w:p w14:paraId="5FBF88CE">
            <w:pPr>
              <w:spacing w:line="360" w:lineRule="auto"/>
              <w:rPr>
                <w:rFonts w:hint="eastAsia" w:ascii="宋体" w:hAnsi="宋体" w:eastAsia="宋体" w:cs="宋体"/>
                <w:b/>
                <w:color w:val="auto"/>
                <w:kern w:val="0"/>
                <w:sz w:val="24"/>
              </w:rPr>
            </w:pPr>
            <w:r>
              <w:rPr>
                <w:rFonts w:hint="eastAsia" w:ascii="宋体" w:hAnsi="宋体" w:eastAsia="宋体" w:cs="宋体"/>
                <w:b/>
                <w:color w:val="auto"/>
                <w:kern w:val="0"/>
                <w:sz w:val="24"/>
              </w:rPr>
              <w:t>验收依据：</w:t>
            </w:r>
          </w:p>
          <w:p w14:paraId="7E3240AF">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（1）合同文本及合同补充文件（条款）。 </w:t>
            </w:r>
          </w:p>
          <w:p w14:paraId="6659F175">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竞争性磋商文件</w:t>
            </w:r>
            <w:r>
              <w:rPr>
                <w:rFonts w:hint="eastAsia" w:ascii="宋体" w:hAnsi="宋体" w:eastAsia="宋体" w:cs="宋体"/>
                <w:color w:val="auto"/>
                <w:sz w:val="24"/>
              </w:rPr>
              <w:t>。</w:t>
            </w:r>
          </w:p>
          <w:p w14:paraId="77ABAE9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竞争性磋商响应文件</w:t>
            </w:r>
            <w:r>
              <w:rPr>
                <w:rFonts w:hint="eastAsia" w:ascii="宋体" w:hAnsi="宋体" w:eastAsia="宋体" w:cs="宋体"/>
                <w:color w:val="auto"/>
                <w:sz w:val="24"/>
              </w:rPr>
              <w:t>。</w:t>
            </w:r>
          </w:p>
          <w:p w14:paraId="0D00EA6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招标内容及要求</w:t>
            </w:r>
            <w:r>
              <w:rPr>
                <w:rFonts w:hint="eastAsia" w:ascii="宋体" w:hAnsi="宋体" w:eastAsia="宋体" w:cs="宋体"/>
                <w:color w:val="auto"/>
                <w:sz w:val="24"/>
              </w:rPr>
              <w:t>。</w:t>
            </w:r>
          </w:p>
          <w:p w14:paraId="7B6BA126">
            <w:pPr>
              <w:spacing w:line="360" w:lineRule="auto"/>
              <w:ind w:firstLine="240" w:firstLineChars="100"/>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sz w:val="24"/>
              </w:rPr>
              <w:t>（5）</w:t>
            </w:r>
            <w:r>
              <w:rPr>
                <w:rFonts w:hint="eastAsia" w:ascii="宋体" w:hAnsi="宋体" w:cs="宋体"/>
                <w:color w:val="auto"/>
                <w:sz w:val="24"/>
                <w:lang w:val="en-US" w:eastAsia="zh-CN"/>
              </w:rPr>
              <w:t>建设工程</w:t>
            </w:r>
            <w:r>
              <w:rPr>
                <w:rFonts w:hint="eastAsia" w:ascii="宋体" w:hAnsi="宋体" w:eastAsia="宋体" w:cs="宋体"/>
                <w:color w:val="auto"/>
                <w:sz w:val="24"/>
              </w:rPr>
              <w:t>施工质量验收统一标准。</w:t>
            </w:r>
          </w:p>
        </w:tc>
      </w:tr>
      <w:tr w14:paraId="7DBB5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1" w:hRule="atLeast"/>
          <w:jc w:val="center"/>
        </w:trPr>
        <w:tc>
          <w:tcPr>
            <w:tcW w:w="914" w:type="dxa"/>
            <w:noWrap w:val="0"/>
            <w:vAlign w:val="center"/>
          </w:tcPr>
          <w:p w14:paraId="7D4B2408">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8877" w:type="dxa"/>
            <w:noWrap w:val="0"/>
            <w:vAlign w:val="center"/>
          </w:tcPr>
          <w:p w14:paraId="1FED26A4">
            <w:pPr>
              <w:spacing w:line="360" w:lineRule="auto"/>
              <w:rPr>
                <w:rFonts w:hint="eastAsia" w:ascii="宋体" w:hAnsi="宋体" w:eastAsia="宋体" w:cs="宋体"/>
                <w:b/>
                <w:bCs/>
                <w:color w:val="auto"/>
                <w:sz w:val="24"/>
                <w:szCs w:val="22"/>
              </w:rPr>
            </w:pPr>
            <w:r>
              <w:rPr>
                <w:rFonts w:hint="eastAsia" w:ascii="宋体" w:hAnsi="宋体" w:eastAsia="宋体" w:cs="宋体"/>
                <w:b/>
                <w:bCs/>
                <w:color w:val="auto"/>
                <w:sz w:val="24"/>
                <w:szCs w:val="22"/>
              </w:rPr>
              <w:t>违约责任：</w:t>
            </w:r>
          </w:p>
          <w:p w14:paraId="2FD33A3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szCs w:val="22"/>
              </w:rPr>
              <w:t>1、按《中华人</w:t>
            </w:r>
            <w:r>
              <w:rPr>
                <w:rFonts w:hint="eastAsia" w:ascii="宋体" w:hAnsi="宋体" w:eastAsia="宋体" w:cs="宋体"/>
                <w:color w:val="auto"/>
                <w:sz w:val="24"/>
              </w:rPr>
              <w:t>民共和国</w:t>
            </w:r>
            <w:r>
              <w:rPr>
                <w:rFonts w:hint="eastAsia" w:ascii="宋体" w:hAnsi="宋体" w:eastAsia="宋体" w:cs="宋体"/>
                <w:color w:val="auto"/>
                <w:sz w:val="24"/>
                <w:lang w:eastAsia="zh-CN"/>
              </w:rPr>
              <w:t>民法典</w:t>
            </w:r>
            <w:r>
              <w:rPr>
                <w:rFonts w:hint="eastAsia" w:ascii="宋体" w:hAnsi="宋体" w:eastAsia="宋体" w:cs="宋体"/>
                <w:color w:val="auto"/>
                <w:sz w:val="24"/>
              </w:rPr>
              <w:t>》中的相关条款执行。</w:t>
            </w:r>
          </w:p>
          <w:p w14:paraId="375F97E7">
            <w:pPr>
              <w:spacing w:line="360" w:lineRule="auto"/>
              <w:ind w:firstLine="480" w:firstLineChars="200"/>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sz w:val="24"/>
              </w:rPr>
              <w:t>2、未按合同要求提供工程质量或工程质量不能满足技术要求，招标人有权终止合同，并对供方违约行为进行追究，同时按《政府采购法》的有关规定进行处罚。</w:t>
            </w:r>
          </w:p>
        </w:tc>
      </w:tr>
    </w:tbl>
    <w:p w14:paraId="3099E3F0">
      <w:pPr>
        <w:bidi w:val="0"/>
        <w:rPr>
          <w:rFonts w:hint="eastAsia" w:ascii="宋体" w:hAnsi="宋体" w:eastAsia="宋体" w:cs="宋体"/>
          <w:color w:val="auto"/>
        </w:rPr>
      </w:pPr>
    </w:p>
    <w:p w14:paraId="7E854EDE">
      <w:pPr>
        <w:bidi w:val="0"/>
        <w:rPr>
          <w:rFonts w:hint="eastAsia" w:ascii="宋体" w:hAnsi="宋体" w:eastAsia="宋体" w:cs="宋体"/>
          <w:color w:val="auto"/>
        </w:rPr>
      </w:pPr>
    </w:p>
    <w:p w14:paraId="46903179">
      <w:pPr>
        <w:bidi w:val="0"/>
        <w:rPr>
          <w:rFonts w:hint="eastAsia" w:ascii="宋体" w:hAnsi="宋体" w:eastAsia="宋体" w:cs="宋体"/>
          <w:color w:val="auto"/>
        </w:rPr>
      </w:pPr>
    </w:p>
    <w:p w14:paraId="5488F291">
      <w:pPr>
        <w:bidi w:val="0"/>
        <w:rPr>
          <w:rFonts w:hint="eastAsia" w:ascii="宋体" w:hAnsi="宋体" w:eastAsia="宋体" w:cs="宋体"/>
          <w:color w:val="auto"/>
        </w:rPr>
      </w:pPr>
    </w:p>
    <w:p w14:paraId="53AF4D4E">
      <w:pPr>
        <w:bidi w:val="0"/>
        <w:rPr>
          <w:rFonts w:hint="eastAsia" w:ascii="宋体" w:hAnsi="宋体" w:eastAsia="宋体" w:cs="宋体"/>
          <w:color w:val="auto"/>
        </w:rPr>
      </w:pPr>
    </w:p>
    <w:p w14:paraId="0EBF28A1">
      <w:pPr>
        <w:bidi w:val="0"/>
        <w:rPr>
          <w:rFonts w:hint="eastAsia" w:ascii="宋体" w:hAnsi="宋体" w:eastAsia="宋体" w:cs="宋体"/>
          <w:color w:val="auto"/>
        </w:rPr>
      </w:pPr>
    </w:p>
    <w:p w14:paraId="50576F7C">
      <w:pPr>
        <w:bidi w:val="0"/>
        <w:rPr>
          <w:rFonts w:hint="eastAsia" w:ascii="宋体" w:hAnsi="宋体" w:eastAsia="宋体" w:cs="宋体"/>
          <w:color w:val="auto"/>
        </w:rPr>
      </w:pPr>
    </w:p>
    <w:p w14:paraId="70BDD5DD">
      <w:pPr>
        <w:bidi w:val="0"/>
        <w:rPr>
          <w:rFonts w:hint="eastAsia" w:ascii="宋体" w:hAnsi="宋体" w:eastAsia="宋体" w:cs="宋体"/>
          <w:color w:val="auto"/>
        </w:rPr>
      </w:pPr>
    </w:p>
    <w:p w14:paraId="0B8F0586">
      <w:pPr>
        <w:pStyle w:val="2"/>
        <w:bidi w:val="0"/>
        <w:jc w:val="center"/>
        <w:rPr>
          <w:rFonts w:hint="eastAsia" w:ascii="宋体" w:hAnsi="宋体" w:eastAsia="宋体" w:cs="宋体"/>
          <w:color w:val="auto"/>
          <w:lang w:eastAsia="zh-CN"/>
        </w:rPr>
        <w:sectPr>
          <w:footerReference r:id="rId5" w:type="default"/>
          <w:pgSz w:w="11900" w:h="16838"/>
          <w:pgMar w:top="1332" w:right="1196" w:bottom="1417" w:left="1672" w:header="680" w:footer="680" w:gutter="0"/>
          <w:pgNumType w:fmt="decimal"/>
          <w:cols w:space="0" w:num="1"/>
          <w:rtlGutter w:val="0"/>
          <w:docGrid w:linePitch="1" w:charSpace="0"/>
        </w:sectPr>
      </w:pPr>
    </w:p>
    <w:p w14:paraId="17640AC9">
      <w:pPr>
        <w:pStyle w:val="2"/>
        <w:bidi w:val="0"/>
        <w:jc w:val="center"/>
        <w:rPr>
          <w:rFonts w:hint="eastAsia" w:ascii="宋体" w:hAnsi="宋体" w:eastAsia="宋体" w:cs="宋体"/>
          <w:color w:val="auto"/>
          <w:lang w:eastAsia="zh-CN"/>
        </w:rPr>
      </w:pPr>
    </w:p>
    <w:p w14:paraId="3B0B1AEB">
      <w:pPr>
        <w:pStyle w:val="2"/>
        <w:bidi w:val="0"/>
        <w:rPr>
          <w:rFonts w:hint="eastAsia"/>
        </w:rPr>
      </w:pPr>
      <w:bookmarkStart w:id="61" w:name="_Toc22469"/>
      <w:bookmarkStart w:id="62" w:name="_Toc11677"/>
      <w:r>
        <w:rPr>
          <w:rFonts w:hint="eastAsia"/>
          <w:lang w:eastAsia="zh-CN"/>
        </w:rPr>
        <w:t>第四章</w:t>
      </w:r>
      <w:r>
        <w:rPr>
          <w:rFonts w:hint="eastAsia"/>
          <w:lang w:val="en-US" w:eastAsia="zh-CN"/>
        </w:rPr>
        <w:t xml:space="preserve"> </w:t>
      </w:r>
      <w:r>
        <w:rPr>
          <w:rFonts w:hint="eastAsia"/>
        </w:rPr>
        <w:t>合同条款及格式</w:t>
      </w:r>
      <w:bookmarkEnd w:id="61"/>
      <w:bookmarkEnd w:id="62"/>
    </w:p>
    <w:p w14:paraId="51E1ABA4">
      <w:pPr>
        <w:bidi w:val="0"/>
        <w:jc w:val="center"/>
        <w:rPr>
          <w:rFonts w:hint="eastAsia" w:ascii="宋体" w:hAnsi="宋体" w:eastAsia="宋体" w:cs="宋体"/>
          <w:color w:val="auto"/>
        </w:rPr>
      </w:pPr>
      <w:bookmarkStart w:id="63" w:name="_Toc9343"/>
      <w:bookmarkStart w:id="64" w:name="_Toc5327"/>
      <w:bookmarkStart w:id="65" w:name="_Toc6345"/>
      <w:bookmarkStart w:id="66" w:name="_Toc25351"/>
      <w:bookmarkStart w:id="67" w:name="_Toc13654"/>
      <w:bookmarkStart w:id="68" w:name="_Toc23956"/>
      <w:bookmarkStart w:id="69" w:name="_Toc17215"/>
      <w:bookmarkStart w:id="70" w:name="_Toc32065"/>
      <w:bookmarkStart w:id="71" w:name="_Toc4882"/>
      <w:r>
        <w:rPr>
          <w:rFonts w:hint="eastAsia" w:ascii="宋体" w:hAnsi="宋体" w:eastAsia="宋体" w:cs="宋体"/>
          <w:color w:val="auto"/>
        </w:rPr>
        <w:t>（参考）</w:t>
      </w:r>
      <w:bookmarkEnd w:id="63"/>
      <w:bookmarkEnd w:id="64"/>
      <w:bookmarkEnd w:id="65"/>
      <w:bookmarkEnd w:id="66"/>
      <w:bookmarkEnd w:id="67"/>
      <w:bookmarkEnd w:id="68"/>
      <w:bookmarkEnd w:id="69"/>
      <w:bookmarkEnd w:id="70"/>
      <w:bookmarkEnd w:id="71"/>
    </w:p>
    <w:p w14:paraId="3865EC3F">
      <w:pPr>
        <w:wordWrap w:val="0"/>
        <w:jc w:val="right"/>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 </w:t>
      </w:r>
    </w:p>
    <w:p w14:paraId="3269DDA3">
      <w:pPr>
        <w:rPr>
          <w:rFonts w:asciiTheme="minorEastAsia" w:hAnsiTheme="minorEastAsia" w:eastAsiaTheme="minorEastAsia" w:cstheme="minorEastAsia"/>
          <w:b/>
          <w:bCs/>
          <w:color w:val="000000" w:themeColor="text1"/>
          <w:sz w:val="28"/>
          <w:szCs w:val="28"/>
          <w14:textFill>
            <w14:solidFill>
              <w14:schemeClr w14:val="tx1"/>
            </w14:solidFill>
          </w14:textFill>
        </w:rPr>
      </w:pPr>
    </w:p>
    <w:p w14:paraId="4FAE38D9">
      <w:pPr>
        <w:jc w:val="center"/>
        <w:rPr>
          <w:rFonts w:asciiTheme="minorEastAsia" w:hAnsiTheme="minorEastAsia" w:eastAsiaTheme="minorEastAsia" w:cstheme="minorEastAsia"/>
          <w:b/>
          <w:bCs/>
          <w:color w:val="000000" w:themeColor="text1"/>
          <w:sz w:val="40"/>
          <w:szCs w:val="40"/>
          <w14:textFill>
            <w14:solidFill>
              <w14:schemeClr w14:val="tx1"/>
            </w14:solidFill>
          </w14:textFill>
        </w:rPr>
      </w:pPr>
    </w:p>
    <w:p w14:paraId="53298B20">
      <w:pPr>
        <w:jc w:val="center"/>
        <w:rPr>
          <w:rFonts w:hint="default" w:ascii="楷体" w:hAnsi="楷体" w:eastAsia="楷体" w:cs="楷体"/>
          <w:b/>
          <w:bCs/>
          <w:sz w:val="56"/>
          <w:szCs w:val="56"/>
          <w:lang w:val="en-US" w:eastAsia="zh-CN"/>
        </w:rPr>
      </w:pPr>
      <w:r>
        <w:rPr>
          <w:rFonts w:hint="eastAsia" w:ascii="楷体" w:hAnsi="楷体" w:eastAsia="楷体" w:cs="楷体"/>
          <w:b/>
          <w:bCs/>
          <w:sz w:val="56"/>
          <w:szCs w:val="56"/>
          <w:lang w:val="en-US" w:eastAsia="zh-CN"/>
        </w:rPr>
        <w:t>建筑消防设施</w:t>
      </w:r>
    </w:p>
    <w:p w14:paraId="7563E51E">
      <w:pPr>
        <w:jc w:val="center"/>
        <w:rPr>
          <w:rFonts w:ascii="楷体" w:hAnsi="楷体" w:eastAsia="楷体" w:cs="楷体"/>
          <w:b/>
          <w:bCs/>
          <w:sz w:val="72"/>
          <w:szCs w:val="72"/>
        </w:rPr>
      </w:pPr>
    </w:p>
    <w:p w14:paraId="1A83ABF7">
      <w:pPr>
        <w:jc w:val="center"/>
        <w:rPr>
          <w:rFonts w:ascii="楷体" w:hAnsi="楷体" w:eastAsia="楷体" w:cs="楷体"/>
          <w:b/>
          <w:bCs/>
          <w:sz w:val="72"/>
          <w:szCs w:val="72"/>
        </w:rPr>
      </w:pPr>
    </w:p>
    <w:p w14:paraId="1F2955EA">
      <w:pPr>
        <w:jc w:val="center"/>
        <w:rPr>
          <w:rFonts w:hint="eastAsia" w:ascii="楷体" w:hAnsi="楷体" w:eastAsia="楷体" w:cs="楷体"/>
          <w:b/>
          <w:bCs/>
          <w:sz w:val="72"/>
          <w:szCs w:val="72"/>
          <w:lang w:val="en-US" w:eastAsia="zh-CN"/>
        </w:rPr>
      </w:pPr>
      <w:r>
        <w:rPr>
          <w:rFonts w:hint="eastAsia" w:ascii="楷体" w:hAnsi="楷体" w:eastAsia="楷体" w:cs="楷体"/>
          <w:b/>
          <w:bCs/>
          <w:sz w:val="72"/>
          <w:szCs w:val="72"/>
          <w:lang w:val="en-US" w:eastAsia="zh-CN"/>
        </w:rPr>
        <w:t>施</w:t>
      </w:r>
    </w:p>
    <w:p w14:paraId="44A959E7">
      <w:pPr>
        <w:jc w:val="center"/>
        <w:rPr>
          <w:rFonts w:hint="eastAsia" w:ascii="楷体" w:hAnsi="楷体" w:eastAsia="楷体" w:cs="楷体"/>
          <w:b/>
          <w:bCs/>
          <w:sz w:val="72"/>
          <w:szCs w:val="72"/>
          <w:lang w:eastAsia="zh-CN"/>
        </w:rPr>
      </w:pPr>
      <w:r>
        <w:rPr>
          <w:rFonts w:hint="eastAsia" w:ascii="楷体" w:hAnsi="楷体" w:eastAsia="楷体" w:cs="楷体"/>
          <w:b/>
          <w:bCs/>
          <w:sz w:val="72"/>
          <w:szCs w:val="72"/>
          <w:lang w:val="en-US" w:eastAsia="zh-CN"/>
        </w:rPr>
        <w:t>工</w:t>
      </w:r>
    </w:p>
    <w:p w14:paraId="21B35B40">
      <w:pPr>
        <w:jc w:val="center"/>
        <w:rPr>
          <w:rFonts w:ascii="楷体" w:hAnsi="楷体" w:eastAsia="楷体" w:cs="楷体"/>
          <w:b/>
          <w:bCs/>
          <w:sz w:val="72"/>
          <w:szCs w:val="72"/>
        </w:rPr>
      </w:pPr>
      <w:r>
        <w:rPr>
          <w:rFonts w:hint="eastAsia" w:ascii="楷体" w:hAnsi="楷体" w:eastAsia="楷体" w:cs="楷体"/>
          <w:b/>
          <w:bCs/>
          <w:sz w:val="72"/>
          <w:szCs w:val="72"/>
        </w:rPr>
        <w:t>合</w:t>
      </w:r>
    </w:p>
    <w:p w14:paraId="73E74087">
      <w:pPr>
        <w:jc w:val="center"/>
        <w:rPr>
          <w:rFonts w:ascii="楷体" w:hAnsi="楷体" w:eastAsia="楷体" w:cs="楷体"/>
          <w:b/>
          <w:bCs/>
          <w:sz w:val="72"/>
          <w:szCs w:val="72"/>
        </w:rPr>
      </w:pPr>
      <w:r>
        <w:rPr>
          <w:rFonts w:hint="eastAsia" w:ascii="楷体" w:hAnsi="楷体" w:eastAsia="楷体" w:cs="楷体"/>
          <w:b/>
          <w:bCs/>
          <w:sz w:val="72"/>
          <w:szCs w:val="72"/>
        </w:rPr>
        <w:t>同</w:t>
      </w:r>
    </w:p>
    <w:p w14:paraId="478D0E26">
      <w:pPr>
        <w:jc w:val="center"/>
        <w:rPr>
          <w:rFonts w:hint="eastAsia" w:ascii="楷体" w:hAnsi="楷体" w:eastAsia="楷体" w:cs="楷体"/>
          <w:b/>
          <w:bCs/>
          <w:sz w:val="72"/>
          <w:szCs w:val="72"/>
        </w:rPr>
      </w:pPr>
    </w:p>
    <w:p w14:paraId="369DD5C0">
      <w:pPr>
        <w:rPr>
          <w:rFonts w:ascii="楷体" w:hAnsi="楷体" w:eastAsia="楷体" w:cs="楷体"/>
          <w:b/>
          <w:bCs/>
          <w:sz w:val="72"/>
          <w:szCs w:val="72"/>
        </w:rPr>
      </w:pPr>
    </w:p>
    <w:p w14:paraId="51CE42A0">
      <w:pPr>
        <w:ind w:firstLine="723" w:firstLineChars="200"/>
        <w:jc w:val="center"/>
        <w:rPr>
          <w:rFonts w:hint="eastAsia" w:ascii="楷体" w:hAnsi="楷体" w:eastAsia="楷体" w:cs="楷体"/>
          <w:b/>
          <w:bCs/>
          <w:sz w:val="36"/>
          <w:szCs w:val="36"/>
          <w:lang w:val="en-US" w:eastAsia="zh-CN"/>
        </w:rPr>
      </w:pPr>
      <w:r>
        <w:rPr>
          <w:rFonts w:hint="eastAsia" w:ascii="楷体" w:hAnsi="楷体" w:eastAsia="楷体" w:cs="楷体"/>
          <w:b/>
          <w:bCs/>
          <w:sz w:val="36"/>
          <w:szCs w:val="36"/>
          <w:lang w:val="en-US" w:eastAsia="zh-CN"/>
        </w:rPr>
        <w:t xml:space="preserve">  </w:t>
      </w:r>
    </w:p>
    <w:p w14:paraId="54B9332B">
      <w:pPr>
        <w:jc w:val="both"/>
        <w:rPr>
          <w:rFonts w:hint="eastAsia" w:ascii="楷体" w:hAnsi="楷体" w:eastAsia="楷体" w:cs="楷体"/>
          <w:b/>
          <w:bCs/>
          <w:sz w:val="36"/>
          <w:szCs w:val="36"/>
          <w:lang w:eastAsia="zh-CN"/>
        </w:rPr>
      </w:pPr>
    </w:p>
    <w:p w14:paraId="31C0C178">
      <w:pPr>
        <w:jc w:val="center"/>
        <w:rPr>
          <w:b/>
          <w:bCs/>
          <w:sz w:val="52"/>
          <w:szCs w:val="52"/>
        </w:rPr>
      </w:pPr>
    </w:p>
    <w:p w14:paraId="672918A4">
      <w:pPr>
        <w:jc w:val="center"/>
        <w:rPr>
          <w:rFonts w:hint="eastAsia" w:ascii="宋体" w:hAnsi="宋体"/>
          <w:sz w:val="40"/>
          <w:szCs w:val="40"/>
          <w:lang w:val="en-US" w:eastAsia="zh-CN"/>
        </w:rPr>
      </w:pPr>
      <w:r>
        <w:rPr>
          <w:rFonts w:hint="eastAsia" w:ascii="楷体" w:hAnsi="楷体" w:eastAsia="楷体" w:cs="楷体"/>
          <w:b/>
          <w:bCs/>
          <w:sz w:val="36"/>
          <w:szCs w:val="36"/>
        </w:rPr>
        <w:t xml:space="preserve"> 年   月   日</w:t>
      </w:r>
    </w:p>
    <w:p w14:paraId="6E44F2CF">
      <w:pPr>
        <w:spacing w:line="360" w:lineRule="auto"/>
        <w:jc w:val="center"/>
        <w:rPr>
          <w:rFonts w:hint="eastAsia" w:ascii="宋体" w:hAnsi="宋体"/>
          <w:sz w:val="40"/>
          <w:szCs w:val="40"/>
          <w:lang w:val="en-US" w:eastAsia="zh-CN"/>
        </w:rPr>
      </w:pPr>
    </w:p>
    <w:p w14:paraId="2F157F89">
      <w:pPr>
        <w:spacing w:line="360" w:lineRule="auto"/>
        <w:jc w:val="center"/>
        <w:rPr>
          <w:rFonts w:hint="eastAsia" w:ascii="宋体" w:hAnsi="宋体"/>
          <w:sz w:val="40"/>
          <w:szCs w:val="40"/>
          <w:lang w:val="en-US" w:eastAsia="zh-CN"/>
        </w:rPr>
      </w:pPr>
      <w:r>
        <w:rPr>
          <w:rFonts w:hint="eastAsia" w:ascii="宋体" w:hAnsi="宋体"/>
          <w:sz w:val="40"/>
          <w:szCs w:val="40"/>
          <w:lang w:val="en-US" w:eastAsia="zh-CN"/>
        </w:rPr>
        <w:t>消防工程施工合同</w:t>
      </w:r>
    </w:p>
    <w:p w14:paraId="57AA01E3">
      <w:pPr>
        <w:spacing w:line="360" w:lineRule="auto"/>
        <w:jc w:val="center"/>
        <w:rPr>
          <w:rFonts w:hint="eastAsia" w:ascii="宋体" w:hAnsi="宋体"/>
          <w:sz w:val="40"/>
          <w:szCs w:val="40"/>
          <w:lang w:val="en-US" w:eastAsia="zh-CN"/>
        </w:rPr>
      </w:pPr>
    </w:p>
    <w:p w14:paraId="61D4C842">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sz w:val="28"/>
          <w:szCs w:val="28"/>
          <w:u w:val="single"/>
          <w:lang w:val="en-US" w:eastAsia="zh-CN"/>
        </w:rPr>
      </w:pPr>
      <w:r>
        <w:rPr>
          <w:rFonts w:hint="eastAsia" w:ascii="宋体" w:hAnsi="宋体"/>
          <w:sz w:val="28"/>
          <w:szCs w:val="28"/>
        </w:rPr>
        <w:t>甲方</w:t>
      </w:r>
      <w:r>
        <w:rPr>
          <w:rFonts w:hint="eastAsia" w:ascii="宋体" w:hAnsi="宋体"/>
          <w:sz w:val="28"/>
          <w:szCs w:val="28"/>
          <w:lang w:eastAsia="zh-CN"/>
        </w:rPr>
        <w:t>：</w:t>
      </w:r>
      <w:r>
        <w:rPr>
          <w:rFonts w:hint="eastAsia" w:ascii="宋体" w:hAnsi="宋体"/>
          <w:sz w:val="28"/>
          <w:szCs w:val="28"/>
          <w:u w:val="single"/>
          <w:lang w:val="en-US" w:eastAsia="zh-CN"/>
        </w:rPr>
        <w:t xml:space="preserve">   米脂县第三中学       </w:t>
      </w:r>
      <w:r>
        <w:rPr>
          <w:rFonts w:hint="eastAsia" w:ascii="宋体" w:hAnsi="宋体"/>
          <w:sz w:val="28"/>
          <w:szCs w:val="28"/>
          <w:u w:val="none"/>
          <w:lang w:val="en-US" w:eastAsia="zh-CN"/>
        </w:rPr>
        <w:t>（以下称甲方）</w:t>
      </w:r>
    </w:p>
    <w:p w14:paraId="76508F54">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b w:val="0"/>
          <w:bCs/>
          <w:sz w:val="28"/>
          <w:szCs w:val="28"/>
          <w:u w:val="none"/>
          <w:lang w:val="en-US" w:eastAsia="zh-CN"/>
        </w:rPr>
      </w:pPr>
      <w:r>
        <w:rPr>
          <w:rFonts w:hint="eastAsia" w:ascii="宋体" w:hAnsi="宋体"/>
          <w:sz w:val="28"/>
          <w:szCs w:val="28"/>
        </w:rPr>
        <w:t>乙方</w:t>
      </w:r>
      <w:r>
        <w:rPr>
          <w:rFonts w:hint="eastAsia" w:ascii="宋体" w:hAnsi="宋体"/>
          <w:sz w:val="28"/>
          <w:szCs w:val="28"/>
          <w:lang w:eastAsia="zh-CN"/>
        </w:rPr>
        <w:t>：</w:t>
      </w:r>
      <w:r>
        <w:rPr>
          <w:rFonts w:hint="eastAsia"/>
          <w:b w:val="0"/>
          <w:bCs/>
          <w:sz w:val="28"/>
          <w:szCs w:val="28"/>
          <w:u w:val="single"/>
          <w:lang w:val="en-US" w:eastAsia="zh-CN"/>
        </w:rPr>
        <w:t xml:space="preserve">                             </w:t>
      </w:r>
      <w:r>
        <w:rPr>
          <w:rFonts w:hint="eastAsia"/>
          <w:b w:val="0"/>
          <w:bCs/>
          <w:sz w:val="28"/>
          <w:szCs w:val="28"/>
          <w:u w:val="none"/>
          <w:lang w:val="en-US" w:eastAsia="zh-CN"/>
        </w:rPr>
        <w:t>（以下称乙方）</w:t>
      </w:r>
    </w:p>
    <w:p w14:paraId="3B63B8DC">
      <w:pPr>
        <w:keepNext w:val="0"/>
        <w:keepLines w:val="0"/>
        <w:pageBreakBefore w:val="0"/>
        <w:widowControl w:val="0"/>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b w:val="0"/>
          <w:i w:val="0"/>
          <w:caps w:val="0"/>
          <w:spacing w:val="0"/>
          <w:w w:val="100"/>
          <w:sz w:val="28"/>
          <w:szCs w:val="28"/>
        </w:rPr>
      </w:pPr>
      <w:r>
        <w:rPr>
          <w:rFonts w:hint="eastAsia" w:ascii="宋体" w:hAnsi="宋体"/>
          <w:b w:val="0"/>
          <w:i w:val="0"/>
          <w:caps w:val="0"/>
          <w:spacing w:val="0"/>
          <w:w w:val="100"/>
          <w:sz w:val="28"/>
          <w:szCs w:val="28"/>
        </w:rPr>
        <w:t>根据《中华人民共和国民法典》、《中华</w:t>
      </w:r>
      <w:r>
        <w:rPr>
          <w:rFonts w:hint="eastAsia" w:ascii="宋体" w:hAnsi="宋体"/>
          <w:b w:val="0"/>
          <w:i w:val="0"/>
          <w:caps w:val="0"/>
          <w:spacing w:val="0"/>
          <w:w w:val="100"/>
          <w:sz w:val="28"/>
          <w:szCs w:val="28"/>
          <w:lang w:eastAsia="zh-CN"/>
        </w:rPr>
        <w:t>人</w:t>
      </w:r>
      <w:r>
        <w:rPr>
          <w:rFonts w:hint="eastAsia" w:ascii="宋体" w:hAnsi="宋体"/>
          <w:b w:val="0"/>
          <w:i w:val="0"/>
          <w:caps w:val="0"/>
          <w:spacing w:val="0"/>
          <w:w w:val="100"/>
          <w:sz w:val="28"/>
          <w:szCs w:val="28"/>
        </w:rPr>
        <w:t>民共和国建筑法》、《建设工程质量管理条例》及其他相关法律、法规，经甲、乙双方友好协商</w:t>
      </w:r>
      <w:r>
        <w:rPr>
          <w:rFonts w:hint="eastAsia" w:ascii="宋体" w:hAnsi="宋体"/>
          <w:b w:val="0"/>
          <w:i w:val="0"/>
          <w:caps w:val="0"/>
          <w:spacing w:val="0"/>
          <w:w w:val="100"/>
          <w:sz w:val="28"/>
          <w:szCs w:val="28"/>
          <w:lang w:eastAsia="zh-CN"/>
        </w:rPr>
        <w:t>，</w:t>
      </w:r>
      <w:r>
        <w:rPr>
          <w:rFonts w:hint="eastAsia" w:ascii="宋体" w:hAnsi="宋体"/>
          <w:b w:val="0"/>
          <w:i w:val="0"/>
          <w:caps w:val="0"/>
          <w:spacing w:val="0"/>
          <w:w w:val="100"/>
          <w:sz w:val="28"/>
          <w:szCs w:val="28"/>
        </w:rPr>
        <w:t>在平等、互利的原则基础上，结合本工程具体情况，双方就本工程施工事宜协商一致，订立本合同。</w:t>
      </w:r>
    </w:p>
    <w:p w14:paraId="728AE23C">
      <w:pPr>
        <w:keepNext w:val="0"/>
        <w:keepLines w:val="0"/>
        <w:pageBreakBefore w:val="0"/>
        <w:widowControl w:val="0"/>
        <w:numPr>
          <w:ilvl w:val="0"/>
          <w:numId w:val="3"/>
        </w:numPr>
        <w:kinsoku/>
        <w:wordWrap/>
        <w:overflowPunct/>
        <w:topLinePunct w:val="0"/>
        <w:autoSpaceDE w:val="0"/>
        <w:autoSpaceDN w:val="0"/>
        <w:bidi w:val="0"/>
        <w:adjustRightInd w:val="0"/>
        <w:snapToGrid w:val="0"/>
        <w:spacing w:line="360" w:lineRule="auto"/>
        <w:ind w:firstLine="560" w:firstLineChars="200"/>
        <w:textAlignment w:val="auto"/>
        <w:rPr>
          <w:rFonts w:ascii="宋体" w:hAnsi="宋体"/>
          <w:sz w:val="28"/>
          <w:szCs w:val="28"/>
        </w:rPr>
      </w:pPr>
      <w:r>
        <w:rPr>
          <w:rFonts w:hint="eastAsia" w:ascii="宋体" w:hAnsi="宋体"/>
          <w:sz w:val="28"/>
          <w:szCs w:val="28"/>
        </w:rPr>
        <w:t xml:space="preserve">工程名称： </w:t>
      </w:r>
      <w:r>
        <w:rPr>
          <w:rFonts w:hint="eastAsia" w:ascii="宋体" w:hAnsi="宋体"/>
          <w:sz w:val="28"/>
          <w:szCs w:val="28"/>
          <w:u w:val="single"/>
        </w:rPr>
        <w:t xml:space="preserve">  米脂县第三中学消防改造工程   </w:t>
      </w:r>
    </w:p>
    <w:p w14:paraId="05C689ED">
      <w:pPr>
        <w:keepNext w:val="0"/>
        <w:keepLines w:val="0"/>
        <w:pageBreakBefore w:val="0"/>
        <w:widowControl w:val="0"/>
        <w:numPr>
          <w:ilvl w:val="0"/>
          <w:numId w:val="3"/>
        </w:numPr>
        <w:kinsoku/>
        <w:wordWrap/>
        <w:overflowPunct/>
        <w:topLinePunct w:val="0"/>
        <w:autoSpaceDE w:val="0"/>
        <w:autoSpaceDN w:val="0"/>
        <w:bidi w:val="0"/>
        <w:adjustRightInd w:val="0"/>
        <w:snapToGrid w:val="0"/>
        <w:spacing w:line="360" w:lineRule="auto"/>
        <w:ind w:firstLine="560" w:firstLineChars="200"/>
        <w:textAlignment w:val="auto"/>
        <w:rPr>
          <w:rFonts w:ascii="宋体" w:hAnsi="宋体"/>
          <w:sz w:val="28"/>
          <w:szCs w:val="28"/>
        </w:rPr>
      </w:pPr>
      <w:r>
        <w:rPr>
          <w:rFonts w:hint="eastAsia" w:ascii="宋体" w:hAnsi="宋体"/>
          <w:sz w:val="28"/>
          <w:szCs w:val="28"/>
        </w:rPr>
        <w:t xml:space="preserve">工程地点： </w:t>
      </w:r>
      <w:r>
        <w:rPr>
          <w:rFonts w:hint="eastAsia" w:ascii="宋体" w:hAnsi="宋体"/>
          <w:sz w:val="28"/>
          <w:szCs w:val="28"/>
          <w:u w:val="single"/>
        </w:rPr>
        <w:t xml:space="preserve"> 米脂县第三中学                  </w:t>
      </w:r>
    </w:p>
    <w:p w14:paraId="45C7403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560" w:firstLineChars="200"/>
        <w:textAlignment w:val="auto"/>
        <w:rPr>
          <w:rFonts w:hint="default" w:ascii="宋体" w:hAnsi="宋体"/>
          <w:sz w:val="28"/>
          <w:szCs w:val="28"/>
          <w:u w:val="single"/>
          <w:lang w:val="en-US" w:eastAsia="zh-CN"/>
        </w:rPr>
      </w:pPr>
      <w:r>
        <w:rPr>
          <w:rFonts w:hint="eastAsia" w:ascii="宋体" w:hAnsi="宋体"/>
          <w:sz w:val="28"/>
          <w:szCs w:val="28"/>
          <w:lang w:val="en-US" w:eastAsia="zh-CN"/>
        </w:rPr>
        <w:t>承包范围</w:t>
      </w:r>
      <w:r>
        <w:rPr>
          <w:rFonts w:hint="eastAsia" w:ascii="宋体" w:hAnsi="宋体"/>
          <w:sz w:val="28"/>
          <w:szCs w:val="28"/>
        </w:rPr>
        <w:t xml:space="preserve">： </w:t>
      </w:r>
      <w:r>
        <w:rPr>
          <w:rFonts w:hint="eastAsia" w:ascii="宋体" w:hAnsi="宋体"/>
          <w:sz w:val="28"/>
          <w:szCs w:val="28"/>
          <w:u w:val="single"/>
        </w:rPr>
        <w:t xml:space="preserve">  米脂县第三中学室内火灾报警、消防工程，室外消防改造及配套土建工程。</w:t>
      </w:r>
      <w:r>
        <w:rPr>
          <w:rFonts w:hint="eastAsia" w:ascii="宋体" w:hAnsi="宋体"/>
          <w:sz w:val="28"/>
          <w:szCs w:val="28"/>
          <w:u w:val="single"/>
          <w:lang w:val="en-US" w:eastAsia="zh-CN"/>
        </w:rPr>
        <w:t xml:space="preserve">         </w:t>
      </w:r>
    </w:p>
    <w:p w14:paraId="0E88B246">
      <w:pPr>
        <w:keepNext w:val="0"/>
        <w:keepLines w:val="0"/>
        <w:pageBreakBefore w:val="0"/>
        <w:widowControl w:val="0"/>
        <w:numPr>
          <w:ilvl w:val="0"/>
          <w:numId w:val="3"/>
        </w:numPr>
        <w:kinsoku/>
        <w:wordWrap/>
        <w:overflowPunct/>
        <w:topLinePunct w:val="0"/>
        <w:autoSpaceDE w:val="0"/>
        <w:autoSpaceDN w:val="0"/>
        <w:bidi w:val="0"/>
        <w:adjustRightInd w:val="0"/>
        <w:snapToGrid w:val="0"/>
        <w:spacing w:line="360" w:lineRule="auto"/>
        <w:ind w:left="0" w:leftChars="0"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 xml:space="preserve">承包方式：本工程采取本工程采用总承包方式。包含但不限于      </w:t>
      </w:r>
    </w:p>
    <w:p w14:paraId="0B6B6A9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包人工、包材料、包机械、包工期、包质量、包安全、包文明施工、包技术措施费、包施工人员工伤保险、包风险费等项目。</w:t>
      </w:r>
    </w:p>
    <w:p w14:paraId="06F829D2">
      <w:pPr>
        <w:keepNext w:val="0"/>
        <w:keepLines w:val="0"/>
        <w:pageBreakBefore w:val="0"/>
        <w:widowControl w:val="0"/>
        <w:numPr>
          <w:ilvl w:val="0"/>
          <w:numId w:val="3"/>
        </w:numPr>
        <w:kinsoku/>
        <w:wordWrap/>
        <w:overflowPunct/>
        <w:topLinePunct w:val="0"/>
        <w:autoSpaceDE w:val="0"/>
        <w:autoSpaceDN w:val="0"/>
        <w:bidi w:val="0"/>
        <w:adjustRightInd w:val="0"/>
        <w:snapToGrid w:val="0"/>
        <w:spacing w:line="360" w:lineRule="auto"/>
        <w:ind w:left="0" w:leftChars="0"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工程总价为人民币</w:t>
      </w:r>
      <w:r>
        <w:rPr>
          <w:rFonts w:hint="eastAsia" w:ascii="长城宋体" w:hAnsi="仿宋" w:eastAsia="长城宋体"/>
          <w:sz w:val="28"/>
          <w:szCs w:val="28"/>
          <w:u w:val="single"/>
          <w:lang w:val="en-US" w:eastAsia="zh-CN"/>
        </w:rPr>
        <w:t xml:space="preserve">             </w:t>
      </w:r>
      <w:r>
        <w:rPr>
          <w:rFonts w:hint="eastAsia" w:ascii="长城宋体" w:hAnsi="仿宋" w:eastAsia="长城宋体"/>
          <w:sz w:val="28"/>
          <w:szCs w:val="28"/>
          <w:u w:val="none"/>
        </w:rPr>
        <w:t>元整</w:t>
      </w:r>
      <w:r>
        <w:rPr>
          <w:rFonts w:hint="eastAsia" w:ascii="长城宋体" w:hAnsi="仿宋" w:eastAsia="长城宋体"/>
          <w:sz w:val="28"/>
          <w:szCs w:val="28"/>
          <w:u w:val="single"/>
        </w:rPr>
        <w:t>（￥</w:t>
      </w:r>
      <w:r>
        <w:rPr>
          <w:rFonts w:hint="eastAsia" w:ascii="长城宋体" w:hAnsi="仿宋" w:eastAsia="长城宋体"/>
          <w:sz w:val="28"/>
          <w:szCs w:val="28"/>
          <w:u w:val="single"/>
          <w:lang w:val="en-US" w:eastAsia="zh-CN"/>
        </w:rPr>
        <w:t xml:space="preserve">         </w:t>
      </w:r>
      <w:r>
        <w:rPr>
          <w:rFonts w:hint="eastAsia" w:ascii="长城宋体" w:hAnsi="仿宋" w:eastAsia="长城宋体"/>
          <w:sz w:val="28"/>
          <w:szCs w:val="28"/>
          <w:u w:val="single"/>
        </w:rPr>
        <w:t>元）</w:t>
      </w:r>
      <w:r>
        <w:rPr>
          <w:rFonts w:hint="eastAsia" w:ascii="宋体" w:hAnsi="宋体"/>
          <w:sz w:val="28"/>
          <w:szCs w:val="28"/>
          <w:u w:val="none"/>
          <w:lang w:val="en-US" w:eastAsia="zh-CN"/>
        </w:rPr>
        <w:t>含税</w:t>
      </w:r>
    </w:p>
    <w:p w14:paraId="12729C81">
      <w:pPr>
        <w:keepNext w:val="0"/>
        <w:keepLines w:val="0"/>
        <w:pageBreakBefore w:val="0"/>
        <w:widowControl w:val="0"/>
        <w:numPr>
          <w:ilvl w:val="0"/>
          <w:numId w:val="3"/>
        </w:numPr>
        <w:kinsoku/>
        <w:wordWrap/>
        <w:overflowPunct/>
        <w:topLinePunct w:val="0"/>
        <w:autoSpaceDE w:val="0"/>
        <w:autoSpaceDN w:val="0"/>
        <w:bidi w:val="0"/>
        <w:adjustRightInd w:val="0"/>
        <w:snapToGrid w:val="0"/>
        <w:spacing w:line="360" w:lineRule="auto"/>
        <w:ind w:left="0" w:leftChars="0"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工程工期</w:t>
      </w:r>
    </w:p>
    <w:p w14:paraId="6364CBB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 xml:space="preserve">   </w:t>
      </w:r>
      <w:r>
        <w:rPr>
          <w:rFonts w:hint="eastAsia" w:ascii="宋体" w:hAnsi="宋体"/>
          <w:sz w:val="28"/>
          <w:szCs w:val="28"/>
          <w:u w:val="single"/>
          <w:lang w:val="en-US" w:eastAsia="zh-CN"/>
        </w:rPr>
        <w:t xml:space="preserve">  30  </w:t>
      </w:r>
      <w:r>
        <w:rPr>
          <w:rFonts w:hint="eastAsia" w:ascii="宋体" w:hAnsi="宋体"/>
          <w:sz w:val="28"/>
          <w:szCs w:val="28"/>
          <w:u w:val="none"/>
          <w:lang w:val="en-US" w:eastAsia="zh-CN"/>
        </w:rPr>
        <w:t>日历天，自</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年</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月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日 至</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年</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月</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日止。</w:t>
      </w:r>
    </w:p>
    <w:p w14:paraId="38FE7417">
      <w:pPr>
        <w:keepNext w:val="0"/>
        <w:keepLines w:val="0"/>
        <w:pageBreakBefore w:val="0"/>
        <w:widowControl w:val="0"/>
        <w:numPr>
          <w:ilvl w:val="0"/>
          <w:numId w:val="3"/>
        </w:numPr>
        <w:kinsoku/>
        <w:wordWrap/>
        <w:overflowPunct/>
        <w:topLinePunct w:val="0"/>
        <w:autoSpaceDE w:val="0"/>
        <w:autoSpaceDN w:val="0"/>
        <w:bidi w:val="0"/>
        <w:adjustRightInd w:val="0"/>
        <w:snapToGrid w:val="0"/>
        <w:spacing w:line="360" w:lineRule="auto"/>
        <w:ind w:left="0" w:leftChars="0"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工程质量与验收：</w:t>
      </w:r>
    </w:p>
    <w:p w14:paraId="3BA20B7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 xml:space="preserve">    1）工程质量应达到合同书约定的质量标准。质量标准的评定以国家或行业的质量检验评定标准为依据。因乙方原因工程质量达不到约定的质量标准，未能通过消防相关部门的验收，则乙方承担违约责任。</w:t>
      </w:r>
    </w:p>
    <w:p w14:paraId="39E17E0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2）双方对工程质量有争议，由双方同意的工程质量检测机构鉴定，所需费用及因此造成的损失，由责任方承担。如双方均有责任，由双方根据其责任大小分别承担相应的费用和损失。</w:t>
      </w:r>
    </w:p>
    <w:p w14:paraId="0F389B4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100"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3）乙方应认真按照标准、规范要求以及甲方代表依据合同发出的指令施工，随时接受甲方代表及其委派人员检查检验，并为检查检验提供便利条件。</w:t>
      </w:r>
    </w:p>
    <w:p w14:paraId="48428CC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100"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4）甲方代表的检查检验不得影响施工的正常进行。如乙方施工不符合施工规范和标准，则有权要求乙方进行整改，乙方拒绝整改或怠于整改，则为乙方违约，甲方有权解除合同。如甲方的检查检验无正当理由对乙方施工造成影响的，由增加的费用由甲方承担，并相应顺延工期。</w:t>
      </w:r>
    </w:p>
    <w:p w14:paraId="396CEF6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七、付款方式：</w:t>
      </w:r>
    </w:p>
    <w:p w14:paraId="0ECAD28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100"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按照工程建设进度结合财政拨付资金到位情况支付工程款，双方签订合同后，预付工程款 40%，工程完工付总工程款 40%。竣工验收合格、决算审计后，支付其余的工程款20%。每次付款均需提供正式发票。</w:t>
      </w:r>
    </w:p>
    <w:p w14:paraId="4A4141A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八、施工组织设计和工期：</w:t>
      </w:r>
    </w:p>
    <w:p w14:paraId="55B271C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100"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1）开工及延期开工</w:t>
      </w:r>
    </w:p>
    <w:p w14:paraId="02F4CB5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319" w:leftChars="133"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乙方应按合同约定的开工时间开始施工。乙方不能按时开工，应当以书面形式向甲方提出延后开工的理由和要求，如乙方无正当理由，则乙方违约。甲方代表应当在接到延期开工申请后的48小时内以书面形式答复乙方。因甲方原因不能按按合同约定的开工时间开始施工。甲方应并以书面形式通知乙方，推迟开工时间，工期顺延。</w:t>
      </w:r>
    </w:p>
    <w:p w14:paraId="6DD7F15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2）由于下列原因造成的工期延误，工期相应顺延；</w:t>
      </w:r>
    </w:p>
    <w:p w14:paraId="0A180AA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a）甲方不能按合同规定提供图纸及开工条件；</w:t>
      </w:r>
    </w:p>
    <w:p w14:paraId="75D23D7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b）工程量改变和设计变更；</w:t>
      </w:r>
    </w:p>
    <w:p w14:paraId="4F6B8D8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c）因停水、停电、停气等原因造成的停工；</w:t>
      </w:r>
    </w:p>
    <w:p w14:paraId="3149E93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d）不可抗拒力；</w:t>
      </w:r>
    </w:p>
    <w:p w14:paraId="58C8BC9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e）因甲方无法达成约定义务造成的工期延迟；</w:t>
      </w:r>
    </w:p>
    <w:p w14:paraId="1A10C19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f）双方约定工期顺延的其他情况；</w:t>
      </w:r>
    </w:p>
    <w:p w14:paraId="10AE9B9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840" w:firstLineChars="3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3）工程竣工</w:t>
      </w:r>
    </w:p>
    <w:p w14:paraId="0DB7592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319" w:leftChars="133"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a）乙方按合同条款约定的竣工日期或顺延的工期竣工，如遇特殊情况双方另议。</w:t>
      </w:r>
    </w:p>
    <w:p w14:paraId="6AADA06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100"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b）施工中甲方如需提前竣工，双方协商一致后应签订提前竣工合同，作为合同文件组成部分。提前竣工合同应包括乙方为保证工程质量和安全采取的措施，甲方为提前竣工提供的条件以及提前竣工追加的合同价款等内容。</w:t>
      </w:r>
    </w:p>
    <w:p w14:paraId="1BE67911">
      <w:pPr>
        <w:keepNext w:val="0"/>
        <w:keepLines w:val="0"/>
        <w:pageBreakBefore w:val="0"/>
        <w:widowControl w:val="0"/>
        <w:numPr>
          <w:ilvl w:val="0"/>
          <w:numId w:val="4"/>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甲乙双方义务：</w:t>
      </w:r>
    </w:p>
    <w:p w14:paraId="0EE0217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甲方工作：</w:t>
      </w:r>
    </w:p>
    <w:p w14:paraId="37C1BFD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1、对乙方施工现场的设备、配线、管路等予以保护。</w:t>
      </w:r>
    </w:p>
    <w:p w14:paraId="7733E26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2、提供具备施工条件的施工场地。</w:t>
      </w:r>
    </w:p>
    <w:p w14:paraId="5AF4E2C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3、提供施工所需水、电、电讯线路并接至施工场地。</w:t>
      </w:r>
    </w:p>
    <w:p w14:paraId="1150918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乙方工作：</w:t>
      </w:r>
    </w:p>
    <w:p w14:paraId="66A4999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1、必须按消防《建筑设计防火规范》等有关规定进行施工。</w:t>
      </w:r>
    </w:p>
    <w:p w14:paraId="2098C1E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2、乙方应按合同规定的时间完成和提供服务。</w:t>
      </w:r>
    </w:p>
    <w:p w14:paraId="3E47DBD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3、如果发生工伤事故，由乙方承担赔偿责任。</w:t>
      </w:r>
    </w:p>
    <w:p w14:paraId="07D65AA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4、乙方不得未经甲方同意将合同义务转包给他人施工。</w:t>
      </w:r>
    </w:p>
    <w:p w14:paraId="340A6CA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十、竣工验收与竣工结算：</w:t>
      </w:r>
    </w:p>
    <w:p w14:paraId="131ACD3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1）工程竣工验收标准为国家和行业现行各项验收标准及甲乙双方</w:t>
      </w:r>
    </w:p>
    <w:p w14:paraId="4BAF9E5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的有关约定执行。</w:t>
      </w:r>
    </w:p>
    <w:p w14:paraId="4B7F20E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2）甲方应按约定的支付方式和时间支付工程款（进度款），由于甲方未能按时支付工程款（进度款），每逾期一天，按照未付款的1%向乙方支付违约金，如影响工程进度的顺延相应工期。</w:t>
      </w:r>
    </w:p>
    <w:p w14:paraId="2D1676F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十一、索赔和争议：</w:t>
      </w:r>
    </w:p>
    <w:p w14:paraId="10975D6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1、违约的处理：</w:t>
      </w:r>
    </w:p>
    <w:p w14:paraId="010F995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1）乙方施工和使用的材料、安装的设施等质量达不到设计和规范的要求，或发生其它违约行为，需要返工的，乙方应无条件返工，直到达标为止，造成甲方损失的，由乙方承担。并由乙方按合同总价的30%向甲方支付违约金，甲方有权拒绝支付剩余合同款项并解除本合同。</w:t>
      </w:r>
    </w:p>
    <w:p w14:paraId="2A86D9D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（2）甲方应按约定的支付方式和时间支付工程款（进度款），由于甲方未能按时支付工程款（进度款），每逾期一天，按照未付款的1%向乙方支付违约金，如影响工程进度的顺延相应工期；</w:t>
      </w:r>
    </w:p>
    <w:p w14:paraId="65C3B87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2、索赔</w:t>
      </w:r>
    </w:p>
    <w:p w14:paraId="2A9909A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除甲乙双方协商一致将合同终止之外，如因一方违约致使本合同无法履行，守约方有权要求违约方承担上述违约责任后仍应继续履行合同，亦有权解除本合同。</w:t>
      </w:r>
    </w:p>
    <w:p w14:paraId="6921558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3、争议解决</w:t>
      </w:r>
    </w:p>
    <w:p w14:paraId="7B2A2C7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本合同在履行过程中发生的争议，由双方当事人协商解决，协商不成的，依法向</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人民法院起诉。</w:t>
      </w:r>
    </w:p>
    <w:p w14:paraId="6A16DB0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十二、合同解除：</w:t>
      </w:r>
    </w:p>
    <w:p w14:paraId="1523622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1）甲，乙双方协商一致，可以解除合同。</w:t>
      </w:r>
    </w:p>
    <w:p w14:paraId="512C27F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2）有下列情况之一的，甲、乙双方可以解除合同；</w:t>
      </w:r>
    </w:p>
    <w:p w14:paraId="0323B13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1、因不可抗力致使合同无法履行；</w:t>
      </w:r>
    </w:p>
    <w:p w14:paraId="7CF57A0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2、因一方违约致使合同无法履行。</w:t>
      </w:r>
    </w:p>
    <w:p w14:paraId="130895F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3）合同解除后，乙方应妥善做好已完工程和已购材料、设备的保护和转移工作，按甲方要求将自有机械设备和人员撤出施工场地，甲方应为乙方撤出提供必要条件，并按合同约定支付应支付的工程价款，已经定货的材料、设备由订货方负责退货或解除订货合同，不能退还的货款和因退货，解除订货合同发生的费用，由责任方承担。除此之外，有过错的一方赔偿因合同解除给对方造成的一切损失。</w:t>
      </w:r>
    </w:p>
    <w:p w14:paraId="536AB81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4）合同解除后，不影响双方在合同中约定的结算和清理条款的效</w:t>
      </w:r>
    </w:p>
    <w:p w14:paraId="0AAE288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力。</w:t>
      </w:r>
    </w:p>
    <w:p w14:paraId="7B49A2F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280" w:firstLineChars="100"/>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十四、合同份数：</w:t>
      </w:r>
    </w:p>
    <w:p w14:paraId="169FAF7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560" w:firstLineChars="200"/>
        <w:textAlignment w:val="auto"/>
        <w:rPr>
          <w:rFonts w:hint="default" w:ascii="宋体" w:hAnsi="宋体"/>
          <w:sz w:val="28"/>
          <w:szCs w:val="28"/>
          <w:u w:val="none"/>
          <w:lang w:val="en-US" w:eastAsia="zh-CN"/>
        </w:rPr>
      </w:pPr>
      <w:r>
        <w:rPr>
          <w:rFonts w:hint="eastAsia" w:ascii="宋体" w:hAnsi="宋体"/>
          <w:sz w:val="28"/>
          <w:szCs w:val="28"/>
          <w:u w:val="none"/>
          <w:lang w:val="en-US" w:eastAsia="zh-CN"/>
        </w:rPr>
        <w:t>合同效力及份数：本合同经双方签字盖章后生效。本合同一式二份，各执一份，具有同等效力。</w:t>
      </w:r>
    </w:p>
    <w:tbl>
      <w:tblPr>
        <w:tblStyle w:val="25"/>
        <w:tblpPr w:leftFromText="180" w:rightFromText="180" w:vertAnchor="text" w:horzAnchor="page" w:tblpX="1825" w:tblpY="550"/>
        <w:tblOverlap w:val="never"/>
        <w:tblW w:w="8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0"/>
        <w:gridCol w:w="4390"/>
      </w:tblGrid>
      <w:tr w14:paraId="776B4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7" w:hRule="atLeast"/>
          <w:jc w:val="center"/>
        </w:trPr>
        <w:tc>
          <w:tcPr>
            <w:tcW w:w="4390" w:type="dxa"/>
          </w:tcPr>
          <w:p w14:paraId="67B9D758">
            <w:pPr>
              <w:rPr>
                <w:sz w:val="24"/>
                <w:szCs w:val="24"/>
              </w:rPr>
            </w:pPr>
            <w:r>
              <w:rPr>
                <w:rFonts w:hint="eastAsia"/>
                <w:sz w:val="24"/>
                <w:szCs w:val="24"/>
              </w:rPr>
              <w:t>甲方：</w:t>
            </w:r>
          </w:p>
          <w:p w14:paraId="03260C37">
            <w:pPr>
              <w:rPr>
                <w:sz w:val="24"/>
                <w:szCs w:val="24"/>
              </w:rPr>
            </w:pPr>
          </w:p>
          <w:p w14:paraId="740006C3">
            <w:pPr>
              <w:rPr>
                <w:sz w:val="24"/>
                <w:szCs w:val="24"/>
              </w:rPr>
            </w:pPr>
            <w:r>
              <w:rPr>
                <w:rFonts w:hint="eastAsia"/>
                <w:sz w:val="24"/>
                <w:szCs w:val="24"/>
              </w:rPr>
              <w:t>税号：</w:t>
            </w:r>
          </w:p>
          <w:p w14:paraId="7543AEE0">
            <w:pPr>
              <w:rPr>
                <w:sz w:val="24"/>
                <w:szCs w:val="24"/>
              </w:rPr>
            </w:pPr>
            <w:r>
              <w:rPr>
                <w:rFonts w:hint="eastAsia"/>
                <w:sz w:val="24"/>
                <w:szCs w:val="24"/>
              </w:rPr>
              <w:t>单位地址：</w:t>
            </w:r>
          </w:p>
          <w:p w14:paraId="7B9AF94A">
            <w:pPr>
              <w:rPr>
                <w:rFonts w:hint="eastAsia"/>
                <w:sz w:val="24"/>
                <w:szCs w:val="24"/>
              </w:rPr>
            </w:pPr>
          </w:p>
          <w:p w14:paraId="09626875">
            <w:pPr>
              <w:rPr>
                <w:rFonts w:hint="eastAsia"/>
                <w:sz w:val="24"/>
                <w:szCs w:val="24"/>
              </w:rPr>
            </w:pPr>
          </w:p>
          <w:p w14:paraId="064E4BFA">
            <w:pPr>
              <w:rPr>
                <w:sz w:val="24"/>
                <w:szCs w:val="24"/>
              </w:rPr>
            </w:pPr>
            <w:r>
              <w:rPr>
                <w:rFonts w:hint="eastAsia"/>
                <w:sz w:val="24"/>
                <w:szCs w:val="24"/>
              </w:rPr>
              <w:t xml:space="preserve">电话： </w:t>
            </w:r>
          </w:p>
          <w:p w14:paraId="19FB74F7">
            <w:pPr>
              <w:rPr>
                <w:sz w:val="24"/>
                <w:szCs w:val="24"/>
              </w:rPr>
            </w:pPr>
          </w:p>
          <w:p w14:paraId="04D052F1">
            <w:pPr>
              <w:rPr>
                <w:sz w:val="24"/>
                <w:szCs w:val="24"/>
              </w:rPr>
            </w:pPr>
            <w:r>
              <w:rPr>
                <w:rFonts w:hint="eastAsia"/>
                <w:sz w:val="24"/>
                <w:szCs w:val="24"/>
              </w:rPr>
              <w:t>开户银行：</w:t>
            </w:r>
          </w:p>
          <w:p w14:paraId="387C092F">
            <w:pPr>
              <w:rPr>
                <w:rFonts w:hint="eastAsia"/>
                <w:sz w:val="24"/>
                <w:szCs w:val="24"/>
              </w:rPr>
            </w:pPr>
          </w:p>
          <w:p w14:paraId="2259DB0B">
            <w:pPr>
              <w:rPr>
                <w:sz w:val="24"/>
                <w:szCs w:val="24"/>
              </w:rPr>
            </w:pPr>
            <w:r>
              <w:rPr>
                <w:rFonts w:hint="eastAsia"/>
                <w:sz w:val="24"/>
                <w:szCs w:val="24"/>
              </w:rPr>
              <w:t xml:space="preserve">账号： </w:t>
            </w:r>
          </w:p>
          <w:p w14:paraId="66B5971D">
            <w:pPr>
              <w:rPr>
                <w:rFonts w:hint="eastAsia"/>
                <w:sz w:val="24"/>
                <w:szCs w:val="24"/>
              </w:rPr>
            </w:pPr>
          </w:p>
          <w:p w14:paraId="6C493679">
            <w:pPr>
              <w:rPr>
                <w:sz w:val="24"/>
                <w:szCs w:val="24"/>
              </w:rPr>
            </w:pPr>
            <w:r>
              <w:rPr>
                <w:rFonts w:hint="eastAsia"/>
                <w:sz w:val="24"/>
                <w:szCs w:val="24"/>
              </w:rPr>
              <w:t>法人或授权代表：</w:t>
            </w:r>
          </w:p>
          <w:p w14:paraId="7C093930">
            <w:pPr>
              <w:rPr>
                <w:rFonts w:hint="eastAsia"/>
                <w:sz w:val="24"/>
                <w:szCs w:val="24"/>
              </w:rPr>
            </w:pPr>
          </w:p>
          <w:p w14:paraId="31F4744E">
            <w:pPr>
              <w:rPr>
                <w:sz w:val="24"/>
                <w:szCs w:val="24"/>
              </w:rPr>
            </w:pPr>
            <w:r>
              <w:rPr>
                <w:rFonts w:hint="eastAsia"/>
                <w:sz w:val="24"/>
                <w:szCs w:val="24"/>
              </w:rPr>
              <w:t>签字日期：</w:t>
            </w:r>
          </w:p>
        </w:tc>
        <w:tc>
          <w:tcPr>
            <w:tcW w:w="4390" w:type="dxa"/>
          </w:tcPr>
          <w:p w14:paraId="28668B8F">
            <w:pPr>
              <w:rPr>
                <w:sz w:val="24"/>
                <w:szCs w:val="24"/>
              </w:rPr>
            </w:pPr>
            <w:r>
              <w:rPr>
                <w:rFonts w:hint="eastAsia"/>
                <w:sz w:val="24"/>
                <w:szCs w:val="24"/>
                <w:lang w:val="en-US" w:eastAsia="zh-CN"/>
              </w:rPr>
              <w:t>乙方</w:t>
            </w:r>
            <w:r>
              <w:rPr>
                <w:rFonts w:hint="eastAsia"/>
                <w:sz w:val="24"/>
                <w:szCs w:val="24"/>
              </w:rPr>
              <w:t>：</w:t>
            </w:r>
          </w:p>
          <w:p w14:paraId="6CEF045C">
            <w:pPr>
              <w:rPr>
                <w:sz w:val="24"/>
                <w:szCs w:val="24"/>
              </w:rPr>
            </w:pPr>
          </w:p>
          <w:p w14:paraId="7500F5C6">
            <w:pPr>
              <w:rPr>
                <w:sz w:val="24"/>
                <w:szCs w:val="24"/>
              </w:rPr>
            </w:pPr>
            <w:r>
              <w:rPr>
                <w:rFonts w:hint="eastAsia"/>
                <w:sz w:val="24"/>
                <w:szCs w:val="24"/>
              </w:rPr>
              <w:t>税号：</w:t>
            </w:r>
          </w:p>
          <w:p w14:paraId="00274F5D">
            <w:pPr>
              <w:rPr>
                <w:sz w:val="24"/>
                <w:szCs w:val="24"/>
              </w:rPr>
            </w:pPr>
            <w:r>
              <w:rPr>
                <w:rFonts w:hint="eastAsia"/>
                <w:sz w:val="24"/>
                <w:szCs w:val="24"/>
              </w:rPr>
              <w:t>单位地址：</w:t>
            </w:r>
          </w:p>
          <w:p w14:paraId="32191B60">
            <w:pPr>
              <w:rPr>
                <w:rFonts w:hint="eastAsia"/>
                <w:sz w:val="24"/>
                <w:szCs w:val="24"/>
              </w:rPr>
            </w:pPr>
          </w:p>
          <w:p w14:paraId="1DF0C6AE">
            <w:pPr>
              <w:rPr>
                <w:rFonts w:hint="eastAsia"/>
                <w:sz w:val="24"/>
                <w:szCs w:val="24"/>
              </w:rPr>
            </w:pPr>
          </w:p>
          <w:p w14:paraId="01BEE74F">
            <w:pPr>
              <w:rPr>
                <w:sz w:val="24"/>
                <w:szCs w:val="24"/>
              </w:rPr>
            </w:pPr>
            <w:r>
              <w:rPr>
                <w:rFonts w:hint="eastAsia"/>
                <w:sz w:val="24"/>
                <w:szCs w:val="24"/>
              </w:rPr>
              <w:t xml:space="preserve">电话： </w:t>
            </w:r>
          </w:p>
          <w:p w14:paraId="78B9F4B3">
            <w:pPr>
              <w:rPr>
                <w:sz w:val="24"/>
                <w:szCs w:val="24"/>
              </w:rPr>
            </w:pPr>
          </w:p>
          <w:p w14:paraId="2C3E67B9">
            <w:pPr>
              <w:rPr>
                <w:sz w:val="24"/>
                <w:szCs w:val="24"/>
              </w:rPr>
            </w:pPr>
            <w:r>
              <w:rPr>
                <w:rFonts w:hint="eastAsia"/>
                <w:sz w:val="24"/>
                <w:szCs w:val="24"/>
              </w:rPr>
              <w:t>开户银行：</w:t>
            </w:r>
          </w:p>
          <w:p w14:paraId="48C2900F">
            <w:pPr>
              <w:rPr>
                <w:rFonts w:hint="eastAsia"/>
                <w:sz w:val="24"/>
                <w:szCs w:val="24"/>
              </w:rPr>
            </w:pPr>
          </w:p>
          <w:p w14:paraId="7F076534">
            <w:pPr>
              <w:rPr>
                <w:sz w:val="24"/>
                <w:szCs w:val="24"/>
              </w:rPr>
            </w:pPr>
            <w:r>
              <w:rPr>
                <w:rFonts w:hint="eastAsia"/>
                <w:sz w:val="24"/>
                <w:szCs w:val="24"/>
              </w:rPr>
              <w:t xml:space="preserve">账号： </w:t>
            </w:r>
          </w:p>
          <w:p w14:paraId="56680127">
            <w:pPr>
              <w:rPr>
                <w:rFonts w:hint="eastAsia"/>
                <w:sz w:val="24"/>
                <w:szCs w:val="24"/>
              </w:rPr>
            </w:pPr>
          </w:p>
          <w:p w14:paraId="47DEF0E8">
            <w:pPr>
              <w:rPr>
                <w:sz w:val="24"/>
                <w:szCs w:val="24"/>
              </w:rPr>
            </w:pPr>
            <w:r>
              <w:rPr>
                <w:rFonts w:hint="eastAsia"/>
                <w:sz w:val="24"/>
                <w:szCs w:val="24"/>
              </w:rPr>
              <w:t>法人或授权代表：</w:t>
            </w:r>
          </w:p>
          <w:p w14:paraId="68F346F2">
            <w:pPr>
              <w:rPr>
                <w:rFonts w:hint="eastAsia"/>
                <w:sz w:val="24"/>
                <w:szCs w:val="24"/>
              </w:rPr>
            </w:pPr>
          </w:p>
          <w:p w14:paraId="0F8C88D0">
            <w:pPr>
              <w:rPr>
                <w:sz w:val="24"/>
                <w:szCs w:val="24"/>
              </w:rPr>
            </w:pPr>
            <w:r>
              <w:rPr>
                <w:rFonts w:hint="eastAsia"/>
                <w:sz w:val="24"/>
                <w:szCs w:val="24"/>
              </w:rPr>
              <w:t>签字日期：</w:t>
            </w:r>
          </w:p>
        </w:tc>
      </w:tr>
    </w:tbl>
    <w:p w14:paraId="64465F50">
      <w:pPr>
        <w:rPr>
          <w:rFonts w:hint="eastAsia" w:ascii="宋体" w:hAnsi="宋体"/>
          <w:sz w:val="28"/>
          <w:szCs w:val="28"/>
          <w:u w:val="none"/>
          <w:lang w:val="en-US" w:eastAsia="zh-CN"/>
        </w:rPr>
      </w:pPr>
      <w:r>
        <w:rPr>
          <w:rFonts w:hint="eastAsia" w:ascii="宋体" w:hAnsi="宋体"/>
          <w:sz w:val="28"/>
          <w:szCs w:val="28"/>
          <w:u w:val="none"/>
          <w:lang w:val="en-US" w:eastAsia="zh-CN"/>
        </w:rPr>
        <w:br w:type="page"/>
      </w:r>
    </w:p>
    <w:p w14:paraId="5A053151">
      <w:pPr>
        <w:pStyle w:val="2"/>
        <w:numPr>
          <w:ilvl w:val="0"/>
          <w:numId w:val="5"/>
        </w:numPr>
        <w:bidi w:val="0"/>
        <w:rPr>
          <w:rFonts w:hint="eastAsia"/>
          <w:lang w:val="en-US" w:eastAsia="zh-CN"/>
        </w:rPr>
      </w:pPr>
      <w:bookmarkStart w:id="72" w:name="_Toc12219"/>
      <w:bookmarkStart w:id="73" w:name="_Toc3248"/>
      <w:r>
        <w:rPr>
          <w:rFonts w:hint="eastAsia"/>
          <w:lang w:val="en-US" w:eastAsia="zh-CN"/>
        </w:rPr>
        <w:t>工程量清单</w:t>
      </w:r>
      <w:bookmarkEnd w:id="72"/>
      <w:bookmarkEnd w:id="73"/>
    </w:p>
    <w:p w14:paraId="187A227F">
      <w:pPr>
        <w:rPr>
          <w:rFonts w:hint="eastAsia"/>
          <w:lang w:val="en-US" w:eastAsia="zh-CN"/>
        </w:rPr>
      </w:pPr>
    </w:p>
    <w:p w14:paraId="6014584A">
      <w:pPr>
        <w:numPr>
          <w:ilvl w:val="0"/>
          <w:numId w:val="0"/>
        </w:numPr>
        <w:rPr>
          <w:rFonts w:hint="eastAsia"/>
          <w:lang w:val="en-US" w:eastAsia="zh-CN"/>
        </w:rPr>
      </w:pPr>
    </w:p>
    <w:p w14:paraId="73A64B0F">
      <w:pPr>
        <w:numPr>
          <w:ilvl w:val="0"/>
          <w:numId w:val="6"/>
        </w:numPr>
        <w:bidi w:val="0"/>
      </w:pPr>
      <w:r>
        <w:t>工程量清单说明</w:t>
      </w:r>
    </w:p>
    <w:p w14:paraId="46DBBD9F">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left="120" w:leftChars="0" w:firstLine="840" w:firstLineChars="0"/>
        <w:textAlignment w:val="auto"/>
        <w:rPr>
          <w:rFonts w:ascii="宋体" w:hAnsi="宋体" w:cs="宋体"/>
          <w:sz w:val="24"/>
          <w:szCs w:val="24"/>
        </w:rPr>
      </w:pPr>
      <w:r>
        <w:rPr>
          <w:rFonts w:ascii="宋体" w:hAnsi="宋体" w:eastAsia="宋体" w:cs="宋体"/>
          <w:kern w:val="2"/>
          <w:sz w:val="24"/>
          <w:szCs w:val="24"/>
          <w:lang w:val="en-US" w:eastAsia="zh-CN" w:bidi="ar-SA"/>
        </w:rPr>
        <w:t>1.</w:t>
      </w:r>
      <w:r>
        <w:rPr>
          <w:rFonts w:ascii="宋体" w:hAnsi="宋体" w:cs="宋体"/>
          <w:sz w:val="24"/>
          <w:szCs w:val="24"/>
        </w:rPr>
        <w:t>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3984AB9B">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left="120" w:leftChars="0" w:firstLine="840" w:firstLineChars="0"/>
        <w:textAlignment w:val="auto"/>
        <w:rPr>
          <w:rFonts w:hint="eastAsia" w:ascii="宋体" w:hAnsi="宋体" w:cs="宋体"/>
          <w:sz w:val="24"/>
          <w:szCs w:val="24"/>
        </w:rPr>
      </w:pPr>
      <w:r>
        <w:rPr>
          <w:rFonts w:hint="eastAsia" w:ascii="宋体" w:hAnsi="宋体" w:eastAsia="宋体" w:cs="宋体"/>
          <w:kern w:val="2"/>
          <w:sz w:val="24"/>
          <w:szCs w:val="24"/>
          <w:lang w:val="en-US" w:eastAsia="zh-CN" w:bidi="ar-SA"/>
        </w:rPr>
        <w:t>2.</w:t>
      </w:r>
      <w:r>
        <w:rPr>
          <w:rFonts w:ascii="宋体" w:hAnsi="宋体" w:cs="宋体"/>
          <w:sz w:val="24"/>
          <w:szCs w:val="24"/>
        </w:rPr>
        <w:t>本工程量清单应与招标文件中的投标人须知、通用合同条款、专用合同条款、技术规范及图纸等一起阅读和理解。</w:t>
      </w:r>
    </w:p>
    <w:p w14:paraId="16DE935E">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left="120" w:leftChars="0" w:firstLine="840" w:firstLineChars="0"/>
        <w:textAlignment w:val="auto"/>
        <w:rPr>
          <w:rFonts w:hint="eastAsia" w:ascii="宋体" w:hAnsi="宋体" w:cs="宋体"/>
          <w:sz w:val="24"/>
          <w:szCs w:val="24"/>
        </w:rPr>
      </w:pPr>
      <w:r>
        <w:rPr>
          <w:rFonts w:hint="eastAsia" w:ascii="宋体" w:hAnsi="宋体" w:eastAsia="宋体" w:cs="宋体"/>
          <w:kern w:val="2"/>
          <w:sz w:val="24"/>
          <w:szCs w:val="24"/>
          <w:lang w:val="en-US" w:eastAsia="zh-CN" w:bidi="ar-SA"/>
        </w:rPr>
        <w:t>3.</w:t>
      </w:r>
      <w:r>
        <w:rPr>
          <w:rFonts w:ascii="宋体" w:hAnsi="宋体" w:cs="宋体"/>
          <w:sz w:val="24"/>
          <w:szCs w:val="24"/>
        </w:rPr>
        <w:t>本工程量清单中所列工程数量是估算的或设计的预计数量，仅作为投标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第15.4款的规定，由监理人确定的单价或总额价计算支付额。</w:t>
      </w:r>
    </w:p>
    <w:p w14:paraId="3984C3C8">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left="120" w:leftChars="0" w:firstLine="840" w:firstLineChars="0"/>
        <w:textAlignment w:val="auto"/>
        <w:rPr>
          <w:rFonts w:hint="eastAsia" w:ascii="宋体" w:hAnsi="宋体" w:cs="宋体"/>
          <w:sz w:val="24"/>
          <w:szCs w:val="24"/>
        </w:rPr>
      </w:pPr>
      <w:r>
        <w:rPr>
          <w:rFonts w:hint="eastAsia" w:ascii="宋体" w:hAnsi="宋体" w:eastAsia="宋体" w:cs="宋体"/>
          <w:kern w:val="2"/>
          <w:sz w:val="24"/>
          <w:szCs w:val="24"/>
          <w:lang w:val="en-US" w:eastAsia="zh-CN" w:bidi="ar-SA"/>
        </w:rPr>
        <w:t>4.</w:t>
      </w:r>
      <w:r>
        <w:rPr>
          <w:rFonts w:ascii="宋体" w:hAnsi="宋体" w:cs="宋体"/>
          <w:sz w:val="24"/>
          <w:szCs w:val="24"/>
        </w:rPr>
        <w:t>工程量清单各章是按第七章“技术规范”的相应章次编号的，因此，工程量清单中各章的工程子目的范围与计量等应与“技术规范”相应章节的范围、计量与支付条款结合起来理解或解释。</w:t>
      </w:r>
    </w:p>
    <w:p w14:paraId="353AFACE">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left="120" w:leftChars="0" w:firstLine="840" w:firstLineChars="0"/>
        <w:textAlignment w:val="auto"/>
        <w:rPr>
          <w:rFonts w:hint="eastAsia" w:ascii="宋体" w:hAnsi="宋体" w:cs="宋体"/>
          <w:sz w:val="24"/>
          <w:szCs w:val="24"/>
        </w:rPr>
      </w:pPr>
      <w:r>
        <w:rPr>
          <w:rFonts w:hint="eastAsia" w:ascii="宋体" w:hAnsi="宋体" w:eastAsia="宋体" w:cs="宋体"/>
          <w:kern w:val="2"/>
          <w:sz w:val="24"/>
          <w:szCs w:val="24"/>
          <w:lang w:val="en-US" w:eastAsia="zh-CN" w:bidi="ar-SA"/>
        </w:rPr>
        <w:t>5.</w:t>
      </w:r>
      <w:r>
        <w:rPr>
          <w:rFonts w:ascii="宋体" w:hAnsi="宋体" w:cs="宋体"/>
          <w:sz w:val="24"/>
          <w:szCs w:val="24"/>
        </w:rPr>
        <w:t>对作业和材料的一般说明或规定，未重复写入工程量清单内，在给工程量清单各子目标价前，应参阅第七章“技术规范”的有关内容。</w:t>
      </w:r>
    </w:p>
    <w:p w14:paraId="39BFF896">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left="120" w:leftChars="0" w:firstLine="840" w:firstLineChars="0"/>
        <w:textAlignment w:val="auto"/>
        <w:rPr>
          <w:rFonts w:hint="eastAsia" w:ascii="宋体" w:hAnsi="宋体" w:cs="宋体"/>
          <w:sz w:val="24"/>
          <w:szCs w:val="24"/>
        </w:rPr>
      </w:pPr>
      <w:r>
        <w:rPr>
          <w:rFonts w:hint="eastAsia" w:ascii="宋体" w:hAnsi="宋体" w:eastAsia="宋体" w:cs="宋体"/>
          <w:kern w:val="2"/>
          <w:sz w:val="24"/>
          <w:szCs w:val="24"/>
          <w:lang w:val="en-US" w:eastAsia="zh-CN" w:bidi="ar-SA"/>
        </w:rPr>
        <w:t>6.</w:t>
      </w:r>
      <w:r>
        <w:rPr>
          <w:rFonts w:ascii="宋体" w:hAnsi="宋体" w:cs="宋体"/>
          <w:sz w:val="24"/>
          <w:szCs w:val="24"/>
        </w:rPr>
        <w:t>工程量清单中所列工程量的变动，丝毫不会降低或影响合同条款的效力，也不免除承包人按规定的标准进行施工和修复缺陷的责任。</w:t>
      </w:r>
    </w:p>
    <w:p w14:paraId="6C3670BD">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ind w:left="120" w:leftChars="0" w:firstLine="840" w:firstLineChars="0"/>
        <w:textAlignment w:val="auto"/>
        <w:rPr>
          <w:rFonts w:hint="eastAsia" w:ascii="宋体" w:hAnsi="宋体" w:cs="宋体"/>
          <w:sz w:val="24"/>
          <w:szCs w:val="24"/>
        </w:rPr>
        <w:sectPr>
          <w:footerReference r:id="rId6" w:type="default"/>
          <w:pgSz w:w="11900" w:h="16838"/>
          <w:pgMar w:top="1332" w:right="1196" w:bottom="1417" w:left="1672" w:header="680" w:footer="680" w:gutter="0"/>
          <w:pgNumType w:fmt="decimal"/>
          <w:cols w:space="0" w:num="1"/>
          <w:rtlGutter w:val="0"/>
          <w:docGrid w:linePitch="0" w:charSpace="0"/>
        </w:sectPr>
      </w:pPr>
      <w:r>
        <w:rPr>
          <w:rFonts w:hint="eastAsia" w:ascii="宋体" w:hAnsi="宋体" w:eastAsia="宋体" w:cs="宋体"/>
          <w:kern w:val="2"/>
          <w:sz w:val="24"/>
          <w:szCs w:val="24"/>
          <w:lang w:val="en-US" w:eastAsia="zh-CN" w:bidi="ar-SA"/>
        </w:rPr>
        <w:t>7.</w:t>
      </w:r>
      <w:r>
        <w:rPr>
          <w:rFonts w:ascii="宋体" w:hAnsi="宋体" w:cs="宋体"/>
          <w:sz w:val="24"/>
          <w:szCs w:val="24"/>
        </w:rPr>
        <w:t>图纸中所列的工程数量表及数量汇总表仅是提供资料，不是工程量清单的外延。当图纸与工程量清单所列数量不一致时，以工程量清单所列数量作为报价的依据。</w:t>
      </w:r>
      <w:r>
        <w:rPr>
          <w:rFonts w:ascii="宋体" w:hAnsi="宋体" w:cs="宋体"/>
          <w:sz w:val="24"/>
          <w:szCs w:val="24"/>
        </w:rPr>
        <w:br w:type="textWrapping"/>
      </w:r>
    </w:p>
    <w:p w14:paraId="2F53F9A6">
      <w:pPr>
        <w:bidi w:val="0"/>
        <w:rPr>
          <w:rFonts w:hint="eastAsia" w:ascii="宋体" w:hAnsi="宋体" w:cs="宋体"/>
          <w:sz w:val="24"/>
          <w:szCs w:val="24"/>
        </w:rPr>
      </w:pPr>
      <w:r>
        <w:rPr>
          <w:rFonts w:hint="eastAsia" w:ascii="宋体" w:hAnsi="宋体" w:cs="宋体"/>
          <w:kern w:val="2"/>
          <w:sz w:val="24"/>
          <w:szCs w:val="24"/>
          <w:lang w:val="en-US" w:eastAsia="zh-CN" w:bidi="ar-SA"/>
        </w:rPr>
        <w:t>二</w:t>
      </w:r>
      <w:r>
        <w:rPr>
          <w:rFonts w:hint="eastAsia" w:ascii="宋体" w:hAnsi="宋体" w:eastAsia="宋体" w:cs="宋体"/>
          <w:kern w:val="2"/>
          <w:sz w:val="24"/>
          <w:szCs w:val="24"/>
          <w:lang w:val="en-US" w:eastAsia="zh-CN" w:bidi="ar-SA"/>
        </w:rPr>
        <w:t>.</w:t>
      </w:r>
      <w:r>
        <w:rPr>
          <w:rFonts w:ascii="宋体" w:hAnsi="宋体" w:cs="宋体"/>
          <w:b/>
          <w:bCs/>
          <w:sz w:val="24"/>
          <w:szCs w:val="24"/>
        </w:rPr>
        <w:t>投标报价说明</w:t>
      </w:r>
    </w:p>
    <w:p w14:paraId="46D0D809">
      <w:pPr>
        <w:keepNext w:val="0"/>
        <w:keepLines w:val="0"/>
        <w:pageBreakBefore w:val="0"/>
        <w:widowControl w:val="0"/>
        <w:numPr>
          <w:ilvl w:val="0"/>
          <w:numId w:val="7"/>
        </w:numPr>
        <w:kinsoku/>
        <w:wordWrap/>
        <w:overflowPunct/>
        <w:topLinePunct w:val="0"/>
        <w:autoSpaceDE/>
        <w:autoSpaceDN/>
        <w:bidi w:val="0"/>
        <w:adjustRightInd w:val="0"/>
        <w:snapToGrid w:val="0"/>
        <w:spacing w:line="480" w:lineRule="auto"/>
        <w:ind w:left="0" w:leftChars="0" w:firstLine="840" w:firstLineChars="0"/>
        <w:textAlignment w:val="auto"/>
        <w:rPr>
          <w:rFonts w:hint="eastAsia" w:ascii="宋体" w:hAnsi="宋体" w:cs="宋体"/>
          <w:sz w:val="24"/>
          <w:szCs w:val="24"/>
        </w:rPr>
      </w:pPr>
      <w:r>
        <w:rPr>
          <w:rFonts w:ascii="宋体" w:hAnsi="宋体" w:cs="宋体"/>
          <w:sz w:val="24"/>
          <w:szCs w:val="24"/>
        </w:rPr>
        <w:t>工程量清单中的每一子目须填入单价或价格，且只允许有一个报价。</w:t>
      </w:r>
    </w:p>
    <w:p w14:paraId="0CEE8BBB">
      <w:pPr>
        <w:keepNext w:val="0"/>
        <w:keepLines w:val="0"/>
        <w:pageBreakBefore w:val="0"/>
        <w:widowControl w:val="0"/>
        <w:numPr>
          <w:ilvl w:val="0"/>
          <w:numId w:val="7"/>
        </w:numPr>
        <w:kinsoku/>
        <w:wordWrap/>
        <w:overflowPunct/>
        <w:topLinePunct w:val="0"/>
        <w:autoSpaceDE/>
        <w:autoSpaceDN/>
        <w:bidi w:val="0"/>
        <w:adjustRightInd w:val="0"/>
        <w:snapToGrid w:val="0"/>
        <w:spacing w:line="480" w:lineRule="auto"/>
        <w:ind w:left="0" w:leftChars="0" w:firstLine="840" w:firstLineChars="0"/>
        <w:textAlignment w:val="auto"/>
        <w:rPr>
          <w:rFonts w:hint="eastAsia" w:ascii="宋体" w:hAnsi="宋体" w:cs="宋体"/>
          <w:sz w:val="24"/>
          <w:szCs w:val="24"/>
        </w:rPr>
      </w:pPr>
      <w:r>
        <w:rPr>
          <w:rFonts w:ascii="宋体" w:hAnsi="宋体" w:cs="宋体"/>
          <w:sz w:val="24"/>
          <w:szCs w:val="24"/>
        </w:rPr>
        <w:t>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6BD4304B">
      <w:pPr>
        <w:keepNext w:val="0"/>
        <w:keepLines w:val="0"/>
        <w:pageBreakBefore w:val="0"/>
        <w:widowControl w:val="0"/>
        <w:numPr>
          <w:ilvl w:val="0"/>
          <w:numId w:val="7"/>
        </w:numPr>
        <w:kinsoku/>
        <w:wordWrap/>
        <w:overflowPunct/>
        <w:topLinePunct w:val="0"/>
        <w:autoSpaceDE/>
        <w:autoSpaceDN/>
        <w:bidi w:val="0"/>
        <w:adjustRightInd w:val="0"/>
        <w:snapToGrid w:val="0"/>
        <w:spacing w:line="480" w:lineRule="auto"/>
        <w:ind w:left="0" w:leftChars="0" w:firstLine="840" w:firstLineChars="0"/>
        <w:textAlignment w:val="auto"/>
        <w:rPr>
          <w:rFonts w:hint="eastAsia" w:ascii="宋体" w:hAnsi="宋体" w:cs="宋体"/>
          <w:sz w:val="24"/>
          <w:szCs w:val="24"/>
        </w:rPr>
      </w:pPr>
      <w:r>
        <w:rPr>
          <w:rFonts w:ascii="宋体" w:hAnsi="宋体" w:cs="宋体"/>
          <w:sz w:val="24"/>
          <w:szCs w:val="24"/>
        </w:rPr>
        <w:t>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358C9C77">
      <w:pPr>
        <w:keepNext w:val="0"/>
        <w:keepLines w:val="0"/>
        <w:pageBreakBefore w:val="0"/>
        <w:widowControl w:val="0"/>
        <w:numPr>
          <w:ilvl w:val="0"/>
          <w:numId w:val="7"/>
        </w:numPr>
        <w:kinsoku/>
        <w:wordWrap/>
        <w:overflowPunct/>
        <w:topLinePunct w:val="0"/>
        <w:autoSpaceDE/>
        <w:autoSpaceDN/>
        <w:bidi w:val="0"/>
        <w:adjustRightInd w:val="0"/>
        <w:snapToGrid w:val="0"/>
        <w:spacing w:line="480" w:lineRule="auto"/>
        <w:ind w:left="0" w:leftChars="0" w:firstLine="840" w:firstLineChars="0"/>
        <w:textAlignment w:val="auto"/>
        <w:rPr>
          <w:rFonts w:hint="eastAsia" w:ascii="宋体" w:hAnsi="宋体" w:cs="宋体"/>
          <w:sz w:val="24"/>
          <w:szCs w:val="24"/>
        </w:rPr>
      </w:pPr>
      <w:r>
        <w:rPr>
          <w:rFonts w:ascii="宋体" w:hAnsi="宋体" w:cs="宋体"/>
          <w:sz w:val="24"/>
          <w:szCs w:val="24"/>
        </w:rPr>
        <w:t>符合合同条款规定的全部费用应认为已被计入有标价的工程量清单所列各子目之中，未列子目不予计量的工作，其费用应视为已分摊在本合同工程的有关子目的单价或总额价之中。</w:t>
      </w:r>
    </w:p>
    <w:p w14:paraId="432D0074">
      <w:pPr>
        <w:keepNext w:val="0"/>
        <w:keepLines w:val="0"/>
        <w:pageBreakBefore w:val="0"/>
        <w:widowControl w:val="0"/>
        <w:numPr>
          <w:ilvl w:val="0"/>
          <w:numId w:val="7"/>
        </w:numPr>
        <w:kinsoku/>
        <w:wordWrap/>
        <w:overflowPunct/>
        <w:topLinePunct w:val="0"/>
        <w:autoSpaceDE/>
        <w:autoSpaceDN/>
        <w:bidi w:val="0"/>
        <w:adjustRightInd w:val="0"/>
        <w:snapToGrid w:val="0"/>
        <w:spacing w:line="480" w:lineRule="auto"/>
        <w:ind w:left="0" w:leftChars="0" w:firstLine="840" w:firstLineChars="0"/>
        <w:textAlignment w:val="auto"/>
        <w:rPr>
          <w:rFonts w:hint="eastAsia" w:ascii="宋体" w:hAnsi="宋体" w:cs="宋体"/>
          <w:sz w:val="24"/>
          <w:szCs w:val="24"/>
        </w:rPr>
      </w:pPr>
      <w:r>
        <w:rPr>
          <w:rFonts w:ascii="宋体" w:hAnsi="宋体" w:cs="宋体"/>
          <w:sz w:val="24"/>
          <w:szCs w:val="24"/>
        </w:rPr>
        <w:t>承包人用于本合同工程的各类装备的提供、运输、维护、拆卸、拼装等支付的费用，已包括在工程量清单的单价与总额价之中。</w:t>
      </w:r>
    </w:p>
    <w:p w14:paraId="3CA4C053">
      <w:pPr>
        <w:numPr>
          <w:ilvl w:val="0"/>
          <w:numId w:val="7"/>
        </w:numPr>
        <w:bidi w:val="0"/>
        <w:rPr>
          <w:rFonts w:hint="eastAsia" w:ascii="宋体" w:hAnsi="宋体" w:cs="宋体"/>
          <w:sz w:val="24"/>
          <w:szCs w:val="24"/>
        </w:rPr>
      </w:pPr>
      <w:r>
        <w:rPr>
          <w:rFonts w:ascii="宋体" w:hAnsi="宋体" w:cs="宋体"/>
          <w:sz w:val="24"/>
          <w:szCs w:val="24"/>
        </w:rPr>
        <w:t>工程量清单中各项金额均以人民币（元）结算。</w:t>
      </w:r>
      <w:r>
        <w:rPr>
          <w:rFonts w:ascii="宋体" w:hAnsi="宋体" w:cs="宋体"/>
          <w:sz w:val="24"/>
          <w:szCs w:val="24"/>
        </w:rPr>
        <w:br w:type="textWrapping"/>
      </w:r>
      <w:r>
        <w:rPr>
          <w:rFonts w:hint="eastAsia" w:ascii="宋体" w:hAnsi="宋体" w:cs="宋体"/>
          <w:b/>
          <w:bCs/>
          <w:sz w:val="24"/>
          <w:szCs w:val="24"/>
          <w:lang w:val="en-US" w:eastAsia="zh-CN"/>
        </w:rPr>
        <w:t>三</w:t>
      </w:r>
      <w:r>
        <w:rPr>
          <w:rFonts w:hint="eastAsia" w:ascii="宋体" w:hAnsi="宋体" w:cs="宋体"/>
          <w:b/>
          <w:bCs/>
          <w:sz w:val="24"/>
          <w:szCs w:val="24"/>
        </w:rPr>
        <w:t>.其它</w:t>
      </w:r>
      <w:r>
        <w:rPr>
          <w:rFonts w:ascii="宋体" w:hAnsi="宋体" w:cs="宋体"/>
          <w:b/>
          <w:bCs/>
          <w:sz w:val="24"/>
          <w:szCs w:val="24"/>
        </w:rPr>
        <w:t>说明</w:t>
      </w:r>
    </w:p>
    <w:p w14:paraId="2549605F">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米脂三中编制说明</w:t>
      </w:r>
    </w:p>
    <w:p w14:paraId="72B63325">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一、工程概况</w:t>
      </w:r>
    </w:p>
    <w:p w14:paraId="2BBE9595">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1、工程名称:</w:t>
      </w:r>
      <w:r>
        <w:rPr>
          <w:rFonts w:hint="eastAsia" w:ascii="宋体" w:hAnsi="宋体" w:eastAsia="宋体" w:cs="宋体"/>
          <w:i w:val="0"/>
          <w:iCs w:val="0"/>
          <w:caps w:val="0"/>
          <w:color w:val="auto"/>
          <w:spacing w:val="0"/>
          <w:sz w:val="24"/>
          <w:szCs w:val="24"/>
          <w:shd w:val="clear" w:fill="FFFFFF"/>
        </w:rPr>
        <w:t>米脂县第三中学消防改造工程</w:t>
      </w:r>
    </w:p>
    <w:p w14:paraId="73C9DBE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2、建设地点:</w:t>
      </w:r>
      <w:r>
        <w:rPr>
          <w:rFonts w:hint="eastAsia" w:ascii="宋体" w:hAnsi="宋体" w:eastAsia="宋体" w:cs="宋体"/>
          <w:sz w:val="24"/>
          <w:szCs w:val="24"/>
          <w:lang w:eastAsia="zh-CN"/>
        </w:rPr>
        <w:t>米脂县第三中学</w:t>
      </w:r>
    </w:p>
    <w:p w14:paraId="27323D03">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二、编制依据</w:t>
      </w:r>
    </w:p>
    <w:p w14:paraId="10CD3146">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1、本工程依据现场实际情况及其它相关文件进行编制;</w:t>
      </w:r>
    </w:p>
    <w:p w14:paraId="1262E192">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2、本工程计量依据《陕西省建设工程费用规则》(2025)、《陕西省2025计价标准》(2025)、《陕西省房屋建筑与装饰工程基价表(2025)》、《陕西省通用安装工程基价表(2025)》及其配套文件;</w:t>
      </w:r>
    </w:p>
    <w:p w14:paraId="182BBA20">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3、本工程组价依据《陕西省房屋建筑与装饰工程消耗量定额(2025)》、《陕西省通用安装工程消耗量定额(2025)》;</w:t>
      </w:r>
    </w:p>
    <w:p w14:paraId="7A4700B6">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4、本工程编制软件采用广联达云计价平台GCCP7.0版本;</w:t>
      </w:r>
    </w:p>
    <w:p w14:paraId="5798B147">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5、材料价采用榆林建设工程材料信息价2026年第3期，其中没有的材料按市场价计入。</w:t>
      </w:r>
    </w:p>
    <w:p w14:paraId="4ADD7167">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三、编制说明</w:t>
      </w:r>
    </w:p>
    <w:p w14:paraId="0A412D16">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1、消防报警主机更换联网</w:t>
      </w:r>
    </w:p>
    <w:p w14:paraId="7BA3CF96">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增加JB-QT-GST5000H火灾报警控制器/消防联动控制器一台GST-LD-SD128H总线控制盘一套，海湾5000S型主机，GST-LD-KZ08H直接控制盘一套，GST-LD-D02H智能电源盘一套，GST-LD-KZ08H直接控制盘一套，GST-XG9000S/T消防应急广播设备一套，GST-GF500WA广播功率放大器1套，TS-GSTN60消防电话一台，LD-FB-601国标单节琴台柜一台外形尺寸（545mm×863mm×1273mm）GST-LWK5000H-CAN联网接口卡4套，GST-NNET-02H接口卡4套，GST-QT-GM9200消防控制室图形显示装置一台，GST-GM9200扩展接口板1套，7AH/12V 蓄电池1组.</w:t>
      </w:r>
    </w:p>
    <w:p w14:paraId="3B15C8B5">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JTY-GD-G3X点型光电感烟火灾探测器300个，JTW-ZCD-G3N点型感温火灾探测器30个，DZ-02通用底座583个，J-SAM-GST9122B手动火灾报警按钮32套，GST-HX-320B火灾声光警报器32套，J-SAM-GST9123B消火栓按钮36个，GST-LD-8300B输入模块25个，GST-LD-8361H输入/输出模块30个，GST-ZF-520Z火灾显示盘15个，XD5-4C 吸顶室内扬声器85个，GST-LD-8305A扬声器监视模块20个，TS-GSTN601消防电话分机10套，GST-LD-8313B 隔离器22套，GST-JX400接线端子箱10个，ZD-02直控盘终端器15个，电子编码器GST-BMQ-4型2个</w:t>
      </w:r>
    </w:p>
    <w:p w14:paraId="5358543E">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  电线电缆 、配管   </w:t>
      </w:r>
    </w:p>
    <w:p w14:paraId="76B9A2CE">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1）.DN20KBG线管配管5000米（材质：KBG耐腐钢），DN16KBG线管配管3700米（材质：KBG耐腐钢） </w:t>
      </w:r>
    </w:p>
    <w:p w14:paraId="179FFC6D">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2）.WDZN-RYJS  2*2.5双交线5500米（众邦）</w:t>
      </w:r>
    </w:p>
    <w:p w14:paraId="0297B253">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3）.ZR-RVB  2*1软线5100米（众邦）</w:t>
      </w:r>
    </w:p>
    <w:p w14:paraId="5DC383EA">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4）.ZR-RVS  2*1.5双交线6200米（众邦）</w:t>
      </w:r>
    </w:p>
    <w:p w14:paraId="70966B54">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5）.ZR-RVVP  20*1.5控制电缆1500米（众邦）</w:t>
      </w:r>
    </w:p>
    <w:p w14:paraId="78FE715B">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3、干粉灭火器</w:t>
      </w:r>
    </w:p>
    <w:p w14:paraId="0F7434FC">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2）.5KG干粉灭火器120个</w:t>
      </w:r>
    </w:p>
    <w:p w14:paraId="5CEC5D4C">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4、室外消火栓</w:t>
      </w:r>
    </w:p>
    <w:p w14:paraId="27164E26">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2）、安全围挡200米</w:t>
      </w:r>
    </w:p>
    <w:p w14:paraId="3BB35762">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3）、机器开挖地面长220米宽1.5米深1米</w:t>
      </w:r>
    </w:p>
    <w:p w14:paraId="3D9F2B35">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4）、人工开挖地面长20米宽1.5米深0.5米</w:t>
      </w:r>
    </w:p>
    <w:p w14:paraId="51DBB615">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5）、管沟开挖完成后沟底平整回填细沙20公分</w:t>
      </w:r>
    </w:p>
    <w:p w14:paraId="1390FF8D">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6）、安装DN150钢丝骨架复合管220米,DN150铸钢明暗闸阀6套,</w:t>
      </w:r>
    </w:p>
    <w:p w14:paraId="369D55E9">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7）、阀门井3座（管井尺寸：2.2*1.8*1.5）</w:t>
      </w:r>
    </w:p>
    <w:p w14:paraId="1677DDA7">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8）、3:7回填220米*1.5米*0.7米</w:t>
      </w:r>
    </w:p>
    <w:p w14:paraId="4F9A8553">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10）、散水塑胶跑道拆除120㎡</w:t>
      </w:r>
    </w:p>
    <w:p w14:paraId="38116CDA">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11）、重新铺装散水塑胶跑道</w:t>
      </w:r>
      <w:r>
        <w:rPr>
          <w:rFonts w:hint="eastAsia" w:ascii="宋体" w:hAnsi="宋体" w:eastAsia="宋体" w:cs="宋体"/>
          <w:kern w:val="2"/>
          <w:sz w:val="24"/>
          <w:szCs w:val="24"/>
          <w:highlight w:val="none"/>
          <w:lang w:val="en-US" w:eastAsia="zh-CN" w:bidi="ar-SA"/>
        </w:rPr>
        <w:t>120㎡</w:t>
      </w:r>
    </w:p>
    <w:p w14:paraId="7E0514AC">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12）、垃圾外运15公里外345m³</w:t>
      </w:r>
    </w:p>
    <w:p w14:paraId="22E1E4A8">
      <w:pPr>
        <w:pStyle w:val="21"/>
        <w:keepNext w:val="0"/>
        <w:keepLines w:val="0"/>
        <w:widowControl/>
        <w:suppressLineNumbers w:val="0"/>
        <w:spacing w:before="0" w:beforeAutospacing="0" w:after="0" w:afterAutospacing="0" w:line="360" w:lineRule="auto"/>
        <w:ind w:left="0" w:right="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13）、20CM厚C30商砼混凝土路面：35㎡</w:t>
      </w:r>
    </w:p>
    <w:p w14:paraId="17EC62AE">
      <w:pPr>
        <w:pStyle w:val="21"/>
        <w:keepNext w:val="0"/>
        <w:keepLines w:val="0"/>
        <w:widowControl/>
        <w:suppressLineNumbers w:val="0"/>
        <w:spacing w:before="0" w:beforeAutospacing="0" w:after="0" w:afterAutospacing="0" w:line="360" w:lineRule="auto"/>
        <w:ind w:left="0" w:righ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5、室内消火栓系统维修</w:t>
      </w:r>
    </w:p>
    <w:p w14:paraId="2D3EB6CA">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1）、更换室内消火栓1.6*0.7*0.2消火栓门28套</w:t>
      </w:r>
    </w:p>
    <w:p w14:paraId="6D552BF5">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2）、维修改造高位水箱稳压机组1套</w:t>
      </w:r>
    </w:p>
    <w:p w14:paraId="1EDAEB1D">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）、DN114消防主管打压试水850米</w:t>
      </w:r>
    </w:p>
    <w:p w14:paraId="169AA668">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防盗卷帘门拆除2套</w:t>
      </w:r>
    </w:p>
    <w:p w14:paraId="52870E51">
      <w:pPr>
        <w:bidi w:val="0"/>
        <w:rPr>
          <w:rFonts w:hint="eastAsia"/>
          <w:lang w:val="en-US" w:eastAsia="zh-CN"/>
        </w:rPr>
      </w:pPr>
      <w:r>
        <w:rPr>
          <w:rFonts w:hint="eastAsia"/>
          <w:lang w:val="en-US" w:eastAsia="zh-CN"/>
        </w:rPr>
        <w:t>四、工程量清单</w:t>
      </w:r>
    </w:p>
    <w:p w14:paraId="043338D2">
      <w:pPr>
        <w:rPr>
          <w:rFonts w:hint="eastAsia" w:ascii="宋体" w:hAnsi="宋体" w:cs="宋体"/>
          <w:color w:val="auto"/>
          <w:lang w:val="en-US" w:eastAsia="zh-CN"/>
        </w:rPr>
      </w:pPr>
      <w:r>
        <w:rPr>
          <w:rFonts w:hint="eastAsia" w:ascii="宋体" w:hAnsi="宋体" w:cs="宋体"/>
          <w:color w:val="auto"/>
          <w:lang w:val="en-US" w:eastAsia="zh-CN"/>
        </w:rPr>
        <w:t>后附</w:t>
      </w:r>
    </w:p>
    <w:p w14:paraId="0521D74E">
      <w:pPr>
        <w:bidi w:val="0"/>
        <w:rPr>
          <w:rFonts w:hint="eastAsia"/>
          <w:lang w:eastAsia="zh-CN"/>
        </w:rPr>
      </w:pPr>
      <w:r>
        <w:rPr>
          <w:rFonts w:hint="eastAsia"/>
          <w:lang w:eastAsia="zh-CN"/>
        </w:rPr>
        <w:drawing>
          <wp:inline distT="0" distB="0" distL="114300" distR="114300">
            <wp:extent cx="5711825" cy="8084820"/>
            <wp:effectExtent l="0" t="0" r="3175" b="11430"/>
            <wp:docPr id="57" name="图片 57" descr="米脂县第三中学消防改造工程_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米脂县第三中学消防改造工程_清单_01"/>
                    <pic:cNvPicPr>
                      <a:picLocks noChangeAspect="1"/>
                    </pic:cNvPicPr>
                  </pic:nvPicPr>
                  <pic:blipFill>
                    <a:blip r:embed="rId20"/>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32145" cy="4050030"/>
            <wp:effectExtent l="0" t="0" r="1905" b="7620"/>
            <wp:docPr id="56" name="图片 56" descr="米脂县第三中学消防改造工程_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米脂县第三中学消防改造工程_清单_02"/>
                    <pic:cNvPicPr>
                      <a:picLocks noChangeAspect="1"/>
                    </pic:cNvPicPr>
                  </pic:nvPicPr>
                  <pic:blipFill>
                    <a:blip r:embed="rId21"/>
                    <a:stretch>
                      <a:fillRect/>
                    </a:stretch>
                  </pic:blipFill>
                  <pic:spPr>
                    <a:xfrm>
                      <a:off x="0" y="0"/>
                      <a:ext cx="5732145" cy="405003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55" name="图片 55" descr="米脂县第三中学消防改造工程_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米脂县第三中学消防改造工程_清单_03"/>
                    <pic:cNvPicPr>
                      <a:picLocks noChangeAspect="1"/>
                    </pic:cNvPicPr>
                  </pic:nvPicPr>
                  <pic:blipFill>
                    <a:blip r:embed="rId22"/>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54" name="图片 54" descr="米脂县第三中学消防改造工程_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米脂县第三中学消防改造工程_清单_04"/>
                    <pic:cNvPicPr>
                      <a:picLocks noChangeAspect="1"/>
                    </pic:cNvPicPr>
                  </pic:nvPicPr>
                  <pic:blipFill>
                    <a:blip r:embed="rId23"/>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53" name="图片 53" descr="米脂县第三中学消防改造工程_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米脂县第三中学消防改造工程_清单_05"/>
                    <pic:cNvPicPr>
                      <a:picLocks noChangeAspect="1"/>
                    </pic:cNvPicPr>
                  </pic:nvPicPr>
                  <pic:blipFill>
                    <a:blip r:embed="rId24"/>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52" name="图片 52" descr="米脂县第三中学消防改造工程_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米脂县第三中学消防改造工程_清单_06"/>
                    <pic:cNvPicPr>
                      <a:picLocks noChangeAspect="1"/>
                    </pic:cNvPicPr>
                  </pic:nvPicPr>
                  <pic:blipFill>
                    <a:blip r:embed="rId25"/>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51" name="图片 51" descr="米脂县第三中学消防改造工程_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米脂县第三中学消防改造工程_清单_07"/>
                    <pic:cNvPicPr>
                      <a:picLocks noChangeAspect="1"/>
                    </pic:cNvPicPr>
                  </pic:nvPicPr>
                  <pic:blipFill>
                    <a:blip r:embed="rId26"/>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50" name="图片 50" descr="米脂县第三中学消防改造工程_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米脂县第三中学消防改造工程_清单_08"/>
                    <pic:cNvPicPr>
                      <a:picLocks noChangeAspect="1"/>
                    </pic:cNvPicPr>
                  </pic:nvPicPr>
                  <pic:blipFill>
                    <a:blip r:embed="rId27"/>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9" name="图片 49" descr="米脂县第三中学消防改造工程_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米脂县第三中学消防改造工程_清单_09"/>
                    <pic:cNvPicPr>
                      <a:picLocks noChangeAspect="1"/>
                    </pic:cNvPicPr>
                  </pic:nvPicPr>
                  <pic:blipFill>
                    <a:blip r:embed="rId28"/>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8" name="图片 48" descr="米脂县第三中学消防改造工程_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米脂县第三中学消防改造工程_清单_10"/>
                    <pic:cNvPicPr>
                      <a:picLocks noChangeAspect="1"/>
                    </pic:cNvPicPr>
                  </pic:nvPicPr>
                  <pic:blipFill>
                    <a:blip r:embed="rId29"/>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7" name="图片 47" descr="米脂县第三中学消防改造工程_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米脂县第三中学消防改造工程_清单_11"/>
                    <pic:cNvPicPr>
                      <a:picLocks noChangeAspect="1"/>
                    </pic:cNvPicPr>
                  </pic:nvPicPr>
                  <pic:blipFill>
                    <a:blip r:embed="rId30"/>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6" name="图片 46" descr="米脂县第三中学消防改造工程_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米脂县第三中学消防改造工程_清单_12"/>
                    <pic:cNvPicPr>
                      <a:picLocks noChangeAspect="1"/>
                    </pic:cNvPicPr>
                  </pic:nvPicPr>
                  <pic:blipFill>
                    <a:blip r:embed="rId31"/>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5" name="图片 45" descr="米脂县第三中学消防改造工程_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米脂县第三中学消防改造工程_清单_13"/>
                    <pic:cNvPicPr>
                      <a:picLocks noChangeAspect="1"/>
                    </pic:cNvPicPr>
                  </pic:nvPicPr>
                  <pic:blipFill>
                    <a:blip r:embed="rId32"/>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4" name="图片 44" descr="米脂县第三中学消防改造工程_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米脂县第三中学消防改造工程_清单_14"/>
                    <pic:cNvPicPr>
                      <a:picLocks noChangeAspect="1"/>
                    </pic:cNvPicPr>
                  </pic:nvPicPr>
                  <pic:blipFill>
                    <a:blip r:embed="rId33"/>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3" name="图片 43" descr="米脂县第三中学消防改造工程_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米脂县第三中学消防改造工程_清单_15"/>
                    <pic:cNvPicPr>
                      <a:picLocks noChangeAspect="1"/>
                    </pic:cNvPicPr>
                  </pic:nvPicPr>
                  <pic:blipFill>
                    <a:blip r:embed="rId34"/>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2" name="图片 42" descr="米脂县第三中学消防改造工程_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米脂县第三中学消防改造工程_清单_16"/>
                    <pic:cNvPicPr>
                      <a:picLocks noChangeAspect="1"/>
                    </pic:cNvPicPr>
                  </pic:nvPicPr>
                  <pic:blipFill>
                    <a:blip r:embed="rId35"/>
                    <a:stretch>
                      <a:fillRect/>
                    </a:stretch>
                  </pic:blipFill>
                  <pic:spPr>
                    <a:xfrm>
                      <a:off x="0" y="0"/>
                      <a:ext cx="5711825" cy="8084820"/>
                    </a:xfrm>
                    <a:prstGeom prst="rect">
                      <a:avLst/>
                    </a:prstGeom>
                  </pic:spPr>
                </pic:pic>
              </a:graphicData>
            </a:graphic>
          </wp:inline>
        </w:drawing>
      </w:r>
      <w:r>
        <w:rPr>
          <w:rFonts w:hint="eastAsia"/>
          <w:lang w:eastAsia="zh-CN"/>
        </w:rPr>
        <w:drawing>
          <wp:inline distT="0" distB="0" distL="114300" distR="114300">
            <wp:extent cx="5711825" cy="8084820"/>
            <wp:effectExtent l="0" t="0" r="3175" b="11430"/>
            <wp:docPr id="41" name="图片 41" descr="米脂县第三中学消防改造工程_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米脂县第三中学消防改造工程_清单_17"/>
                    <pic:cNvPicPr>
                      <a:picLocks noChangeAspect="1"/>
                    </pic:cNvPicPr>
                  </pic:nvPicPr>
                  <pic:blipFill>
                    <a:blip r:embed="rId36"/>
                    <a:stretch>
                      <a:fillRect/>
                    </a:stretch>
                  </pic:blipFill>
                  <pic:spPr>
                    <a:xfrm>
                      <a:off x="0" y="0"/>
                      <a:ext cx="5711825" cy="8084820"/>
                    </a:xfrm>
                    <a:prstGeom prst="rect">
                      <a:avLst/>
                    </a:prstGeom>
                  </pic:spPr>
                </pic:pic>
              </a:graphicData>
            </a:graphic>
          </wp:inline>
        </w:drawing>
      </w:r>
      <w:r>
        <w:rPr>
          <w:rFonts w:hint="eastAsia"/>
          <w:lang w:eastAsia="zh-CN"/>
        </w:rPr>
        <w:br w:type="page"/>
      </w:r>
    </w:p>
    <w:p w14:paraId="3645AF53">
      <w:pPr>
        <w:pStyle w:val="2"/>
        <w:bidi w:val="0"/>
        <w:rPr>
          <w:rFonts w:hint="eastAsia"/>
          <w:lang w:val="en-US" w:eastAsia="zh-CN"/>
        </w:rPr>
      </w:pPr>
      <w:bookmarkStart w:id="74" w:name="_Toc12384"/>
      <w:bookmarkStart w:id="75" w:name="_Toc4122"/>
      <w:r>
        <w:rPr>
          <w:rFonts w:hint="eastAsia"/>
          <w:lang w:eastAsia="zh-CN"/>
        </w:rPr>
        <w:t>第六章</w:t>
      </w:r>
      <w:r>
        <w:rPr>
          <w:rFonts w:hint="eastAsia"/>
          <w:lang w:val="en-US" w:eastAsia="zh-CN"/>
        </w:rPr>
        <w:t xml:space="preserve"> 评标办法</w:t>
      </w:r>
      <w:bookmarkEnd w:id="74"/>
      <w:bookmarkEnd w:id="75"/>
    </w:p>
    <w:p w14:paraId="7BEAC83A">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pacing w:val="4"/>
          <w:sz w:val="24"/>
        </w:rPr>
      </w:pPr>
      <w:bookmarkStart w:id="76" w:name="_Toc12396"/>
      <w:bookmarkStart w:id="77" w:name="_Toc14686"/>
      <w:bookmarkStart w:id="78" w:name="_Toc1244"/>
      <w:bookmarkStart w:id="79" w:name="_Toc30418"/>
      <w:bookmarkStart w:id="80" w:name="_Toc6303"/>
      <w:bookmarkStart w:id="81" w:name="_Toc21605"/>
      <w:bookmarkStart w:id="82" w:name="_Toc24206"/>
      <w:bookmarkStart w:id="83" w:name="_Toc580"/>
      <w:bookmarkStart w:id="84" w:name="_Toc7925"/>
      <w:bookmarkStart w:id="85" w:name="_Toc15626"/>
      <w:bookmarkStart w:id="86" w:name="_Toc27869"/>
      <w:bookmarkStart w:id="87" w:name="_Toc12968"/>
      <w:bookmarkStart w:id="88" w:name="_Toc20094"/>
      <w:bookmarkStart w:id="89" w:name="_Toc10389"/>
      <w:bookmarkStart w:id="90" w:name="_Toc9917"/>
      <w:bookmarkStart w:id="91" w:name="_Toc8617"/>
      <w:bookmarkStart w:id="92" w:name="_Toc23204"/>
      <w:bookmarkStart w:id="93" w:name="_Toc4221"/>
      <w:bookmarkStart w:id="94" w:name="_Toc27296"/>
      <w:bookmarkStart w:id="95" w:name="_Toc29445"/>
      <w:bookmarkStart w:id="96" w:name="_Toc753"/>
      <w:bookmarkStart w:id="97" w:name="_Toc23576"/>
      <w:bookmarkStart w:id="98" w:name="_Toc12457"/>
      <w:bookmarkStart w:id="99" w:name="_Toc10051"/>
      <w:r>
        <w:rPr>
          <w:rFonts w:hint="eastAsia" w:ascii="宋体" w:hAnsi="宋体" w:eastAsia="宋体" w:cs="宋体"/>
          <w:b/>
          <w:color w:val="auto"/>
          <w:spacing w:val="4"/>
          <w:sz w:val="24"/>
        </w:rPr>
        <w:t>一．评审方法</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11F9F8A3">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w:t>
      </w:r>
      <w:r>
        <w:rPr>
          <w:rFonts w:hint="eastAsia" w:ascii="宋体" w:hAnsi="宋体" w:eastAsia="宋体" w:cs="宋体"/>
          <w:color w:val="auto"/>
          <w:sz w:val="24"/>
          <w:szCs w:val="24"/>
        </w:rPr>
        <w:t>中华人民共和国</w:t>
      </w:r>
      <w:r>
        <w:rPr>
          <w:rFonts w:hint="eastAsia" w:ascii="宋体" w:hAnsi="宋体" w:eastAsia="宋体" w:cs="宋体"/>
          <w:color w:val="auto"/>
          <w:sz w:val="24"/>
          <w:szCs w:val="24"/>
          <w:lang w:eastAsia="zh-CN"/>
        </w:rPr>
        <w:t>财政部</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财库〔2014〕214号印发《政府采购竞争性磋商采购方式管理暂行办法</w:t>
      </w:r>
      <w:r>
        <w:rPr>
          <w:rFonts w:hint="eastAsia" w:ascii="宋体" w:hAnsi="宋体" w:eastAsia="宋体" w:cs="宋体"/>
          <w:color w:val="auto"/>
          <w:sz w:val="24"/>
          <w:szCs w:val="24"/>
          <w:lang w:eastAsia="zh-CN"/>
        </w:rPr>
        <w:t>》</w:t>
      </w:r>
      <w:r>
        <w:rPr>
          <w:rFonts w:hint="eastAsia" w:ascii="宋体" w:hAnsi="宋体" w:eastAsia="宋体" w:cs="宋体"/>
          <w:color w:val="auto"/>
          <w:spacing w:val="4"/>
          <w:sz w:val="24"/>
          <w:szCs w:val="24"/>
        </w:rPr>
        <w:t>的规定，本次评审采用</w:t>
      </w:r>
      <w:r>
        <w:rPr>
          <w:rFonts w:hint="eastAsia" w:ascii="宋体" w:hAnsi="宋体" w:eastAsia="宋体" w:cs="宋体"/>
          <w:color w:val="auto"/>
          <w:spacing w:val="4"/>
          <w:sz w:val="24"/>
          <w:szCs w:val="24"/>
          <w:lang w:eastAsia="zh-CN"/>
        </w:rPr>
        <w:t>综合评分</w:t>
      </w:r>
      <w:r>
        <w:rPr>
          <w:rFonts w:hint="eastAsia" w:ascii="宋体" w:hAnsi="宋体" w:eastAsia="宋体" w:cs="宋体"/>
          <w:color w:val="auto"/>
          <w:spacing w:val="4"/>
          <w:sz w:val="24"/>
          <w:szCs w:val="24"/>
        </w:rPr>
        <w:t>法，</w:t>
      </w:r>
      <w:r>
        <w:rPr>
          <w:rFonts w:hint="eastAsia" w:ascii="宋体" w:hAnsi="宋体" w:eastAsia="宋体" w:cs="宋体"/>
          <w:color w:val="auto"/>
          <w:sz w:val="24"/>
          <w:szCs w:val="24"/>
        </w:rPr>
        <w:t>即</w:t>
      </w:r>
      <w:r>
        <w:rPr>
          <w:rFonts w:hint="eastAsia" w:ascii="宋体" w:hAnsi="宋体" w:eastAsia="宋体" w:cs="宋体"/>
          <w:color w:val="auto"/>
          <w:szCs w:val="24"/>
        </w:rPr>
        <w:t>从质量和服务均能满足</w:t>
      </w:r>
      <w:r>
        <w:rPr>
          <w:rFonts w:hint="eastAsia" w:ascii="宋体" w:hAnsi="宋体" w:eastAsia="宋体" w:cs="宋体"/>
          <w:color w:val="auto"/>
          <w:sz w:val="24"/>
          <w:szCs w:val="24"/>
        </w:rPr>
        <w:t>磋商文件实质性要求前提下的所有磋商响应文件按照磋商文件中规定的各项因素进行综合评标后，以评标总得分由高到低推荐成交候选人。</w:t>
      </w:r>
    </w:p>
    <w:p w14:paraId="6700D47A">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color w:val="auto"/>
          <w:spacing w:val="4"/>
          <w:sz w:val="24"/>
        </w:rPr>
      </w:pPr>
      <w:bookmarkStart w:id="100" w:name="_Toc10276"/>
      <w:bookmarkStart w:id="101" w:name="_Toc26518"/>
      <w:bookmarkStart w:id="102" w:name="_Toc30908"/>
      <w:bookmarkStart w:id="103" w:name="_Toc8040"/>
      <w:bookmarkStart w:id="104" w:name="_Toc11349"/>
      <w:bookmarkStart w:id="105" w:name="_Toc12343"/>
      <w:bookmarkStart w:id="106" w:name="_Toc23578"/>
      <w:bookmarkStart w:id="107" w:name="_Toc30626"/>
      <w:bookmarkStart w:id="108" w:name="_Toc21419"/>
      <w:bookmarkStart w:id="109" w:name="_Toc14522"/>
      <w:bookmarkStart w:id="110" w:name="_Toc15585"/>
      <w:bookmarkStart w:id="111" w:name="_Toc23937"/>
      <w:bookmarkStart w:id="112" w:name="_Toc9001"/>
      <w:bookmarkStart w:id="113" w:name="_Toc3738"/>
      <w:bookmarkStart w:id="114" w:name="_Toc15882"/>
      <w:bookmarkStart w:id="115" w:name="_Toc19130"/>
      <w:bookmarkStart w:id="116" w:name="_Toc1116"/>
      <w:bookmarkStart w:id="117" w:name="_Toc26060"/>
      <w:bookmarkStart w:id="118" w:name="_Toc19473"/>
      <w:bookmarkStart w:id="119" w:name="_Toc6439"/>
      <w:bookmarkStart w:id="120" w:name="_Toc370906270"/>
      <w:bookmarkStart w:id="121" w:name="_Toc25331"/>
      <w:bookmarkStart w:id="122" w:name="_Toc20120"/>
      <w:bookmarkStart w:id="123" w:name="_Toc5302"/>
      <w:bookmarkStart w:id="124" w:name="_Toc6931"/>
      <w:r>
        <w:rPr>
          <w:rFonts w:hint="eastAsia" w:ascii="宋体" w:hAnsi="宋体" w:eastAsia="宋体" w:cs="宋体"/>
          <w:b/>
          <w:color w:val="auto"/>
          <w:spacing w:val="4"/>
          <w:sz w:val="24"/>
        </w:rPr>
        <w:t>二．评审程序</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418D7BB6">
      <w:pPr>
        <w:pStyle w:val="18"/>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44"/>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按照</w:t>
      </w:r>
      <w:r>
        <w:rPr>
          <w:rFonts w:hint="eastAsia" w:ascii="宋体" w:hAnsi="宋体" w:eastAsia="宋体" w:cs="宋体"/>
          <w:color w:val="auto"/>
          <w:sz w:val="24"/>
          <w:szCs w:val="24"/>
          <w:lang w:eastAsia="zh-CN"/>
        </w:rPr>
        <w:t>资审、符合性审查</w:t>
      </w:r>
      <w:r>
        <w:rPr>
          <w:rFonts w:hint="eastAsia" w:ascii="宋体" w:hAnsi="宋体" w:eastAsia="宋体" w:cs="宋体"/>
          <w:color w:val="auto"/>
          <w:sz w:val="24"/>
          <w:szCs w:val="24"/>
        </w:rPr>
        <w:t>、</w:t>
      </w:r>
      <w:r>
        <w:rPr>
          <w:rFonts w:hint="eastAsia" w:ascii="宋体" w:hAnsi="宋体" w:eastAsia="宋体" w:cs="宋体"/>
          <w:color w:val="auto"/>
          <w:spacing w:val="4"/>
          <w:kern w:val="2"/>
          <w:sz w:val="24"/>
          <w:szCs w:val="24"/>
          <w:highlight w:val="none"/>
          <w:lang w:val="en-US" w:eastAsia="zh-CN" w:bidi="ar"/>
        </w:rPr>
        <w:t>澄清有关问题、比较与评价、推荐成交候选人名单</w:t>
      </w:r>
      <w:r>
        <w:rPr>
          <w:rFonts w:hint="eastAsia" w:ascii="宋体" w:hAnsi="宋体" w:eastAsia="宋体" w:cs="宋体"/>
          <w:color w:val="auto"/>
          <w:sz w:val="24"/>
          <w:szCs w:val="24"/>
        </w:rPr>
        <w:t>进行评审。在上一步评审中被废标者，不进入下一步的评审。</w:t>
      </w:r>
    </w:p>
    <w:p w14:paraId="311ED5E6">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Cs w:val="24"/>
        </w:rPr>
      </w:pPr>
      <w:r>
        <w:rPr>
          <w:rFonts w:hint="eastAsia" w:ascii="宋体" w:hAnsi="宋体" w:eastAsia="宋体" w:cs="宋体"/>
          <w:color w:val="auto"/>
          <w:szCs w:val="24"/>
        </w:rPr>
        <w:t>采购人对各个供应商的响应文件先进行资格审查，磋商小组再进行符合性审查，审查全都合格的供应商才有参加磋商与承诺的资格。</w:t>
      </w:r>
    </w:p>
    <w:p w14:paraId="124814C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1.1资格审查内容为：供应商须知前附表（供应商资质证明文件）</w:t>
      </w:r>
    </w:p>
    <w:p w14:paraId="1836A13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Cs w:val="24"/>
        </w:rPr>
      </w:pPr>
      <w:r>
        <w:rPr>
          <w:rFonts w:hint="eastAsia" w:ascii="宋体" w:hAnsi="宋体" w:eastAsia="宋体" w:cs="宋体"/>
          <w:b w:val="0"/>
          <w:bCs w:val="0"/>
          <w:color w:val="auto"/>
          <w:szCs w:val="24"/>
          <w:lang w:val="en-US" w:eastAsia="zh-CN"/>
        </w:rPr>
        <w:t>2、</w:t>
      </w:r>
      <w:r>
        <w:rPr>
          <w:rFonts w:hint="eastAsia" w:ascii="宋体" w:hAnsi="宋体" w:eastAsia="宋体" w:cs="宋体"/>
          <w:b w:val="0"/>
          <w:bCs w:val="0"/>
          <w:color w:val="auto"/>
          <w:szCs w:val="24"/>
        </w:rPr>
        <w:t>符合性审查内容为：</w:t>
      </w:r>
    </w:p>
    <w:p w14:paraId="55B5E66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2.1</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rPr>
        <w:t>响应文件的签字</w:t>
      </w:r>
      <w:r>
        <w:rPr>
          <w:rFonts w:hint="eastAsia" w:ascii="宋体" w:hAnsi="宋体" w:eastAsia="宋体" w:cs="宋体"/>
          <w:color w:val="auto"/>
          <w:szCs w:val="24"/>
          <w:lang w:eastAsia="zh-CN"/>
        </w:rPr>
        <w:t>、</w:t>
      </w:r>
      <w:r>
        <w:rPr>
          <w:rFonts w:hint="eastAsia" w:ascii="宋体" w:hAnsi="宋体" w:eastAsia="宋体" w:cs="宋体"/>
          <w:color w:val="auto"/>
          <w:szCs w:val="24"/>
        </w:rPr>
        <w:t>盖章合格；</w:t>
      </w:r>
    </w:p>
    <w:p w14:paraId="48A3C72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2.2 磋商报价未超过采购预算；</w:t>
      </w:r>
    </w:p>
    <w:p w14:paraId="27F2732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lang w:val="zh-CN"/>
        </w:rPr>
      </w:pPr>
      <w:r>
        <w:rPr>
          <w:rFonts w:hint="eastAsia" w:ascii="宋体" w:hAnsi="宋体" w:eastAsia="宋体" w:cs="宋体"/>
          <w:color w:val="auto"/>
          <w:szCs w:val="24"/>
        </w:rPr>
        <w:t>2.3</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rPr>
        <w:t>响应文件内容齐全，字迹清晰可辨</w:t>
      </w:r>
      <w:r>
        <w:rPr>
          <w:rFonts w:hint="eastAsia" w:ascii="宋体" w:hAnsi="宋体" w:eastAsia="宋体" w:cs="宋体"/>
          <w:color w:val="auto"/>
          <w:lang w:val="zh-CN"/>
        </w:rPr>
        <w:t>；</w:t>
      </w:r>
    </w:p>
    <w:p w14:paraId="485147A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2.4</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rPr>
        <w:t>响应文件</w:t>
      </w:r>
      <w:r>
        <w:rPr>
          <w:rFonts w:hint="eastAsia" w:ascii="宋体" w:hAnsi="宋体" w:eastAsia="宋体" w:cs="宋体"/>
          <w:color w:val="auto"/>
          <w:szCs w:val="24"/>
          <w:lang w:eastAsia="zh-CN"/>
        </w:rPr>
        <w:t>磋商</w:t>
      </w:r>
      <w:r>
        <w:rPr>
          <w:rFonts w:hint="eastAsia" w:ascii="宋体" w:hAnsi="宋体" w:eastAsia="宋体" w:cs="宋体"/>
          <w:color w:val="auto"/>
          <w:szCs w:val="24"/>
        </w:rPr>
        <w:t>有效期满足文件要求；</w:t>
      </w:r>
    </w:p>
    <w:p w14:paraId="3B04E7B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2.5</w:t>
      </w:r>
      <w:r>
        <w:rPr>
          <w:rFonts w:hint="eastAsia" w:ascii="宋体" w:hAnsi="宋体" w:eastAsia="宋体" w:cs="宋体"/>
          <w:color w:val="auto"/>
          <w:szCs w:val="24"/>
          <w:lang w:val="en-US" w:eastAsia="zh-CN"/>
        </w:rPr>
        <w:t xml:space="preserve"> </w:t>
      </w:r>
      <w:r>
        <w:rPr>
          <w:rFonts w:hint="eastAsia" w:ascii="宋体" w:hAnsi="宋体" w:eastAsia="宋体" w:cs="宋体"/>
          <w:bCs/>
          <w:color w:val="auto"/>
          <w:kern w:val="0"/>
          <w:lang w:eastAsia="zh-CN"/>
        </w:rPr>
        <w:t>工期、</w:t>
      </w:r>
      <w:r>
        <w:rPr>
          <w:rFonts w:hint="eastAsia" w:ascii="宋体" w:hAnsi="宋体" w:eastAsia="宋体" w:cs="宋体"/>
          <w:bCs/>
          <w:color w:val="auto"/>
          <w:kern w:val="0"/>
        </w:rPr>
        <w:t>付款方式符合磋商文件要求；</w:t>
      </w:r>
    </w:p>
    <w:p w14:paraId="321704C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2.6 与磋商文件要求条款</w:t>
      </w:r>
      <w:r>
        <w:rPr>
          <w:rFonts w:hint="eastAsia" w:ascii="宋体" w:hAnsi="宋体" w:eastAsia="宋体" w:cs="宋体"/>
          <w:color w:val="auto"/>
          <w:szCs w:val="24"/>
          <w:lang w:eastAsia="zh-CN"/>
        </w:rPr>
        <w:t>无</w:t>
      </w:r>
      <w:r>
        <w:rPr>
          <w:rFonts w:hint="eastAsia" w:ascii="宋体" w:hAnsi="宋体" w:eastAsia="宋体" w:cs="宋体"/>
          <w:color w:val="auto"/>
          <w:szCs w:val="24"/>
        </w:rPr>
        <w:t>重大偏离；</w:t>
      </w:r>
    </w:p>
    <w:p w14:paraId="421CD1D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7 磋商响应文件中的商务要求逐项响应；</w:t>
      </w:r>
    </w:p>
    <w:p w14:paraId="65B2D05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lang w:val="en-US" w:eastAsia="zh-CN"/>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8 磋商响应文件未按照磋商文件的要求编写；</w:t>
      </w:r>
    </w:p>
    <w:p w14:paraId="219DE13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lang w:eastAsia="zh-CN"/>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9 法律、法规及</w:t>
      </w:r>
      <w:r>
        <w:rPr>
          <w:rFonts w:hint="eastAsia" w:ascii="宋体" w:hAnsi="宋体" w:eastAsia="宋体" w:cs="宋体"/>
          <w:color w:val="auto"/>
          <w:szCs w:val="24"/>
        </w:rPr>
        <w:t>磋商文件规定的其他要求</w:t>
      </w:r>
      <w:r>
        <w:rPr>
          <w:rFonts w:hint="eastAsia" w:ascii="宋体" w:hAnsi="宋体" w:eastAsia="宋体" w:cs="宋体"/>
          <w:color w:val="auto"/>
          <w:szCs w:val="24"/>
          <w:lang w:eastAsia="zh-CN"/>
        </w:rPr>
        <w:t>。</w:t>
      </w:r>
    </w:p>
    <w:p w14:paraId="5C2AC05E">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lang w:val="en-US" w:eastAsia="zh-CN"/>
        </w:rPr>
        <w:t>3、</w:t>
      </w:r>
      <w:r>
        <w:rPr>
          <w:rFonts w:hint="eastAsia" w:ascii="宋体" w:hAnsi="宋体" w:eastAsia="宋体" w:cs="宋体"/>
          <w:color w:val="auto"/>
          <w:szCs w:val="24"/>
        </w:rPr>
        <w:t>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2BF700D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lang w:val="en-US" w:eastAsia="zh-CN"/>
        </w:rPr>
        <w:t>3</w:t>
      </w:r>
      <w:r>
        <w:rPr>
          <w:rFonts w:hint="eastAsia" w:ascii="宋体" w:hAnsi="宋体" w:eastAsia="宋体" w:cs="宋体"/>
          <w:color w:val="auto"/>
          <w:szCs w:val="24"/>
        </w:rPr>
        <w:t>.1澄清文件将作为响应文件的一部分。</w:t>
      </w:r>
    </w:p>
    <w:p w14:paraId="205D56D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lang w:val="en-US" w:eastAsia="zh-CN"/>
        </w:rPr>
        <w:t>3</w:t>
      </w:r>
      <w:r>
        <w:rPr>
          <w:rFonts w:hint="eastAsia" w:ascii="宋体" w:hAnsi="宋体" w:eastAsia="宋体" w:cs="宋体"/>
          <w:color w:val="auto"/>
          <w:szCs w:val="24"/>
        </w:rPr>
        <w:t>.2算术错误将按以下方法更正：</w:t>
      </w:r>
    </w:p>
    <w:p w14:paraId="02BFE6D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lang w:val="en-US" w:eastAsia="zh-CN"/>
        </w:rPr>
        <w:t>3</w:t>
      </w:r>
      <w:r>
        <w:rPr>
          <w:rFonts w:hint="eastAsia" w:ascii="宋体" w:hAnsi="宋体" w:eastAsia="宋体" w:cs="宋体"/>
          <w:color w:val="auto"/>
          <w:szCs w:val="24"/>
        </w:rPr>
        <w:t>.2.1响应文件的大写金额和小写金额不一致的，以大写金额为准；</w:t>
      </w:r>
    </w:p>
    <w:p w14:paraId="3D0442C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lang w:val="en-US" w:eastAsia="zh-CN"/>
        </w:rPr>
        <w:t>3</w:t>
      </w:r>
      <w:r>
        <w:rPr>
          <w:rFonts w:hint="eastAsia" w:ascii="宋体" w:hAnsi="宋体" w:eastAsia="宋体" w:cs="宋体"/>
          <w:color w:val="auto"/>
          <w:szCs w:val="24"/>
        </w:rPr>
        <w:t>.2.2总价金额与按单价汇总金额不一致的，以单价金额计算结果为准；</w:t>
      </w:r>
    </w:p>
    <w:p w14:paraId="076F779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lang w:val="en-US" w:eastAsia="zh-CN"/>
        </w:rPr>
        <w:t>3</w:t>
      </w:r>
      <w:r>
        <w:rPr>
          <w:rFonts w:hint="eastAsia" w:ascii="宋体" w:hAnsi="宋体" w:eastAsia="宋体" w:cs="宋体"/>
          <w:color w:val="auto"/>
          <w:szCs w:val="24"/>
        </w:rPr>
        <w:t>.2.3单价金额小数点有明显错位的，应当以总价为准，并修改单价；</w:t>
      </w:r>
    </w:p>
    <w:p w14:paraId="6AB46DC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2.2.4对不同文字文本磋商响应文件的解释发生异议的，以中文文本为准；</w:t>
      </w:r>
    </w:p>
    <w:p w14:paraId="5EAA843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lang w:val="en-US" w:eastAsia="zh-CN"/>
        </w:rPr>
        <w:t>3</w:t>
      </w:r>
      <w:r>
        <w:rPr>
          <w:rFonts w:hint="eastAsia" w:ascii="宋体" w:hAnsi="宋体" w:eastAsia="宋体" w:cs="宋体"/>
          <w:color w:val="auto"/>
          <w:szCs w:val="24"/>
        </w:rPr>
        <w:t>.2.5对于供应商不接受对其错误的更改，其磋商属于无效磋商情形。</w:t>
      </w:r>
    </w:p>
    <w:p w14:paraId="2E61485B">
      <w:pPr>
        <w:spacing w:line="360" w:lineRule="auto"/>
        <w:rPr>
          <w:rFonts w:hint="eastAsia" w:ascii="宋体" w:hAnsi="宋体" w:eastAsia="宋体" w:cs="宋体"/>
          <w:b/>
          <w:bCs/>
          <w:color w:val="auto"/>
          <w:spacing w:val="4"/>
          <w:sz w:val="24"/>
          <w:szCs w:val="24"/>
          <w:lang w:val="en-US" w:eastAsia="zh-CN"/>
        </w:rPr>
      </w:pPr>
      <w:r>
        <w:rPr>
          <w:rFonts w:hint="eastAsia" w:ascii="宋体" w:hAnsi="宋体" w:eastAsia="宋体" w:cs="宋体"/>
          <w:b/>
          <w:bCs/>
          <w:color w:val="auto"/>
          <w:spacing w:val="4"/>
          <w:sz w:val="24"/>
          <w:szCs w:val="24"/>
          <w:lang w:val="en-US" w:eastAsia="zh-CN"/>
        </w:rPr>
        <w:t>三、享受的政府采购政策</w:t>
      </w:r>
    </w:p>
    <w:p w14:paraId="789AFBD1">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lang w:eastAsia="zh-CN"/>
        </w:rPr>
      </w:pPr>
      <w:r>
        <w:rPr>
          <w:rFonts w:hint="eastAsia" w:ascii="宋体" w:hAnsi="宋体" w:eastAsia="宋体" w:cs="宋体"/>
          <w:color w:val="auto"/>
          <w:sz w:val="24"/>
          <w:szCs w:val="20"/>
          <w:lang w:val="en-US" w:eastAsia="zh-CN"/>
        </w:rPr>
        <w:t>1、</w:t>
      </w:r>
      <w:r>
        <w:rPr>
          <w:rFonts w:hint="eastAsia" w:ascii="宋体" w:hAnsi="宋体" w:eastAsia="宋体" w:cs="宋体"/>
          <w:color w:val="auto"/>
          <w:sz w:val="24"/>
          <w:szCs w:val="20"/>
        </w:rPr>
        <w:t>落实政府采购政策：落实促进支持中小企业、监狱企业、残疾人福利性单位发展、脱贫攻坚工作的政策</w:t>
      </w:r>
      <w:r>
        <w:rPr>
          <w:rFonts w:hint="eastAsia" w:ascii="宋体" w:hAnsi="宋体" w:eastAsia="宋体" w:cs="宋体"/>
          <w:color w:val="auto"/>
          <w:sz w:val="24"/>
          <w:szCs w:val="20"/>
          <w:lang w:eastAsia="zh-CN"/>
        </w:rPr>
        <w:t>。</w:t>
      </w:r>
    </w:p>
    <w:p w14:paraId="3F4C13C5">
      <w:pPr>
        <w:keepLines w:val="0"/>
        <w:pageBreakBefore w:val="0"/>
        <w:numPr>
          <w:ilvl w:val="0"/>
          <w:numId w:val="0"/>
        </w:numPr>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1.1针对中小型企业的说明：</w:t>
      </w:r>
    </w:p>
    <w:p w14:paraId="43A1EB4E">
      <w:pPr>
        <w:keepLines w:val="0"/>
        <w:pageBreakBefore w:val="0"/>
        <w:numPr>
          <w:ilvl w:val="0"/>
          <w:numId w:val="0"/>
        </w:numPr>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根据《政府采购促进中小企业发展管理办法》（财库〔2020〕46号）及《中小企业划型标准规定》（工信部联企业〔2011〕300号）</w:t>
      </w:r>
      <w:r>
        <w:rPr>
          <w:rFonts w:hint="eastAsia" w:ascii="宋体" w:hAnsi="宋体" w:eastAsia="宋体" w:cs="宋体"/>
          <w:b/>
          <w:bCs/>
          <w:color w:val="auto"/>
          <w:spacing w:val="4"/>
          <w:sz w:val="24"/>
          <w:szCs w:val="24"/>
          <w:lang w:val="en-US" w:eastAsia="zh-CN"/>
        </w:rPr>
        <w:t>。</w:t>
      </w:r>
      <w:r>
        <w:rPr>
          <w:rFonts w:hint="eastAsia" w:ascii="宋体" w:hAnsi="宋体" w:eastAsia="宋体" w:cs="宋体"/>
          <w:color w:val="auto"/>
          <w:spacing w:val="4"/>
          <w:sz w:val="24"/>
          <w:szCs w:val="24"/>
          <w:lang w:val="en-US" w:eastAsia="zh-CN"/>
        </w:rPr>
        <w:t>不允许大型及以上企业参与投标,响应单位不再享受价格分优惠。中小微企业在响应文件中,必须提供《中小企业声明函》。未在响应文件中提供《中小企业声明函》,其响应文件为不实质响应采购文件,为无效响应。</w:t>
      </w:r>
    </w:p>
    <w:p w14:paraId="64DB5F14">
      <w:pPr>
        <w:keepLines w:val="0"/>
        <w:pageBreakBefore w:val="0"/>
        <w:numPr>
          <w:ilvl w:val="0"/>
          <w:numId w:val="0"/>
        </w:numPr>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p>
    <w:p w14:paraId="7235DEDC">
      <w:pPr>
        <w:keepLines w:val="0"/>
        <w:pageBreakBefore w:val="0"/>
        <w:numPr>
          <w:ilvl w:val="0"/>
          <w:numId w:val="0"/>
        </w:numPr>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auto"/>
          <w:szCs w:val="20"/>
          <w:lang w:val="en-US" w:eastAsia="zh-CN"/>
        </w:rPr>
      </w:pPr>
      <w:r>
        <w:rPr>
          <w:rFonts w:hint="eastAsia" w:ascii="宋体" w:hAnsi="宋体" w:eastAsia="宋体" w:cs="宋体"/>
          <w:color w:val="auto"/>
          <w:spacing w:val="4"/>
          <w:sz w:val="24"/>
          <w:szCs w:val="24"/>
          <w:lang w:val="en-US" w:eastAsia="zh-CN"/>
        </w:rPr>
        <w:t>如投标人提供虚假材料，将按“政府采购法”相关规定处理并由政府监管部门给予严肃处理。</w:t>
      </w:r>
    </w:p>
    <w:p w14:paraId="381BEE59">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lang w:eastAsia="zh-CN"/>
        </w:rPr>
      </w:pPr>
      <w:r>
        <w:rPr>
          <w:rFonts w:hint="eastAsia" w:ascii="宋体" w:hAnsi="宋体" w:eastAsia="宋体" w:cs="宋体"/>
          <w:color w:val="auto"/>
          <w:sz w:val="24"/>
          <w:szCs w:val="20"/>
          <w:lang w:val="en-US" w:eastAsia="zh-CN"/>
        </w:rPr>
        <w:t>1.2、</w:t>
      </w:r>
      <w:r>
        <w:rPr>
          <w:rFonts w:hint="eastAsia" w:ascii="宋体" w:hAnsi="宋体" w:eastAsia="宋体" w:cs="宋体"/>
          <w:color w:val="auto"/>
          <w:sz w:val="24"/>
          <w:szCs w:val="20"/>
        </w:rPr>
        <w:t>落实政府采购政策：落实促进支持中小企业、监狱企业、残疾人福利性单位发展、脱贫攻坚工作的政策(</w:t>
      </w:r>
      <w:r>
        <w:rPr>
          <w:rFonts w:hint="eastAsia" w:ascii="宋体" w:hAnsi="宋体" w:eastAsia="宋体" w:cs="宋体"/>
          <w:b/>
          <w:bCs/>
          <w:color w:val="auto"/>
          <w:sz w:val="24"/>
          <w:szCs w:val="20"/>
          <w:lang w:eastAsia="zh-CN"/>
        </w:rPr>
        <w:t>不</w:t>
      </w:r>
      <w:r>
        <w:rPr>
          <w:rFonts w:hint="eastAsia" w:ascii="宋体" w:hAnsi="宋体" w:eastAsia="宋体" w:cs="宋体"/>
          <w:b/>
          <w:bCs/>
          <w:color w:val="auto"/>
          <w:sz w:val="24"/>
          <w:szCs w:val="20"/>
        </w:rPr>
        <w:t>专门面向中小企业的采购项目（或采购包），执行</w:t>
      </w:r>
      <w:r>
        <w:rPr>
          <w:rFonts w:hint="eastAsia" w:ascii="宋体" w:hAnsi="宋体" w:eastAsia="宋体" w:cs="宋体"/>
          <w:b/>
          <w:bCs/>
          <w:color w:val="auto"/>
          <w:sz w:val="24"/>
          <w:szCs w:val="20"/>
          <w:lang w:eastAsia="zh-CN"/>
        </w:rPr>
        <w:t>以下</w:t>
      </w:r>
      <w:r>
        <w:rPr>
          <w:rFonts w:hint="eastAsia" w:ascii="宋体" w:hAnsi="宋体" w:eastAsia="宋体" w:cs="宋体"/>
          <w:b/>
          <w:bCs/>
          <w:color w:val="auto"/>
          <w:sz w:val="24"/>
          <w:szCs w:val="20"/>
        </w:rPr>
        <w:t>条款</w:t>
      </w:r>
      <w:r>
        <w:rPr>
          <w:rFonts w:hint="eastAsia" w:ascii="宋体" w:hAnsi="宋体" w:eastAsia="宋体" w:cs="宋体"/>
          <w:color w:val="auto"/>
          <w:sz w:val="24"/>
          <w:szCs w:val="20"/>
        </w:rPr>
        <w:t>)</w:t>
      </w:r>
      <w:r>
        <w:rPr>
          <w:rFonts w:hint="eastAsia" w:ascii="宋体" w:hAnsi="宋体" w:eastAsia="宋体" w:cs="宋体"/>
          <w:b/>
          <w:bCs/>
          <w:color w:val="auto"/>
          <w:sz w:val="24"/>
          <w:szCs w:val="20"/>
          <w:lang w:eastAsia="zh-CN"/>
        </w:rPr>
        <w:t>。</w:t>
      </w:r>
    </w:p>
    <w:p w14:paraId="1F4227EF">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1.2.1</w:t>
      </w:r>
      <w:r>
        <w:rPr>
          <w:rFonts w:hint="eastAsia" w:ascii="宋体" w:hAnsi="宋体" w:eastAsia="宋体" w:cs="宋体"/>
          <w:color w:val="auto"/>
          <w:sz w:val="24"/>
          <w:szCs w:val="20"/>
        </w:rPr>
        <w:t>《政府采购促进中小企业发展管理办法》（财库〔2020〕46号）</w:t>
      </w:r>
    </w:p>
    <w:p w14:paraId="741DE293">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在政府采购活动中，供应商提供的货物、工程或者服务符合下列情形的，享受《办法》规定的中小企业扶持政策:</w:t>
      </w:r>
    </w:p>
    <w:p w14:paraId="7C483E11">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(一)在货物采购项目中，货物由中小企业制造，即货物由中小企业生产且使用该中小企业商号或者注册商标；</w:t>
      </w:r>
    </w:p>
    <w:p w14:paraId="59D2ABB0">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(二)在工程采购项目中，工程由中小企业承建，即工程施工单位为中小企业；</w:t>
      </w:r>
    </w:p>
    <w:p w14:paraId="672EFDD9">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(三)在服务采购项目中，服务由中小企业承接，即提供服务的人员为中小企业依照《中华人民共和国民法典》订立劳动合同的从业人员。</w:t>
      </w:r>
    </w:p>
    <w:p w14:paraId="7FD5B383">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在货物采购项目中，供应商提供的货物既有中小企业制造货物，也有大型企业制造货物的，不享受《办法》规定的中小企业扶持政策。</w:t>
      </w:r>
    </w:p>
    <w:p w14:paraId="2EBDD4E1">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以联合体形式参加政府采购活动，联合体各方均为中小企业的，联合体视同中小企业。其中，联合体各方均为小微企业的，联合体视同小微企业。</w:t>
      </w:r>
    </w:p>
    <w:p w14:paraId="1C72C4E9">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依据《办法》规定享受扶持政策获得政府采购合同的，小微企业不得将合同分包给大中型企业，中型企业不得将合同分包给大型企业。</w:t>
      </w:r>
    </w:p>
    <w:p w14:paraId="7AB4F375">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根据《政府采购促进中小企业发展管理办法》的通知（财库〔2020〕46号）规定，参加政府采购活动的中小企业应当提供《中小企业声明函》。供应商提供的《中小企业声明函》原件必须真实，否则，按照有关规定予以处理。</w:t>
      </w:r>
    </w:p>
    <w:p w14:paraId="551DC58D">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根据《政府采购促进中小企业发展管理办法》（财库〔2020〕46号）及《关于进一步加大政府采购支持中小企业力度的通知》财库〔2022〕19号的相关规定，</w:t>
      </w:r>
      <w:r>
        <w:rPr>
          <w:rFonts w:hint="eastAsia" w:ascii="宋体" w:hAnsi="宋体" w:eastAsia="宋体" w:cs="宋体"/>
          <w:color w:val="auto"/>
          <w:sz w:val="24"/>
          <w:szCs w:val="20"/>
          <w:lang w:eastAsia="zh-CN"/>
        </w:rPr>
        <w:t>货物服务</w:t>
      </w:r>
      <w:r>
        <w:rPr>
          <w:rFonts w:hint="eastAsia" w:ascii="宋体" w:hAnsi="宋体" w:eastAsia="宋体" w:cs="宋体"/>
          <w:color w:val="auto"/>
          <w:sz w:val="24"/>
          <w:szCs w:val="20"/>
        </w:rPr>
        <w:t>小微企业报价给予</w:t>
      </w:r>
      <w:r>
        <w:rPr>
          <w:rFonts w:hint="eastAsia" w:ascii="宋体" w:hAnsi="宋体" w:eastAsia="宋体" w:cs="宋体"/>
          <w:color w:val="auto"/>
          <w:sz w:val="24"/>
          <w:szCs w:val="20"/>
          <w:lang w:val="en-US" w:eastAsia="zh-CN"/>
        </w:rPr>
        <w:t>2</w:t>
      </w:r>
      <w:r>
        <w:rPr>
          <w:rFonts w:hint="eastAsia" w:ascii="宋体" w:hAnsi="宋体" w:eastAsia="宋体" w:cs="宋体"/>
          <w:color w:val="auto"/>
          <w:sz w:val="24"/>
          <w:szCs w:val="20"/>
        </w:rPr>
        <w:t>0%的扣除，用扣除后的价格参加评审。适用招标投标法的政府采购工程建设项目，采用综合评分法但未采用低价优先法计算价格分的，评标时应当在采用原报价进行评分的基础上增加其价格得分的3%作为其价格分。</w:t>
      </w:r>
    </w:p>
    <w:p w14:paraId="73C2DBCA">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0"/>
          <w:lang w:val="en-US" w:eastAsia="zh-CN"/>
        </w:rPr>
        <w:t>6</w:t>
      </w:r>
      <w:r>
        <w:rPr>
          <w:rFonts w:hint="eastAsia" w:ascii="宋体" w:hAnsi="宋体" w:eastAsia="宋体" w:cs="宋体"/>
          <w:color w:val="auto"/>
          <w:sz w:val="24"/>
          <w:szCs w:val="20"/>
        </w:rPr>
        <w:t>%(工程项目为1%)的扣除，用扣除后的价格参加评审。适用招标投标法的政府采购工程建设项目，采用综合评分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26081732">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1.2.2</w:t>
      </w:r>
      <w:r>
        <w:rPr>
          <w:rFonts w:hint="eastAsia" w:ascii="宋体" w:hAnsi="宋体" w:eastAsia="宋体" w:cs="宋体"/>
          <w:color w:val="auto"/>
          <w:sz w:val="24"/>
          <w:szCs w:val="20"/>
        </w:rPr>
        <w:t>《财政部 司法部关于政府采购支持监狱企业发展有关问题的通知》（财库〔2014〕68号）</w:t>
      </w:r>
    </w:p>
    <w:p w14:paraId="61512283">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监狱企业参加政府采购活动时，应当提供由省级以上监狱管理局、戒毒管理局（含新疆生产建设兵团）出具的属于监狱企业的证明文件。在政府采购活动中，监狱企业视同小型、微型企业。</w:t>
      </w:r>
    </w:p>
    <w:p w14:paraId="417B9D85">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1.2.3</w:t>
      </w:r>
      <w:r>
        <w:rPr>
          <w:rFonts w:hint="eastAsia" w:ascii="宋体" w:hAnsi="宋体" w:eastAsia="宋体" w:cs="宋体"/>
          <w:color w:val="auto"/>
          <w:sz w:val="24"/>
          <w:szCs w:val="20"/>
        </w:rPr>
        <w:t>《三部门联合发布关于促进残疾人就业政府采购政策的通知》（财库〔2017〕141号）；</w:t>
      </w:r>
    </w:p>
    <w:p w14:paraId="4DD2D086">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符合条件的残疾人福利性单位在参加政府采购活动时，应当提供本通知规定的《残疾人福利性单位声明函》，并对声明的真实性负责。在政府采购活动中，残疾人福利性单位视同小型、微型企业，享受预留份额。  </w:t>
      </w:r>
    </w:p>
    <w:p w14:paraId="74B78892">
      <w:pPr>
        <w:keepLines w:val="0"/>
        <w:pageBreakBefore w:val="0"/>
        <w:tabs>
          <w:tab w:val="left" w:pos="7665"/>
        </w:tabs>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Cs w:val="20"/>
        </w:rPr>
      </w:pPr>
      <w:r>
        <w:rPr>
          <w:rFonts w:hint="eastAsia" w:ascii="宋体" w:hAnsi="宋体" w:eastAsia="宋体" w:cs="宋体"/>
          <w:b/>
          <w:bCs/>
          <w:color w:val="auto"/>
          <w:sz w:val="24"/>
          <w:szCs w:val="20"/>
          <w:lang w:val="en-US" w:eastAsia="zh-CN"/>
        </w:rPr>
        <w:t>残疾人福利性单位属于小型、微型企业的，不重复享受政策。</w:t>
      </w:r>
    </w:p>
    <w:p w14:paraId="6D8BB4EA">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2、</w:t>
      </w:r>
      <w:r>
        <w:rPr>
          <w:rFonts w:hint="eastAsia" w:ascii="宋体" w:hAnsi="宋体" w:eastAsia="宋体" w:cs="宋体"/>
          <w:color w:val="auto"/>
          <w:sz w:val="24"/>
          <w:szCs w:val="20"/>
        </w:rPr>
        <w:t>落实优先采购节能、环保产品的政策（所投产品满足以下文件要求中任意一条（及以上），其价格给予3%的扣除，用扣除后价格参与评审。</w:t>
      </w:r>
    </w:p>
    <w:p w14:paraId="3307E021">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2.1 根据《财政部 国家发展改革委关于印发〈节能产品政府采购实施意见〉的通知》（财库〔2004〕185号）规定“政府采购属于节能产品品目清单的，在技术、服务等指标同等条件下，应当优先采购节能品目清单的节能产品。”</w:t>
      </w:r>
    </w:p>
    <w:p w14:paraId="253C63AD">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02EB74A3">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02493674">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2.4根据《财政部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5EFE186">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2.5 所有投标产品进入 “节能产品政府采购品目清单”的，应提供相关证书复印件，相关证书的颁发机构应来自《参与实施政府采购节能产品认证机构名录》。</w:t>
      </w:r>
    </w:p>
    <w:p w14:paraId="1E127091">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2.6 所有投标产品进入“环境标志产品政府采购品目清单”的，应提供相关证书复印件，相关证书的颁发机构应来自《参与实施政府采购环境标志产品认证机构名录》。</w:t>
      </w:r>
    </w:p>
    <w:p w14:paraId="546A1D91">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2.7对于已列入品目清单的产品类别，采购人可在采购需求中提出更高的节约资源和保护环境要求，对符合条件的获证产品给予优先待遇。</w:t>
      </w:r>
    </w:p>
    <w:p w14:paraId="5310A47F">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2.8投标供应商在</w:t>
      </w:r>
      <w:r>
        <w:rPr>
          <w:rFonts w:hint="eastAsia" w:ascii="宋体" w:hAnsi="宋体" w:eastAsia="宋体" w:cs="宋体"/>
          <w:color w:val="auto"/>
          <w:sz w:val="24"/>
          <w:szCs w:val="20"/>
          <w:lang w:eastAsia="zh-CN"/>
        </w:rPr>
        <w:t>投标文件</w:t>
      </w:r>
      <w:r>
        <w:rPr>
          <w:rFonts w:hint="eastAsia" w:ascii="宋体" w:hAnsi="宋体" w:eastAsia="宋体" w:cs="宋体"/>
          <w:color w:val="auto"/>
          <w:sz w:val="24"/>
          <w:szCs w:val="20"/>
        </w:rPr>
        <w:t>中对所投标产品为节能、环保、环境标志产品清单中的产品，在投标报价时必须对此类产品单独分项报价，计算出小计金额。未提供节能、环保、环境标志产品计分明细表的不给予计分。</w:t>
      </w:r>
    </w:p>
    <w:p w14:paraId="02C50193">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2.9若节能、环保、环境标志清单内的产品仅是构成投标产品的部件、组件或零件的，则该投标产品不享受鼓励优惠政策。</w:t>
      </w:r>
    </w:p>
    <w:p w14:paraId="5F6A87D9">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rPr>
      </w:pPr>
      <w:r>
        <w:rPr>
          <w:rFonts w:hint="eastAsia" w:ascii="宋体" w:hAnsi="宋体" w:eastAsia="宋体" w:cs="宋体"/>
          <w:color w:val="auto"/>
          <w:sz w:val="24"/>
          <w:szCs w:val="20"/>
        </w:rPr>
        <w:t>2.10同一标段的节能、环保、环境标志产品部分计分只对属于清单内的非强制类产品进行计分，强制类产品不给予计分。</w:t>
      </w:r>
    </w:p>
    <w:p w14:paraId="6CF05B20">
      <w:pPr>
        <w:tabs>
          <w:tab w:val="left" w:pos="7665"/>
        </w:tabs>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szCs w:val="20"/>
        </w:rPr>
        <w:t>2.11节能、环保、环境标志产品不重复计分；同时列入国家级清单和省级清单的产品不重复计分。</w:t>
      </w:r>
    </w:p>
    <w:p w14:paraId="35AC7E1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4"/>
        </w:rPr>
      </w:pPr>
      <w:r>
        <w:rPr>
          <w:rFonts w:hint="eastAsia" w:ascii="宋体" w:hAnsi="宋体" w:eastAsia="宋体" w:cs="宋体"/>
          <w:b/>
          <w:bCs/>
          <w:color w:val="auto"/>
          <w:szCs w:val="24"/>
          <w:lang w:eastAsia="zh-CN"/>
        </w:rPr>
        <w:t>四</w:t>
      </w:r>
      <w:r>
        <w:rPr>
          <w:rFonts w:hint="eastAsia" w:ascii="宋体" w:hAnsi="宋体" w:eastAsia="宋体" w:cs="宋体"/>
          <w:b/>
          <w:bCs/>
          <w:color w:val="auto"/>
          <w:szCs w:val="24"/>
        </w:rPr>
        <w:t>、磋商</w:t>
      </w:r>
    </w:p>
    <w:p w14:paraId="7F070BDB">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1</w:t>
      </w:r>
      <w:r>
        <w:rPr>
          <w:rFonts w:hint="eastAsia" w:ascii="宋体" w:hAnsi="宋体" w:eastAsia="宋体" w:cs="宋体"/>
          <w:color w:val="auto"/>
          <w:szCs w:val="24"/>
          <w:lang w:val="en-US" w:eastAsia="zh-CN"/>
        </w:rPr>
        <w:t>.</w:t>
      </w:r>
      <w:r>
        <w:rPr>
          <w:rFonts w:hint="eastAsia" w:ascii="宋体" w:hAnsi="宋体" w:eastAsia="宋体" w:cs="宋体"/>
          <w:color w:val="auto"/>
          <w:szCs w:val="24"/>
        </w:rPr>
        <w:t>磋商小组根据各磋商供应商响应文件响应情况决定是否与各供应商进行磋商，磋商方式为磋商小组所有成员集中与单一供应商分别进行磋商，</w:t>
      </w:r>
      <w:r>
        <w:rPr>
          <w:rFonts w:hint="eastAsia" w:ascii="宋体" w:hAnsi="宋体" w:eastAsia="宋体" w:cs="宋体"/>
          <w:color w:val="auto"/>
          <w:szCs w:val="24"/>
          <w:lang w:eastAsia="zh-CN"/>
        </w:rPr>
        <w:t>并给予</w:t>
      </w:r>
      <w:r>
        <w:rPr>
          <w:rFonts w:hint="eastAsia" w:ascii="宋体" w:hAnsi="宋体" w:eastAsia="宋体" w:cs="宋体"/>
          <w:color w:val="auto"/>
          <w:szCs w:val="24"/>
        </w:rPr>
        <w:t>参加磋商的供应商平等的磋商机会。</w:t>
      </w:r>
    </w:p>
    <w:p w14:paraId="3F0997D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2</w:t>
      </w:r>
      <w:r>
        <w:rPr>
          <w:rFonts w:hint="eastAsia" w:ascii="宋体" w:hAnsi="宋体" w:eastAsia="宋体" w:cs="宋体"/>
          <w:color w:val="auto"/>
          <w:szCs w:val="24"/>
          <w:lang w:val="en-US" w:eastAsia="zh-CN"/>
        </w:rPr>
        <w:t>.</w:t>
      </w:r>
      <w:r>
        <w:rPr>
          <w:rFonts w:hint="eastAsia" w:ascii="宋体" w:hAnsi="宋体" w:eastAsia="宋体" w:cs="宋体"/>
          <w:color w:val="auto"/>
          <w:szCs w:val="24"/>
        </w:rPr>
        <w:t>经磋商小组评审，质量和服务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35ED5D0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w:t>
      </w:r>
      <w:r>
        <w:rPr>
          <w:rFonts w:hint="eastAsia" w:ascii="宋体" w:hAnsi="宋体" w:eastAsia="宋体" w:cs="宋体"/>
          <w:color w:val="auto"/>
          <w:szCs w:val="24"/>
        </w:rPr>
        <w:t>磋商小组认为供应商的最后报价明显不合理或者低于成本，有可能影响质量和不能诚信履约的，要求其在磋商小组规定的期限内提供书面文件予以解释说明，并提交相关证明材料；如果其不能在磋商小组规定时间</w:t>
      </w:r>
      <w:r>
        <w:rPr>
          <w:rFonts w:hint="eastAsia" w:ascii="宋体" w:hAnsi="宋体" w:eastAsia="宋体" w:cs="宋体"/>
          <w:color w:val="auto"/>
          <w:szCs w:val="24"/>
          <w:lang w:eastAsia="zh-CN"/>
        </w:rPr>
        <w:t>内</w:t>
      </w:r>
      <w:r>
        <w:rPr>
          <w:rFonts w:hint="eastAsia" w:ascii="宋体" w:hAnsi="宋体" w:eastAsia="宋体" w:cs="宋体"/>
          <w:color w:val="auto"/>
          <w:szCs w:val="24"/>
        </w:rPr>
        <w:t>提供相关材料证明其报价的合理性，其最后报价为无效报价。</w:t>
      </w:r>
    </w:p>
    <w:p w14:paraId="61323928">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Cs w:val="24"/>
        </w:rPr>
      </w:pPr>
      <w:r>
        <w:rPr>
          <w:rFonts w:hint="eastAsia" w:ascii="宋体" w:hAnsi="宋体" w:eastAsia="宋体" w:cs="宋体"/>
          <w:b/>
          <w:bCs w:val="0"/>
          <w:color w:val="auto"/>
          <w:spacing w:val="4"/>
          <w:szCs w:val="24"/>
          <w:lang w:val="en-US" w:eastAsia="zh-CN"/>
        </w:rPr>
        <w:t>五</w:t>
      </w:r>
      <w:r>
        <w:rPr>
          <w:rFonts w:hint="eastAsia" w:ascii="宋体" w:hAnsi="宋体" w:eastAsia="宋体" w:cs="宋体"/>
          <w:b/>
          <w:bCs w:val="0"/>
          <w:color w:val="auto"/>
          <w:spacing w:val="4"/>
          <w:szCs w:val="24"/>
        </w:rPr>
        <w:t>、</w:t>
      </w:r>
      <w:r>
        <w:rPr>
          <w:rFonts w:hint="eastAsia" w:ascii="宋体" w:hAnsi="宋体" w:eastAsia="宋体" w:cs="宋体"/>
          <w:b/>
          <w:bCs w:val="0"/>
          <w:color w:val="auto"/>
          <w:szCs w:val="24"/>
        </w:rPr>
        <w:t>评审方法</w:t>
      </w:r>
    </w:p>
    <w:p w14:paraId="4DB805B4">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Cs w:val="24"/>
        </w:rPr>
      </w:pPr>
      <w:r>
        <w:rPr>
          <w:rFonts w:hint="eastAsia" w:ascii="宋体" w:hAnsi="宋体" w:eastAsia="宋体" w:cs="宋体"/>
          <w:color w:val="auto"/>
          <w:szCs w:val="24"/>
        </w:rPr>
        <w:t>磋商小组从质量和服务均能满足磋商文件实质性响应要求的供应商中，按照最后得分由高到低的顺序提出成交候选人。</w:t>
      </w:r>
    </w:p>
    <w:p w14:paraId="62AACD2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color w:val="auto"/>
          <w:szCs w:val="24"/>
        </w:rPr>
      </w:pPr>
      <w:r>
        <w:rPr>
          <w:rFonts w:hint="eastAsia" w:ascii="宋体" w:hAnsi="宋体" w:eastAsia="宋体" w:cs="宋体"/>
          <w:b/>
          <w:snapToGrid w:val="0"/>
          <w:color w:val="auto"/>
          <w:szCs w:val="24"/>
        </w:rPr>
        <w:t>评分内容和评分方式</w:t>
      </w:r>
    </w:p>
    <w:p w14:paraId="4E315C5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yellow"/>
        </w:rPr>
      </w:pPr>
      <w:r>
        <w:rPr>
          <w:rFonts w:hint="eastAsia" w:ascii="宋体" w:hAnsi="宋体" w:eastAsia="宋体" w:cs="宋体"/>
          <w:color w:val="auto"/>
          <w:szCs w:val="24"/>
          <w:lang w:eastAsia="zh-CN"/>
        </w:rPr>
        <w:t>总</w:t>
      </w:r>
      <w:r>
        <w:rPr>
          <w:rFonts w:hint="eastAsia" w:ascii="宋体" w:hAnsi="宋体" w:eastAsia="宋体" w:cs="宋体"/>
          <w:color w:val="auto"/>
          <w:szCs w:val="24"/>
        </w:rPr>
        <w:t>分100分，每个供应商每项评分因素得分汇总即为最后得分，各项评分因素具体内容及打分标准如下：</w:t>
      </w:r>
    </w:p>
    <w:p w14:paraId="32E440C4">
      <w:pPr>
        <w:pageBreakBefore w:val="0"/>
        <w:kinsoku/>
        <w:wordWrap/>
        <w:overflowPunct/>
        <w:topLinePunct w:val="0"/>
        <w:autoSpaceDE/>
        <w:autoSpaceDN/>
        <w:bidi w:val="0"/>
        <w:adjustRightInd/>
        <w:snapToGrid/>
        <w:spacing w:line="360" w:lineRule="auto"/>
        <w:ind w:firstLine="496" w:firstLineChars="200"/>
        <w:textAlignment w:val="auto"/>
        <w:rPr>
          <w:rFonts w:hint="eastAsia" w:ascii="宋体" w:hAnsi="宋体" w:eastAsia="宋体" w:cs="宋体"/>
          <w:color w:val="auto"/>
          <w:spacing w:val="4"/>
          <w:szCs w:val="24"/>
        </w:rPr>
      </w:pPr>
      <w:r>
        <w:rPr>
          <w:rFonts w:hint="eastAsia" w:ascii="宋体" w:hAnsi="宋体" w:eastAsia="宋体" w:cs="宋体"/>
          <w:color w:val="auto"/>
          <w:spacing w:val="4"/>
          <w:szCs w:val="24"/>
        </w:rPr>
        <w:t>评价和比较以投标响应文件为依据，从“</w:t>
      </w:r>
      <w:r>
        <w:rPr>
          <w:rFonts w:hint="eastAsia" w:ascii="宋体" w:hAnsi="宋体" w:eastAsia="宋体" w:cs="宋体"/>
          <w:color w:val="auto"/>
          <w:spacing w:val="4"/>
          <w:szCs w:val="24"/>
          <w:lang w:eastAsia="zh-CN"/>
        </w:rPr>
        <w:t>磋商</w:t>
      </w:r>
      <w:r>
        <w:rPr>
          <w:rFonts w:hint="eastAsia" w:ascii="宋体" w:hAnsi="宋体" w:eastAsia="宋体" w:cs="宋体"/>
          <w:color w:val="auto"/>
          <w:spacing w:val="4"/>
          <w:szCs w:val="24"/>
        </w:rPr>
        <w:t>报价”、“项目实施方案”、</w:t>
      </w:r>
      <w:r>
        <w:rPr>
          <w:rFonts w:hint="eastAsia" w:ascii="宋体" w:hAnsi="宋体" w:eastAsia="宋体" w:cs="宋体"/>
          <w:color w:val="auto"/>
          <w:spacing w:val="4"/>
          <w:szCs w:val="24"/>
          <w:lang w:eastAsia="zh-CN"/>
        </w:rPr>
        <w:t>“</w:t>
      </w:r>
      <w:r>
        <w:rPr>
          <w:rFonts w:hint="eastAsia" w:ascii="宋体" w:hAnsi="宋体" w:eastAsia="宋体" w:cs="宋体"/>
          <w:b w:val="0"/>
          <w:bCs w:val="0"/>
          <w:color w:val="auto"/>
          <w:szCs w:val="24"/>
        </w:rPr>
        <w:t>业绩</w:t>
      </w:r>
      <w:r>
        <w:rPr>
          <w:rFonts w:hint="eastAsia" w:ascii="宋体" w:hAnsi="宋体" w:eastAsia="宋体" w:cs="宋体"/>
          <w:color w:val="auto"/>
          <w:spacing w:val="4"/>
          <w:szCs w:val="24"/>
          <w:lang w:eastAsia="zh-CN"/>
        </w:rPr>
        <w:t>”、“信用评审”、“项目管理机构配备情况”</w:t>
      </w:r>
      <w:r>
        <w:rPr>
          <w:rFonts w:hint="eastAsia" w:ascii="宋体" w:hAnsi="宋体" w:eastAsia="宋体" w:cs="宋体"/>
          <w:color w:val="auto"/>
          <w:spacing w:val="4"/>
          <w:szCs w:val="24"/>
        </w:rPr>
        <w:t xml:space="preserve">等方面进行评审并按照百分制进行赋分。 </w:t>
      </w:r>
    </w:p>
    <w:tbl>
      <w:tblPr>
        <w:tblStyle w:val="24"/>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474"/>
        <w:gridCol w:w="2139"/>
        <w:gridCol w:w="6026"/>
      </w:tblGrid>
      <w:tr w14:paraId="5F497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noWrap w:val="0"/>
            <w:vAlign w:val="center"/>
          </w:tcPr>
          <w:p w14:paraId="42D79EC2">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评审内容</w:t>
            </w:r>
          </w:p>
        </w:tc>
        <w:tc>
          <w:tcPr>
            <w:tcW w:w="2139" w:type="dxa"/>
            <w:noWrap w:val="0"/>
            <w:vAlign w:val="center"/>
          </w:tcPr>
          <w:p w14:paraId="082E50F2">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评审项</w:t>
            </w:r>
          </w:p>
        </w:tc>
        <w:tc>
          <w:tcPr>
            <w:tcW w:w="6026" w:type="dxa"/>
            <w:noWrap w:val="0"/>
            <w:vAlign w:val="center"/>
          </w:tcPr>
          <w:p w14:paraId="70E1F642">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评审细则</w:t>
            </w:r>
          </w:p>
        </w:tc>
      </w:tr>
      <w:tr w14:paraId="1E646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noWrap w:val="0"/>
            <w:vAlign w:val="center"/>
          </w:tcPr>
          <w:p w14:paraId="393EA435">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rPr>
              <w:t>报价</w:t>
            </w:r>
          </w:p>
          <w:p w14:paraId="67667201">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30分</w:t>
            </w:r>
            <w:r>
              <w:rPr>
                <w:rFonts w:hint="eastAsia" w:ascii="宋体" w:hAnsi="宋体" w:eastAsia="宋体" w:cs="宋体"/>
                <w:b/>
                <w:bCs/>
                <w:color w:val="auto"/>
                <w:sz w:val="24"/>
                <w:szCs w:val="24"/>
                <w:lang w:eastAsia="zh-CN"/>
              </w:rPr>
              <w:t>）</w:t>
            </w:r>
          </w:p>
        </w:tc>
        <w:tc>
          <w:tcPr>
            <w:tcW w:w="8165" w:type="dxa"/>
            <w:gridSpan w:val="2"/>
            <w:noWrap w:val="0"/>
            <w:vAlign w:val="center"/>
          </w:tcPr>
          <w:p w14:paraId="6E885886">
            <w:pPr>
              <w:spacing w:line="360" w:lineRule="auto"/>
              <w:ind w:firstLine="480" w:firstLineChars="200"/>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价格评分满分为</w:t>
            </w:r>
            <w:r>
              <w:rPr>
                <w:rFonts w:hint="eastAsia" w:ascii="宋体" w:hAnsi="宋体" w:eastAsia="宋体" w:cs="宋体"/>
                <w:color w:val="auto"/>
                <w:kern w:val="2"/>
                <w:sz w:val="24"/>
                <w:szCs w:val="24"/>
                <w:lang w:val="en-US" w:eastAsia="zh-CN" w:bidi="ar-SA"/>
              </w:rPr>
              <w:t>30</w:t>
            </w:r>
            <w:r>
              <w:rPr>
                <w:rFonts w:hint="eastAsia" w:ascii="宋体" w:hAnsi="宋体" w:eastAsia="宋体" w:cs="宋体"/>
                <w:color w:val="auto"/>
                <w:kern w:val="2"/>
                <w:sz w:val="24"/>
                <w:szCs w:val="24"/>
                <w:lang w:val="zh-CN" w:eastAsia="zh-CN" w:bidi="ar-SA"/>
              </w:rPr>
              <w:t>分，以实质性满足磋商文件要求且最终报价最低的供应商的价格为磋商基准价，其价格分为满分。其他供应商的价格分统一按照下列公式计算：</w:t>
            </w:r>
          </w:p>
          <w:p w14:paraId="150F9D41">
            <w:pPr>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zh-CN" w:eastAsia="zh-CN" w:bidi="ar-SA"/>
              </w:rPr>
              <w:t>磋商报价得分=（磋商基准价/最终磋商报价）×</w:t>
            </w:r>
            <w:r>
              <w:rPr>
                <w:rFonts w:hint="eastAsia" w:ascii="宋体" w:hAnsi="宋体" w:eastAsia="宋体" w:cs="宋体"/>
                <w:color w:val="auto"/>
                <w:kern w:val="2"/>
                <w:sz w:val="24"/>
                <w:szCs w:val="24"/>
                <w:lang w:val="en-US" w:eastAsia="zh-CN" w:bidi="ar-SA"/>
              </w:rPr>
              <w:t>30</w:t>
            </w:r>
          </w:p>
          <w:p w14:paraId="426FA8BA">
            <w:pPr>
              <w:spacing w:line="360" w:lineRule="auto"/>
              <w:ind w:firstLine="480" w:firstLineChars="200"/>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备注：计算分数时四舍五入取小数点后两位。</w:t>
            </w:r>
          </w:p>
          <w:p w14:paraId="2EF7DC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color w:val="auto"/>
                <w:kern w:val="2"/>
                <w:sz w:val="24"/>
                <w:szCs w:val="24"/>
                <w:lang w:val="zh-CN" w:eastAsia="zh-CN" w:bidi="ar-SA"/>
              </w:rPr>
              <w:t>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投标处理。</w:t>
            </w:r>
          </w:p>
        </w:tc>
      </w:tr>
      <w:tr w14:paraId="547D1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vMerge w:val="restart"/>
            <w:noWrap w:val="0"/>
            <w:vAlign w:val="center"/>
          </w:tcPr>
          <w:p w14:paraId="0BAF13A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项目实施方案（</w:t>
            </w:r>
            <w:r>
              <w:rPr>
                <w:rFonts w:hint="eastAsia" w:ascii="宋体" w:hAnsi="宋体" w:cs="宋体"/>
                <w:b/>
                <w:bCs/>
                <w:color w:val="auto"/>
                <w:sz w:val="24"/>
                <w:szCs w:val="24"/>
                <w:lang w:val="en-US" w:eastAsia="zh-CN"/>
              </w:rPr>
              <w:t>5</w:t>
            </w:r>
            <w:r>
              <w:rPr>
                <w:rFonts w:hint="eastAsia" w:ascii="宋体" w:hAnsi="宋体" w:eastAsia="宋体" w:cs="宋体"/>
                <w:b/>
                <w:bCs/>
                <w:color w:val="auto"/>
                <w:sz w:val="24"/>
                <w:szCs w:val="24"/>
                <w:lang w:val="en-US" w:eastAsia="zh-CN"/>
              </w:rPr>
              <w:t>0分</w:t>
            </w:r>
            <w:r>
              <w:rPr>
                <w:rFonts w:hint="eastAsia" w:ascii="宋体" w:hAnsi="宋体" w:eastAsia="宋体" w:cs="宋体"/>
                <w:b/>
                <w:bCs/>
                <w:color w:val="auto"/>
                <w:sz w:val="24"/>
                <w:szCs w:val="24"/>
                <w:lang w:eastAsia="zh-CN"/>
              </w:rPr>
              <w:t>）</w:t>
            </w:r>
          </w:p>
        </w:tc>
        <w:tc>
          <w:tcPr>
            <w:tcW w:w="2139" w:type="dxa"/>
            <w:tcBorders>
              <w:top w:val="single" w:color="auto" w:sz="4" w:space="0"/>
              <w:bottom w:val="single" w:color="auto" w:sz="4" w:space="0"/>
            </w:tcBorders>
            <w:noWrap w:val="0"/>
            <w:vAlign w:val="center"/>
          </w:tcPr>
          <w:p w14:paraId="20EF9FB6">
            <w:pPr>
              <w:pStyle w:val="38"/>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施工方案（</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分）</w:t>
            </w:r>
          </w:p>
        </w:tc>
        <w:tc>
          <w:tcPr>
            <w:tcW w:w="6026" w:type="dxa"/>
            <w:tcBorders>
              <w:top w:val="single" w:color="auto" w:sz="4" w:space="0"/>
              <w:bottom w:val="single" w:color="auto" w:sz="4" w:space="0"/>
            </w:tcBorders>
            <w:noWrap w:val="0"/>
            <w:vAlign w:val="top"/>
          </w:tcPr>
          <w:p w14:paraId="5817219F">
            <w:pPr>
              <w:pStyle w:val="38"/>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评审内容： 内容至少包括①施工准备；②施工方法及相关技术措施；③重点难点工程分析及解决措施。 评审标准： 1.完整性：响应全面，对评审内容中的各项要求有详细描述； 2.可实施性：内容科学，步骤清晰、合理，可实施性强； 3.针对性：能够紧扣项目实际情况，满足具体要求。 赋分标准（</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分）： ①每一项评审内容完全满足评审标准得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分； ②每一项评审内容，若存在不明确、不合理、不完整、针对性不强等方面，扣</w:t>
            </w:r>
            <w:r>
              <w:rPr>
                <w:rFonts w:hint="eastAsia" w:ascii="宋体" w:hAnsi="宋体" w:eastAsia="宋体" w:cs="宋体"/>
                <w:color w:val="auto"/>
                <w:sz w:val="24"/>
                <w:szCs w:val="24"/>
                <w:lang w:val="en-US" w:eastAsia="zh-CN"/>
              </w:rPr>
              <w:t>0-2</w:t>
            </w:r>
            <w:r>
              <w:rPr>
                <w:rFonts w:hint="eastAsia" w:ascii="宋体" w:hAnsi="宋体" w:eastAsia="宋体" w:cs="宋体"/>
                <w:color w:val="auto"/>
                <w:sz w:val="24"/>
                <w:szCs w:val="24"/>
              </w:rPr>
              <w:t>分； ③每一项评审内容不提供或完全背离评审标准得0分。</w:t>
            </w:r>
          </w:p>
        </w:tc>
      </w:tr>
      <w:tr w14:paraId="67EE4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vMerge w:val="continue"/>
            <w:noWrap w:val="0"/>
            <w:vAlign w:val="center"/>
          </w:tcPr>
          <w:p w14:paraId="5A0064D6">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rPr>
            </w:pPr>
          </w:p>
        </w:tc>
        <w:tc>
          <w:tcPr>
            <w:tcW w:w="2139" w:type="dxa"/>
            <w:tcBorders>
              <w:top w:val="single" w:color="auto" w:sz="4" w:space="0"/>
              <w:bottom w:val="single" w:color="auto" w:sz="4" w:space="0"/>
            </w:tcBorders>
            <w:noWrap w:val="0"/>
            <w:vAlign w:val="center"/>
          </w:tcPr>
          <w:p w14:paraId="00C21C6F">
            <w:pPr>
              <w:pStyle w:val="38"/>
              <w:spacing w:line="360" w:lineRule="auto"/>
              <w:jc w:val="center"/>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rPr>
              <w:t>确保工期的技术组织措施（</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tc>
        <w:tc>
          <w:tcPr>
            <w:tcW w:w="6026" w:type="dxa"/>
            <w:tcBorders>
              <w:top w:val="single" w:color="auto" w:sz="4" w:space="0"/>
              <w:bottom w:val="single" w:color="auto" w:sz="4" w:space="0"/>
            </w:tcBorders>
            <w:noWrap w:val="0"/>
            <w:vAlign w:val="top"/>
          </w:tcPr>
          <w:p w14:paraId="70F03498">
            <w:pPr>
              <w:pStyle w:val="38"/>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评审内容： 内容至少包括①施工进度计划；②工期保障措施。 评审标准： 1.完整性：响应全面，对评审内容中的各项要求有详细描述； 2.可实施性：内容科学，步骤清晰、合理，可实施性强； 3.针对性：能够紧扣项目实际情况，满足具体要求。 赋分标准（</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 ①每一项评审内容完全满足评审标准得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 ②每一项评审内容，若存在不明确、不合理、不完整、针对性不强等方面，扣</w:t>
            </w:r>
            <w:r>
              <w:rPr>
                <w:rFonts w:hint="eastAsia" w:ascii="宋体" w:hAnsi="宋体" w:eastAsia="宋体" w:cs="宋体"/>
                <w:color w:val="auto"/>
                <w:sz w:val="24"/>
                <w:szCs w:val="24"/>
                <w:lang w:val="en-US" w:eastAsia="zh-CN"/>
              </w:rPr>
              <w:t>0-2</w:t>
            </w:r>
            <w:r>
              <w:rPr>
                <w:rFonts w:hint="eastAsia" w:ascii="宋体" w:hAnsi="宋体" w:eastAsia="宋体" w:cs="宋体"/>
                <w:color w:val="auto"/>
                <w:sz w:val="24"/>
                <w:szCs w:val="24"/>
              </w:rPr>
              <w:t>分； ③每一项评审内容不提供或完全背离评审标准得0分。</w:t>
            </w:r>
          </w:p>
        </w:tc>
      </w:tr>
      <w:tr w14:paraId="5C8F9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vMerge w:val="continue"/>
            <w:noWrap w:val="0"/>
            <w:vAlign w:val="center"/>
          </w:tcPr>
          <w:p w14:paraId="2F018407">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rPr>
            </w:pPr>
          </w:p>
        </w:tc>
        <w:tc>
          <w:tcPr>
            <w:tcW w:w="2139" w:type="dxa"/>
            <w:tcBorders>
              <w:top w:val="single" w:color="auto" w:sz="4" w:space="0"/>
              <w:bottom w:val="single" w:color="auto" w:sz="4" w:space="0"/>
            </w:tcBorders>
            <w:noWrap w:val="0"/>
            <w:vAlign w:val="center"/>
          </w:tcPr>
          <w:p w14:paraId="4845EAAB">
            <w:pPr>
              <w:pStyle w:val="38"/>
              <w:spacing w:line="360" w:lineRule="auto"/>
              <w:jc w:val="center"/>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rPr>
              <w:t>确保工程质量的技术组织措施（</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tc>
        <w:tc>
          <w:tcPr>
            <w:tcW w:w="6026" w:type="dxa"/>
            <w:tcBorders>
              <w:top w:val="single" w:color="auto" w:sz="4" w:space="0"/>
              <w:bottom w:val="single" w:color="auto" w:sz="4" w:space="0"/>
            </w:tcBorders>
            <w:noWrap w:val="0"/>
            <w:vAlign w:val="top"/>
          </w:tcPr>
          <w:p w14:paraId="4DA2E7F2">
            <w:pPr>
              <w:pStyle w:val="38"/>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评审内容： 内容至少包括①质量管理体系；②施工质量保障措施。 评审标准：1.完整性：响应全面，对评审内容中的各项要求有详细描述； 2.可实施性：内容科学，步骤清晰、合理，可实施性强； 3.针对性：能够紧扣项目实际情况，满足具体要求。 赋分标准（</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 ①每一项评审内容完全满足评审标准得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 ②每一项评审内容，若存在不明确、不合理、不完整、针对性不强等方面，扣</w:t>
            </w:r>
            <w:r>
              <w:rPr>
                <w:rFonts w:hint="eastAsia" w:ascii="宋体" w:hAnsi="宋体" w:eastAsia="宋体" w:cs="宋体"/>
                <w:color w:val="auto"/>
                <w:sz w:val="24"/>
                <w:szCs w:val="24"/>
                <w:lang w:val="en-US" w:eastAsia="zh-CN"/>
              </w:rPr>
              <w:t>0-2</w:t>
            </w:r>
            <w:r>
              <w:rPr>
                <w:rFonts w:hint="eastAsia" w:ascii="宋体" w:hAnsi="宋体" w:eastAsia="宋体" w:cs="宋体"/>
                <w:color w:val="auto"/>
                <w:sz w:val="24"/>
                <w:szCs w:val="24"/>
              </w:rPr>
              <w:t>分； ③每一项评审内容不提供或完全背离评审标准得0分。</w:t>
            </w:r>
          </w:p>
        </w:tc>
      </w:tr>
      <w:tr w14:paraId="59BEB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vMerge w:val="continue"/>
            <w:noWrap w:val="0"/>
            <w:vAlign w:val="center"/>
          </w:tcPr>
          <w:p w14:paraId="29CC0141">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rPr>
            </w:pPr>
          </w:p>
        </w:tc>
        <w:tc>
          <w:tcPr>
            <w:tcW w:w="2139" w:type="dxa"/>
            <w:tcBorders>
              <w:top w:val="single" w:color="auto" w:sz="4" w:space="0"/>
              <w:bottom w:val="single" w:color="auto" w:sz="4" w:space="0"/>
            </w:tcBorders>
            <w:noWrap w:val="0"/>
            <w:vAlign w:val="center"/>
          </w:tcPr>
          <w:p w14:paraId="2BBAB20F">
            <w:pPr>
              <w:pStyle w:val="38"/>
              <w:spacing w:line="360" w:lineRule="auto"/>
              <w:jc w:val="center"/>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rPr>
              <w:t>确保安全生产的技术组织措施（</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tc>
        <w:tc>
          <w:tcPr>
            <w:tcW w:w="6026" w:type="dxa"/>
            <w:tcBorders>
              <w:top w:val="single" w:color="auto" w:sz="4" w:space="0"/>
              <w:bottom w:val="single" w:color="auto" w:sz="4" w:space="0"/>
            </w:tcBorders>
            <w:noWrap w:val="0"/>
            <w:vAlign w:val="top"/>
          </w:tcPr>
          <w:p w14:paraId="72192756">
            <w:pPr>
              <w:pStyle w:val="38"/>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评审内容： 内容至少包括①安全生产管理体系；②安全生产保证措施。 评审标准： 1.完整性：响应全面，对评审内容中的各项要求有详细描述； 2.可实施性：内容科学，步骤清晰、合理，可实施性强； 3.针对性：能够紧扣项目实际情况，满足具体要求。 赋分标准（</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 ①每一项评审内容完全满足评审标准得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 ②每一项评审内容，若存在不明确、不合理、不完整、针对性不强等方面，扣</w:t>
            </w:r>
            <w:r>
              <w:rPr>
                <w:rFonts w:hint="eastAsia" w:ascii="宋体" w:hAnsi="宋体" w:eastAsia="宋体" w:cs="宋体"/>
                <w:color w:val="auto"/>
                <w:sz w:val="24"/>
                <w:szCs w:val="24"/>
                <w:lang w:val="en-US" w:eastAsia="zh-CN"/>
              </w:rPr>
              <w:t>0-2</w:t>
            </w:r>
            <w:r>
              <w:rPr>
                <w:rFonts w:hint="eastAsia" w:ascii="宋体" w:hAnsi="宋体" w:eastAsia="宋体" w:cs="宋体"/>
                <w:color w:val="auto"/>
                <w:sz w:val="24"/>
                <w:szCs w:val="24"/>
              </w:rPr>
              <w:t>分； ③每一项评审内容不提供或完全背离评审标准得0分。</w:t>
            </w:r>
          </w:p>
        </w:tc>
      </w:tr>
      <w:tr w14:paraId="0C0EA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vMerge w:val="continue"/>
            <w:noWrap w:val="0"/>
            <w:vAlign w:val="center"/>
          </w:tcPr>
          <w:p w14:paraId="333915F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rPr>
            </w:pPr>
          </w:p>
        </w:tc>
        <w:tc>
          <w:tcPr>
            <w:tcW w:w="2139" w:type="dxa"/>
            <w:tcBorders>
              <w:top w:val="single" w:color="auto" w:sz="4" w:space="0"/>
              <w:bottom w:val="single" w:color="auto" w:sz="4" w:space="0"/>
            </w:tcBorders>
            <w:noWrap w:val="0"/>
            <w:vAlign w:val="center"/>
          </w:tcPr>
          <w:p w14:paraId="4672D156">
            <w:pPr>
              <w:pStyle w:val="38"/>
              <w:spacing w:line="360" w:lineRule="auto"/>
              <w:jc w:val="center"/>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rPr>
              <w:t>确保文明施工的技术组织措施及环境保护措施（</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w:t>
            </w:r>
          </w:p>
        </w:tc>
        <w:tc>
          <w:tcPr>
            <w:tcW w:w="6026" w:type="dxa"/>
            <w:tcBorders>
              <w:top w:val="single" w:color="auto" w:sz="4" w:space="0"/>
              <w:bottom w:val="single" w:color="auto" w:sz="4" w:space="0"/>
            </w:tcBorders>
            <w:noWrap w:val="0"/>
            <w:vAlign w:val="top"/>
          </w:tcPr>
          <w:p w14:paraId="6AFA7E59">
            <w:pPr>
              <w:pStyle w:val="38"/>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评审内容： 内容至少包括①文明施工及环境保护管理体系；②防尘降噪措施；③文明施工及环境保护措施。 评审标准： 1.完整性：响应全面，对评审内容中的各项要求有详细描述； 2.可实施性：内容科学，步骤清晰、合理，可实施性强； 3.针对性：能够紧扣项目实际情况，满足具体要求。 赋分标准（</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 ①每一项评审内容完全满足评审标准得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 ②每一项评审内容，若存在不明确、不合理、不完整、针对性不强等方面，扣</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1.5分； ③每一项评审内容不提供或完全背离评审标准得0分。</w:t>
            </w:r>
          </w:p>
        </w:tc>
      </w:tr>
      <w:tr w14:paraId="2F237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vMerge w:val="continue"/>
            <w:noWrap w:val="0"/>
            <w:vAlign w:val="center"/>
          </w:tcPr>
          <w:p w14:paraId="78B7BFEA">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rPr>
            </w:pPr>
          </w:p>
        </w:tc>
        <w:tc>
          <w:tcPr>
            <w:tcW w:w="2139" w:type="dxa"/>
            <w:tcBorders>
              <w:top w:val="single" w:color="auto" w:sz="4" w:space="0"/>
              <w:bottom w:val="single" w:color="auto" w:sz="4" w:space="0"/>
            </w:tcBorders>
            <w:noWrap w:val="0"/>
            <w:vAlign w:val="center"/>
          </w:tcPr>
          <w:p w14:paraId="7943B83A">
            <w:pPr>
              <w:pStyle w:val="38"/>
              <w:spacing w:line="360" w:lineRule="auto"/>
              <w:jc w:val="center"/>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rPr>
              <w:t>施工部署（</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w:t>
            </w:r>
          </w:p>
        </w:tc>
        <w:tc>
          <w:tcPr>
            <w:tcW w:w="6026" w:type="dxa"/>
            <w:tcBorders>
              <w:top w:val="single" w:color="auto" w:sz="4" w:space="0"/>
              <w:bottom w:val="single" w:color="auto" w:sz="4" w:space="0"/>
            </w:tcBorders>
            <w:noWrap w:val="0"/>
            <w:vAlign w:val="center"/>
          </w:tcPr>
          <w:p w14:paraId="553217E7">
            <w:pPr>
              <w:pStyle w:val="38"/>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评审内容： 内容至少包括①施工总平面布置；②施工目标：安全目标、工期目标、质量目标；③资源配备计划：主要施工机械设备、劳动力等配备计划及主材进场计划；</w:t>
            </w:r>
            <w:r>
              <w:rPr>
                <w:rFonts w:hint="eastAsia" w:ascii="宋体" w:hAnsi="宋体" w:eastAsia="宋体" w:cs="宋体"/>
                <w:color w:val="auto"/>
                <w:sz w:val="21"/>
                <w:szCs w:val="21"/>
              </w:rPr>
              <w:t>④</w:t>
            </w:r>
            <w:r>
              <w:rPr>
                <w:rFonts w:hint="eastAsia" w:ascii="宋体" w:hAnsi="宋体" w:eastAsia="宋体" w:cs="宋体"/>
                <w:color w:val="auto"/>
                <w:sz w:val="24"/>
                <w:szCs w:val="24"/>
              </w:rPr>
              <w:t>项目经理部组成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评审标准： 1.完整性：响应全面，对评审内容中的各项要求有详细描述； 2.可实施性：内容科学，步骤清晰、合理，可实施性强； 3.针对性：能够紧扣项目实际情况，满足具体要求。赋分标准（</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 ①每一项评审内容完全满足评审标准得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 ②每一项评审内容，若存在不明确、不合理、不完整、针对性不强等方面，扣</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1.5分； ③每一项评审内容不提供或完全背离评审标准得0分。</w:t>
            </w:r>
          </w:p>
        </w:tc>
      </w:tr>
      <w:tr w14:paraId="1C844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474" w:type="dxa"/>
            <w:tcBorders>
              <w:top w:val="single" w:color="auto" w:sz="4" w:space="0"/>
              <w:bottom w:val="single" w:color="auto" w:sz="4" w:space="0"/>
            </w:tcBorders>
            <w:noWrap w:val="0"/>
            <w:vAlign w:val="center"/>
          </w:tcPr>
          <w:p w14:paraId="4E0825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color w:val="0000FF"/>
                <w:kern w:val="0"/>
                <w:sz w:val="24"/>
                <w:szCs w:val="24"/>
                <w:lang w:val="en-US" w:eastAsia="zh-CN"/>
              </w:rPr>
            </w:pPr>
            <w:r>
              <w:rPr>
                <w:rFonts w:hint="eastAsia" w:ascii="宋体" w:hAnsi="宋体" w:eastAsia="宋体" w:cs="宋体"/>
                <w:color w:val="000000"/>
                <w:kern w:val="0"/>
                <w:sz w:val="24"/>
                <w:szCs w:val="24"/>
                <w:lang w:val="en-US" w:eastAsia="zh-CN"/>
              </w:rPr>
              <w:t>类似项目业绩</w:t>
            </w:r>
            <w:r>
              <w:rPr>
                <w:rFonts w:hint="eastAsia" w:ascii="宋体" w:hAnsi="宋体" w:eastAsia="宋体" w:cs="宋体"/>
                <w:color w:val="000000"/>
                <w:kern w:val="0"/>
                <w:sz w:val="24"/>
                <w:szCs w:val="24"/>
                <w:lang w:val="en-US" w:eastAsia="zh-Hans"/>
              </w:rPr>
              <w:t>(</w:t>
            </w:r>
            <w:r>
              <w:rPr>
                <w:rFonts w:hint="eastAsia" w:ascii="宋体" w:hAnsi="宋体" w:cs="宋体"/>
                <w:color w:val="000000"/>
                <w:kern w:val="0"/>
                <w:sz w:val="24"/>
                <w:szCs w:val="24"/>
                <w:lang w:val="en-US" w:eastAsia="zh-CN"/>
              </w:rPr>
              <w:t>4</w:t>
            </w:r>
            <w:r>
              <w:rPr>
                <w:rFonts w:hint="eastAsia" w:ascii="宋体" w:hAnsi="宋体" w:eastAsia="宋体" w:cs="宋体"/>
                <w:color w:val="000000"/>
                <w:kern w:val="0"/>
                <w:sz w:val="24"/>
                <w:szCs w:val="24"/>
                <w:lang w:val="en-US" w:eastAsia="zh-Hans"/>
              </w:rPr>
              <w:t>分)</w:t>
            </w:r>
          </w:p>
        </w:tc>
        <w:tc>
          <w:tcPr>
            <w:tcW w:w="8165" w:type="dxa"/>
            <w:gridSpan w:val="2"/>
            <w:tcBorders>
              <w:top w:val="single" w:color="auto" w:sz="4" w:space="0"/>
              <w:bottom w:val="single" w:color="auto" w:sz="4" w:space="0"/>
            </w:tcBorders>
            <w:noWrap w:val="0"/>
            <w:vAlign w:val="center"/>
          </w:tcPr>
          <w:p w14:paraId="75F9150A">
            <w:pPr>
              <w:spacing w:before="243" w:line="360" w:lineRule="auto"/>
              <w:ind w:left="8"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须提供 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xml:space="preserve"> 年 </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 xml:space="preserve"> 月 1 日至今类似</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消防改造</w:t>
            </w:r>
            <w:r>
              <w:rPr>
                <w:rFonts w:hint="eastAsia" w:ascii="宋体" w:hAnsi="宋体" w:cs="宋体"/>
                <w:color w:val="000000"/>
                <w:sz w:val="24"/>
                <w:szCs w:val="24"/>
                <w:lang w:eastAsia="zh-CN"/>
              </w:rPr>
              <w:t>）</w:t>
            </w:r>
            <w:r>
              <w:rPr>
                <w:rFonts w:hint="eastAsia" w:ascii="宋体" w:hAnsi="宋体" w:eastAsia="宋体" w:cs="宋体"/>
                <w:color w:val="000000"/>
                <w:sz w:val="24"/>
                <w:szCs w:val="24"/>
              </w:rPr>
              <w:t>项目业绩合同（以合同签订时间为准）</w:t>
            </w:r>
            <w:r>
              <w:rPr>
                <w:rFonts w:hint="eastAsia" w:ascii="宋体" w:hAnsi="宋体" w:eastAsia="宋体" w:cs="宋体"/>
                <w:color w:val="000000"/>
                <w:sz w:val="24"/>
                <w:szCs w:val="24"/>
                <w:lang w:val="en-US" w:eastAsia="zh-CN"/>
              </w:rPr>
              <w:t>或中标通知书</w:t>
            </w:r>
            <w:r>
              <w:rPr>
                <w:rFonts w:hint="eastAsia" w:ascii="宋体" w:hAnsi="宋体" w:eastAsia="宋体" w:cs="宋体"/>
                <w:color w:val="000000"/>
                <w:sz w:val="24"/>
                <w:szCs w:val="24"/>
              </w:rPr>
              <w:t>；一个业绩得</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rPr>
              <w:t>分，最高得</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分；</w:t>
            </w:r>
          </w:p>
          <w:p w14:paraId="1E8EC4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FF"/>
                <w:kern w:val="0"/>
                <w:sz w:val="24"/>
                <w:szCs w:val="24"/>
                <w:lang w:val="en-US" w:eastAsia="zh-CN"/>
              </w:rPr>
            </w:pPr>
            <w:r>
              <w:rPr>
                <w:rFonts w:hint="eastAsia" w:ascii="宋体" w:hAnsi="宋体" w:eastAsia="宋体" w:cs="宋体"/>
                <w:color w:val="000000"/>
                <w:sz w:val="24"/>
                <w:szCs w:val="24"/>
              </w:rPr>
              <w:t>评审依据：须提供加盖</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公章的业绩合同复印件或扫描件（包含合同主要内容及签字盖章等关键信息，未提供或提供业绩合同不齐全的不得分）。</w:t>
            </w:r>
          </w:p>
        </w:tc>
      </w:tr>
      <w:tr w14:paraId="78F56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70" w:hRule="atLeast"/>
          <w:jc w:val="center"/>
        </w:trPr>
        <w:tc>
          <w:tcPr>
            <w:tcW w:w="1474" w:type="dxa"/>
            <w:tcBorders>
              <w:top w:val="single" w:color="auto" w:sz="4" w:space="0"/>
              <w:bottom w:val="single" w:color="auto" w:sz="4" w:space="0"/>
            </w:tcBorders>
            <w:noWrap w:val="0"/>
            <w:vAlign w:val="center"/>
          </w:tcPr>
          <w:p w14:paraId="3637A4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信用评审</w:t>
            </w:r>
          </w:p>
          <w:p w14:paraId="7EB85D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w:t>
            </w:r>
            <w:r>
              <w:rPr>
                <w:rFonts w:hint="eastAsia" w:ascii="宋体" w:hAnsi="宋体" w:cs="宋体"/>
                <w:color w:val="000000"/>
                <w:kern w:val="0"/>
                <w:sz w:val="24"/>
                <w:szCs w:val="24"/>
                <w:lang w:val="en-US" w:eastAsia="zh-CN"/>
              </w:rPr>
              <w:t>10</w:t>
            </w:r>
            <w:r>
              <w:rPr>
                <w:rFonts w:hint="eastAsia" w:ascii="宋体" w:hAnsi="宋体" w:eastAsia="宋体" w:cs="宋体"/>
                <w:color w:val="000000"/>
                <w:kern w:val="0"/>
                <w:sz w:val="24"/>
                <w:szCs w:val="24"/>
                <w:lang w:val="en-US" w:eastAsia="zh-CN"/>
              </w:rPr>
              <w:t>分）</w:t>
            </w:r>
          </w:p>
        </w:tc>
        <w:tc>
          <w:tcPr>
            <w:tcW w:w="8165" w:type="dxa"/>
            <w:gridSpan w:val="2"/>
            <w:tcBorders>
              <w:top w:val="single" w:color="auto" w:sz="4" w:space="0"/>
              <w:bottom w:val="single" w:color="auto" w:sz="4" w:space="0"/>
            </w:tcBorders>
            <w:noWrap w:val="0"/>
            <w:vAlign w:val="center"/>
          </w:tcPr>
          <w:p w14:paraId="56FC5DCF">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0" w:firstLineChars="0"/>
              <w:jc w:val="both"/>
              <w:textAlignment w:val="baseline"/>
              <w:rPr>
                <w:spacing w:val="0"/>
                <w:position w:val="0"/>
                <w:sz w:val="24"/>
                <w:szCs w:val="24"/>
              </w:rPr>
            </w:pPr>
            <w:r>
              <w:rPr>
                <w:spacing w:val="0"/>
                <w:position w:val="0"/>
                <w:sz w:val="24"/>
                <w:szCs w:val="24"/>
              </w:rPr>
              <w:t>投标人、拟派本项目负责人，在“信用中国 ”均无不良信用记录的得</w:t>
            </w:r>
            <w:r>
              <w:rPr>
                <w:rFonts w:hint="eastAsia"/>
                <w:spacing w:val="0"/>
                <w:position w:val="0"/>
                <w:sz w:val="24"/>
                <w:szCs w:val="24"/>
                <w:lang w:val="en-US" w:eastAsia="zh-CN"/>
              </w:rPr>
              <w:t>10</w:t>
            </w:r>
            <w:r>
              <w:rPr>
                <w:spacing w:val="0"/>
                <w:position w:val="0"/>
                <w:sz w:val="24"/>
                <w:szCs w:val="24"/>
              </w:rPr>
              <w:t>分。有不良信用记录的</w:t>
            </w:r>
            <w:r>
              <w:rPr>
                <w:rFonts w:hint="eastAsia"/>
                <w:spacing w:val="0"/>
                <w:position w:val="0"/>
                <w:sz w:val="24"/>
                <w:szCs w:val="24"/>
                <w:lang w:val="en-US" w:eastAsia="zh-CN"/>
              </w:rPr>
              <w:t>10</w:t>
            </w:r>
            <w:r>
              <w:rPr>
                <w:spacing w:val="0"/>
                <w:position w:val="0"/>
                <w:sz w:val="24"/>
                <w:szCs w:val="24"/>
              </w:rPr>
              <w:t>分扣完为止，其中：投标人有围标串标、骗取中标等招投标领域违法违规行为被实施行政处罚的不良信用记录，但未被限制投标资格的，单项扣</w:t>
            </w:r>
            <w:r>
              <w:rPr>
                <w:rFonts w:hint="eastAsia"/>
                <w:spacing w:val="0"/>
                <w:position w:val="0"/>
                <w:sz w:val="24"/>
                <w:szCs w:val="24"/>
                <w:lang w:val="en-US" w:eastAsia="zh-CN"/>
              </w:rPr>
              <w:t>2</w:t>
            </w:r>
            <w:r>
              <w:rPr>
                <w:spacing w:val="0"/>
                <w:position w:val="0"/>
                <w:sz w:val="24"/>
                <w:szCs w:val="24"/>
              </w:rPr>
              <w:t>分；投标人、拟派本项目负责人有工程领域其他违法违规行为被实施行政处罚的，单项扣</w:t>
            </w:r>
            <w:r>
              <w:rPr>
                <w:rFonts w:hint="eastAsia"/>
                <w:spacing w:val="0"/>
                <w:position w:val="0"/>
                <w:sz w:val="24"/>
                <w:szCs w:val="24"/>
                <w:lang w:val="en-US" w:eastAsia="zh-CN"/>
              </w:rPr>
              <w:t>1</w:t>
            </w:r>
            <w:r>
              <w:rPr>
                <w:spacing w:val="0"/>
                <w:position w:val="0"/>
                <w:sz w:val="24"/>
                <w:szCs w:val="24"/>
              </w:rPr>
              <w:t>分。</w:t>
            </w:r>
          </w:p>
          <w:p w14:paraId="13DFA6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color w:val="000000"/>
                <w:sz w:val="24"/>
                <w:szCs w:val="24"/>
              </w:rPr>
            </w:pPr>
            <w:r>
              <w:rPr>
                <w:rFonts w:hint="eastAsia"/>
                <w:b/>
                <w:bCs/>
                <w:color w:val="000000"/>
                <w:spacing w:val="0"/>
                <w:position w:val="0"/>
                <w:sz w:val="24"/>
                <w:szCs w:val="24"/>
                <w:lang w:eastAsia="zh-CN"/>
              </w:rPr>
              <w:t>评审依据:</w:t>
            </w:r>
            <w:r>
              <w:rPr>
                <w:rFonts w:hint="eastAsia"/>
                <w:b w:val="0"/>
                <w:bCs w:val="0"/>
                <w:color w:val="000000"/>
                <w:spacing w:val="0"/>
                <w:position w:val="0"/>
                <w:sz w:val="24"/>
                <w:szCs w:val="24"/>
                <w:lang w:val="en-US" w:eastAsia="zh-CN"/>
              </w:rPr>
              <w:t>供应商</w:t>
            </w:r>
            <w:r>
              <w:rPr>
                <w:rFonts w:hint="eastAsia"/>
                <w:b w:val="0"/>
                <w:bCs w:val="0"/>
                <w:color w:val="000000"/>
                <w:spacing w:val="0"/>
                <w:position w:val="0"/>
                <w:sz w:val="24"/>
                <w:szCs w:val="24"/>
                <w:lang w:eastAsia="zh-CN"/>
              </w:rPr>
              <w:t>提供</w:t>
            </w:r>
            <w:r>
              <w:rPr>
                <w:rFonts w:hint="eastAsia"/>
                <w:color w:val="000000"/>
                <w:spacing w:val="0"/>
                <w:position w:val="0"/>
                <w:sz w:val="24"/>
                <w:szCs w:val="24"/>
                <w:lang w:val="en-US" w:eastAsia="en-US"/>
              </w:rPr>
              <w:t>信用中国信用记录报告</w:t>
            </w:r>
            <w:r>
              <w:rPr>
                <w:rFonts w:hint="eastAsia"/>
                <w:b w:val="0"/>
                <w:bCs w:val="0"/>
                <w:color w:val="000000"/>
                <w:spacing w:val="0"/>
                <w:position w:val="0"/>
                <w:sz w:val="24"/>
                <w:szCs w:val="24"/>
                <w:lang w:eastAsia="zh-CN"/>
              </w:rPr>
              <w:t>（其中信用报告第六部分信用承诺部分可不提供），项目负责人提供中国执行信息公开网查询无失信被执行人</w:t>
            </w:r>
            <w:r>
              <w:rPr>
                <w:rFonts w:hint="eastAsia"/>
                <w:color w:val="000000"/>
                <w:spacing w:val="0"/>
                <w:position w:val="0"/>
                <w:sz w:val="24"/>
                <w:szCs w:val="24"/>
                <w:lang w:val="en-US" w:eastAsia="en-US"/>
              </w:rPr>
              <w:t>截图。发现弄虚作假者以废标对待，且移交相关监管部门按规定严肃处理。</w:t>
            </w:r>
          </w:p>
        </w:tc>
      </w:tr>
      <w:tr w14:paraId="204AA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70" w:hRule="atLeast"/>
          <w:jc w:val="center"/>
        </w:trPr>
        <w:tc>
          <w:tcPr>
            <w:tcW w:w="1474" w:type="dxa"/>
            <w:tcBorders>
              <w:top w:val="single" w:color="auto" w:sz="4" w:space="0"/>
            </w:tcBorders>
            <w:noWrap w:val="0"/>
            <w:vAlign w:val="center"/>
          </w:tcPr>
          <w:p w14:paraId="796FD078">
            <w:pPr>
              <w:pStyle w:val="38"/>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项目管理机构配备情况</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8165" w:type="dxa"/>
            <w:gridSpan w:val="2"/>
            <w:tcBorders>
              <w:top w:val="single" w:color="auto" w:sz="4" w:space="0"/>
              <w:bottom w:val="single" w:color="auto" w:sz="4" w:space="0"/>
            </w:tcBorders>
            <w:noWrap w:val="0"/>
            <w:vAlign w:val="top"/>
          </w:tcPr>
          <w:p w14:paraId="285B5BD9">
            <w:pPr>
              <w:pStyle w:val="3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评审内容：根据拟投入本项目的其他项目管理人员（包括但不限于：技术负责人、消防设施操作员等），每提供一项计</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分，最高计</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分；</w:t>
            </w:r>
            <w:r>
              <w:rPr>
                <w:rFonts w:hint="eastAsia" w:ascii="宋体" w:hAnsi="宋体" w:cs="宋体"/>
                <w:color w:val="auto"/>
                <w:sz w:val="24"/>
                <w:szCs w:val="24"/>
                <w:lang w:val="en-US" w:eastAsia="zh-CN"/>
              </w:rPr>
              <w:t>其中技术负责人须为本单位注册的一级注册消防工程师，</w:t>
            </w:r>
            <w:r>
              <w:rPr>
                <w:rFonts w:hint="eastAsia" w:ascii="宋体" w:hAnsi="宋体" w:eastAsia="宋体" w:cs="宋体"/>
                <w:color w:val="auto"/>
                <w:sz w:val="24"/>
                <w:szCs w:val="24"/>
              </w:rPr>
              <w:t>消防设施操作员</w:t>
            </w:r>
            <w:r>
              <w:rPr>
                <w:rFonts w:hint="eastAsia" w:ascii="宋体" w:hAnsi="宋体" w:cs="宋体"/>
                <w:color w:val="auto"/>
                <w:sz w:val="24"/>
                <w:szCs w:val="24"/>
                <w:lang w:val="en-US" w:eastAsia="zh-CN"/>
              </w:rPr>
              <w:t>提供</w:t>
            </w:r>
            <w:r>
              <w:rPr>
                <w:rFonts w:hint="eastAsia" w:ascii="宋体" w:hAnsi="宋体" w:eastAsia="宋体" w:cs="宋体"/>
                <w:color w:val="auto"/>
                <w:sz w:val="24"/>
                <w:szCs w:val="24"/>
              </w:rPr>
              <w:t xml:space="preserve">岗位证等） </w:t>
            </w:r>
          </w:p>
          <w:p w14:paraId="16430289">
            <w:pPr>
              <w:pStyle w:val="38"/>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注：不提供或完全背离评审标准得0分。</w:t>
            </w:r>
          </w:p>
        </w:tc>
      </w:tr>
    </w:tbl>
    <w:p w14:paraId="3F2974DC">
      <w:pPr>
        <w:pStyle w:val="9"/>
        <w:pageBreakBefore w:val="0"/>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p w14:paraId="7AF3C2E1">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Cs w:val="24"/>
        </w:rPr>
      </w:pPr>
      <w:r>
        <w:rPr>
          <w:rFonts w:hint="eastAsia" w:ascii="宋体" w:hAnsi="宋体" w:eastAsia="宋体" w:cs="宋体"/>
          <w:color w:val="auto"/>
          <w:szCs w:val="24"/>
        </w:rPr>
        <w:t>1) 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14:paraId="44D50677">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color w:val="auto"/>
          <w:szCs w:val="24"/>
        </w:rPr>
      </w:pPr>
      <w:r>
        <w:rPr>
          <w:rFonts w:hint="eastAsia" w:ascii="宋体" w:hAnsi="宋体" w:eastAsia="宋体" w:cs="宋体"/>
          <w:color w:val="auto"/>
          <w:szCs w:val="24"/>
        </w:rPr>
        <w:t>2) 磋商响应文件中缺少某分项时，该分项为0分。</w:t>
      </w:r>
    </w:p>
    <w:p w14:paraId="143EC132">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color w:val="auto"/>
          <w:szCs w:val="24"/>
        </w:rPr>
      </w:pPr>
      <w:r>
        <w:rPr>
          <w:rFonts w:hint="eastAsia" w:ascii="宋体" w:hAnsi="宋体" w:eastAsia="宋体" w:cs="宋体"/>
          <w:color w:val="auto"/>
          <w:szCs w:val="24"/>
        </w:rPr>
        <w:t>3) 评委打分超过得分界限或未按本方法赋分时，该评委的打分按废票处理。</w:t>
      </w:r>
    </w:p>
    <w:p w14:paraId="08A10D18">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Cs w:val="24"/>
        </w:rPr>
      </w:pPr>
      <w:r>
        <w:rPr>
          <w:rFonts w:hint="eastAsia" w:ascii="宋体" w:hAnsi="宋体" w:eastAsia="宋体" w:cs="宋体"/>
          <w:color w:val="auto"/>
          <w:szCs w:val="24"/>
        </w:rPr>
        <w:t>4) 各种计算采用插入法，数字均保留两位小数，第三位“四舍五入”。</w:t>
      </w:r>
    </w:p>
    <w:p w14:paraId="034B45E5">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szCs w:val="24"/>
        </w:rPr>
      </w:pPr>
      <w:r>
        <w:rPr>
          <w:rFonts w:hint="eastAsia" w:ascii="宋体" w:hAnsi="宋体" w:eastAsia="宋体" w:cs="宋体"/>
          <w:color w:val="auto"/>
          <w:szCs w:val="24"/>
        </w:rPr>
        <w:t>5）最低报价不是中标的唯一条件。</w:t>
      </w:r>
    </w:p>
    <w:p w14:paraId="344E237E">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color w:val="auto"/>
        </w:rPr>
      </w:pPr>
      <w:r>
        <w:rPr>
          <w:rFonts w:hint="eastAsia" w:ascii="宋体" w:hAnsi="宋体" w:eastAsia="宋体" w:cs="宋体"/>
          <w:color w:val="auto"/>
          <w:szCs w:val="24"/>
        </w:rPr>
        <w:t xml:space="preserve">6）评标过程中，若出现特殊情况时，由磋商小组决定暂停评标，并提出具体处理意见。 </w:t>
      </w:r>
    </w:p>
    <w:p w14:paraId="69071002">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jc w:val="both"/>
        <w:textAlignment w:val="auto"/>
        <w:rPr>
          <w:rFonts w:hint="eastAsia" w:ascii="宋体" w:hAnsi="宋体" w:eastAsia="宋体" w:cs="宋体"/>
          <w:b/>
          <w:bCs w:val="0"/>
          <w:color w:val="auto"/>
          <w:spacing w:val="4"/>
          <w:sz w:val="24"/>
          <w:szCs w:val="24"/>
          <w:highlight w:val="none"/>
          <w:lang w:val="en-US"/>
        </w:rPr>
      </w:pPr>
      <w:r>
        <w:rPr>
          <w:rFonts w:hint="eastAsia" w:ascii="宋体" w:hAnsi="宋体" w:eastAsia="宋体" w:cs="宋体"/>
          <w:b/>
          <w:bCs w:val="0"/>
          <w:color w:val="auto"/>
          <w:spacing w:val="4"/>
          <w:kern w:val="2"/>
          <w:sz w:val="24"/>
          <w:szCs w:val="24"/>
          <w:highlight w:val="none"/>
          <w:lang w:val="en-US" w:eastAsia="zh-CN" w:bidi="ar"/>
        </w:rPr>
        <w:t>六、定标：</w:t>
      </w:r>
    </w:p>
    <w:p w14:paraId="5B337658">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firstLine="496" w:firstLineChars="200"/>
        <w:jc w:val="both"/>
        <w:textAlignment w:val="auto"/>
        <w:rPr>
          <w:rFonts w:hint="eastAsia" w:ascii="宋体" w:hAnsi="宋体" w:eastAsia="宋体" w:cs="宋体"/>
          <w:color w:val="auto"/>
          <w:spacing w:val="4"/>
          <w:kern w:val="2"/>
          <w:sz w:val="24"/>
          <w:szCs w:val="24"/>
          <w:highlight w:val="none"/>
          <w:lang w:val="en-US" w:eastAsia="zh-CN" w:bidi="ar"/>
        </w:rPr>
      </w:pPr>
      <w:r>
        <w:rPr>
          <w:rFonts w:hint="eastAsia" w:ascii="宋体" w:hAnsi="宋体" w:eastAsia="宋体" w:cs="宋体"/>
          <w:color w:val="auto"/>
          <w:spacing w:val="4"/>
          <w:kern w:val="2"/>
          <w:sz w:val="24"/>
          <w:szCs w:val="24"/>
          <w:highlight w:val="none"/>
          <w:lang w:val="en-US" w:eastAsia="zh-CN" w:bidi="ar"/>
        </w:rPr>
        <w:t>1、评标结果由全体</w:t>
      </w:r>
      <w:r>
        <w:rPr>
          <w:rFonts w:hint="eastAsia" w:ascii="宋体" w:hAnsi="宋体" w:eastAsia="宋体" w:cs="宋体"/>
          <w:color w:val="auto"/>
          <w:kern w:val="2"/>
          <w:sz w:val="24"/>
          <w:szCs w:val="24"/>
          <w:highlight w:val="none"/>
          <w:lang w:val="en-US" w:eastAsia="zh-CN" w:bidi="ar"/>
        </w:rPr>
        <w:t>磋商小组成员</w:t>
      </w:r>
      <w:r>
        <w:rPr>
          <w:rFonts w:hint="eastAsia" w:ascii="宋体" w:hAnsi="宋体" w:eastAsia="宋体" w:cs="宋体"/>
          <w:color w:val="auto"/>
          <w:spacing w:val="4"/>
          <w:kern w:val="2"/>
          <w:sz w:val="24"/>
          <w:szCs w:val="24"/>
          <w:highlight w:val="none"/>
          <w:lang w:val="en-US" w:eastAsia="zh-CN" w:bidi="ar"/>
        </w:rPr>
        <w:t>签字确认。</w:t>
      </w:r>
    </w:p>
    <w:p w14:paraId="11B6659E">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firstLine="496" w:firstLineChars="200"/>
        <w:jc w:val="both"/>
        <w:textAlignment w:val="auto"/>
        <w:rPr>
          <w:rFonts w:hint="eastAsia" w:ascii="宋体" w:hAnsi="宋体" w:eastAsia="宋体" w:cs="宋体"/>
          <w:b/>
          <w:bCs/>
          <w:color w:val="auto"/>
          <w:lang w:eastAsia="zh-CN"/>
        </w:rPr>
      </w:pPr>
      <w:r>
        <w:rPr>
          <w:rFonts w:hint="eastAsia" w:ascii="宋体" w:hAnsi="宋体" w:eastAsia="宋体" w:cs="宋体"/>
          <w:color w:val="auto"/>
          <w:spacing w:val="4"/>
          <w:kern w:val="2"/>
          <w:sz w:val="24"/>
          <w:szCs w:val="24"/>
          <w:highlight w:val="none"/>
          <w:lang w:val="en-US" w:eastAsia="zh-CN" w:bidi="ar"/>
        </w:rPr>
        <w:t>2、采购人根据评标报告中推荐的成交候选人排列顺序确定成交人，以复函通知采购代理机构。</w:t>
      </w:r>
    </w:p>
    <w:p w14:paraId="600265DA">
      <w:pPr>
        <w:pStyle w:val="20"/>
        <w:widowControl w:val="0"/>
        <w:numPr>
          <w:ilvl w:val="0"/>
          <w:numId w:val="0"/>
        </w:numPr>
        <w:spacing w:line="360" w:lineRule="auto"/>
        <w:jc w:val="center"/>
        <w:rPr>
          <w:rFonts w:hint="eastAsia" w:ascii="宋体" w:hAnsi="宋体" w:eastAsia="宋体" w:cs="宋体"/>
          <w:b/>
          <w:bCs/>
          <w:color w:val="auto"/>
          <w:lang w:eastAsia="zh-CN"/>
        </w:rPr>
        <w:sectPr>
          <w:pgSz w:w="11900" w:h="16838"/>
          <w:pgMar w:top="1332" w:right="1196" w:bottom="1417" w:left="1672" w:header="680" w:footer="680" w:gutter="0"/>
          <w:pgNumType w:fmt="decimal"/>
          <w:cols w:space="0" w:num="1"/>
          <w:rtlGutter w:val="0"/>
          <w:docGrid w:linePitch="312" w:charSpace="0"/>
        </w:sectPr>
      </w:pPr>
    </w:p>
    <w:p w14:paraId="03FDB28B">
      <w:pPr>
        <w:pStyle w:val="2"/>
        <w:bidi w:val="0"/>
        <w:rPr>
          <w:rFonts w:hint="eastAsia" w:ascii="宋体" w:hAnsi="宋体" w:eastAsia="宋体" w:cs="宋体"/>
          <w:color w:val="auto"/>
        </w:rPr>
      </w:pPr>
      <w:bookmarkStart w:id="125" w:name="_Toc19407"/>
      <w:bookmarkStart w:id="126" w:name="_Toc32103"/>
      <w:bookmarkStart w:id="127" w:name="_Toc6112"/>
      <w:bookmarkStart w:id="128" w:name="_Toc23643"/>
      <w:bookmarkStart w:id="129" w:name="_Toc3791"/>
      <w:r>
        <w:rPr>
          <w:rFonts w:hint="eastAsia" w:ascii="宋体" w:hAnsi="宋体" w:eastAsia="宋体" w:cs="宋体"/>
          <w:color w:val="auto"/>
        </w:rPr>
        <w:t>第</w:t>
      </w:r>
      <w:r>
        <w:rPr>
          <w:rFonts w:hint="eastAsia" w:ascii="宋体" w:hAnsi="宋体" w:eastAsia="宋体" w:cs="宋体"/>
          <w:color w:val="auto"/>
          <w:lang w:eastAsia="zh-CN"/>
        </w:rPr>
        <w:t>七</w:t>
      </w:r>
      <w:r>
        <w:rPr>
          <w:rFonts w:hint="eastAsia" w:ascii="宋体" w:hAnsi="宋体" w:eastAsia="宋体" w:cs="宋体"/>
          <w:color w:val="auto"/>
        </w:rPr>
        <w:t>章 响应文件格式</w:t>
      </w:r>
      <w:bookmarkEnd w:id="125"/>
      <w:bookmarkEnd w:id="126"/>
      <w:bookmarkEnd w:id="127"/>
      <w:bookmarkEnd w:id="128"/>
      <w:bookmarkEnd w:id="129"/>
    </w:p>
    <w:p w14:paraId="171AA23F">
      <w:pPr>
        <w:pStyle w:val="39"/>
        <w:widowControl/>
        <w:spacing w:line="360" w:lineRule="auto"/>
        <w:ind w:firstLine="0" w:firstLineChars="0"/>
        <w:jc w:val="center"/>
        <w:rPr>
          <w:rFonts w:hint="eastAsia" w:ascii="宋体" w:hAnsi="宋体" w:eastAsia="宋体" w:cs="宋体"/>
          <w:b/>
          <w:bCs/>
          <w:color w:val="auto"/>
          <w:sz w:val="32"/>
          <w:szCs w:val="32"/>
        </w:rPr>
      </w:pPr>
      <w:bookmarkStart w:id="130" w:name="_Toc184794035"/>
      <w:bookmarkStart w:id="131" w:name="_Toc257126854"/>
      <w:r>
        <w:rPr>
          <w:rFonts w:hint="eastAsia" w:ascii="宋体" w:hAnsi="宋体" w:eastAsia="宋体" w:cs="宋体"/>
          <w:color w:val="auto"/>
          <w:sz w:val="36"/>
          <w:szCs w:val="36"/>
          <w:lang w:val="en-US" w:eastAsia="zh-CN"/>
        </w:rPr>
        <w:t xml:space="preserve">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正本/副本</w:t>
      </w:r>
    </w:p>
    <w:p w14:paraId="0AF7DFCD">
      <w:pPr>
        <w:pStyle w:val="15"/>
        <w:rPr>
          <w:rFonts w:hint="eastAsia" w:ascii="宋体" w:hAnsi="宋体" w:eastAsia="宋体" w:cs="宋体"/>
          <w:b/>
          <w:bCs/>
          <w:color w:val="auto"/>
          <w:sz w:val="32"/>
          <w:szCs w:val="32"/>
        </w:rPr>
      </w:pPr>
    </w:p>
    <w:p w14:paraId="163FAC60">
      <w:pPr>
        <w:pStyle w:val="39"/>
        <w:widowControl/>
        <w:spacing w:line="360" w:lineRule="auto"/>
        <w:ind w:firstLine="0" w:firstLineChars="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（项目编号：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 ）</w:t>
      </w:r>
    </w:p>
    <w:p w14:paraId="0C717643">
      <w:pPr>
        <w:pStyle w:val="15"/>
        <w:rPr>
          <w:rFonts w:hint="eastAsia" w:ascii="宋体" w:hAnsi="宋体" w:eastAsia="宋体" w:cs="宋体"/>
          <w:b/>
          <w:bCs/>
          <w:color w:val="auto"/>
          <w:sz w:val="32"/>
          <w:szCs w:val="32"/>
        </w:rPr>
      </w:pPr>
    </w:p>
    <w:p w14:paraId="7C552CE8">
      <w:pPr>
        <w:pStyle w:val="15"/>
        <w:rPr>
          <w:rFonts w:hint="eastAsia" w:ascii="宋体" w:hAnsi="宋体" w:eastAsia="宋体" w:cs="宋体"/>
          <w:color w:val="auto"/>
          <w:sz w:val="36"/>
          <w:szCs w:val="36"/>
        </w:rPr>
      </w:pPr>
    </w:p>
    <w:p w14:paraId="7649D66C">
      <w:pPr>
        <w:pStyle w:val="7"/>
        <w:spacing w:line="360" w:lineRule="auto"/>
        <w:ind w:firstLine="0"/>
        <w:jc w:val="center"/>
        <w:rPr>
          <w:rFonts w:hint="eastAsia" w:ascii="宋体" w:hAnsi="宋体" w:eastAsia="宋体" w:cs="宋体"/>
          <w:b/>
          <w:bCs/>
          <w:color w:val="auto"/>
          <w:sz w:val="44"/>
          <w:szCs w:val="44"/>
          <w:u w:val="single"/>
          <w:lang w:val="en-US" w:eastAsia="zh-CN"/>
        </w:rPr>
      </w:pPr>
      <w:r>
        <w:rPr>
          <w:rFonts w:hint="eastAsia" w:ascii="宋体" w:hAnsi="宋体" w:cs="宋体"/>
          <w:b/>
          <w:color w:val="auto"/>
          <w:sz w:val="44"/>
          <w:szCs w:val="44"/>
          <w:lang w:eastAsia="zh-CN"/>
        </w:rPr>
        <w:t>米脂县第三中学消防改造工程</w:t>
      </w:r>
    </w:p>
    <w:p w14:paraId="42AD053D">
      <w:pPr>
        <w:pStyle w:val="7"/>
        <w:ind w:left="0" w:leftChars="0" w:firstLine="0" w:firstLineChars="0"/>
        <w:rPr>
          <w:rFonts w:hint="eastAsia" w:ascii="宋体" w:hAnsi="宋体" w:eastAsia="宋体" w:cs="宋体"/>
          <w:color w:val="auto"/>
        </w:rPr>
      </w:pPr>
    </w:p>
    <w:p w14:paraId="27371F44">
      <w:pPr>
        <w:pStyle w:val="7"/>
        <w:ind w:left="0" w:leftChars="0" w:firstLine="0" w:firstLineChars="0"/>
        <w:rPr>
          <w:rFonts w:hint="eastAsia" w:ascii="宋体" w:hAnsi="宋体" w:eastAsia="宋体" w:cs="宋体"/>
          <w:color w:val="auto"/>
        </w:rPr>
      </w:pPr>
    </w:p>
    <w:p w14:paraId="01B37696">
      <w:pPr>
        <w:pStyle w:val="7"/>
        <w:ind w:left="0" w:leftChars="0" w:firstLine="0" w:firstLineChars="0"/>
        <w:rPr>
          <w:rFonts w:hint="eastAsia" w:ascii="宋体" w:hAnsi="宋体" w:eastAsia="宋体" w:cs="宋体"/>
          <w:color w:val="auto"/>
        </w:rPr>
      </w:pPr>
    </w:p>
    <w:p w14:paraId="7D6AA0CF">
      <w:pPr>
        <w:pStyle w:val="7"/>
        <w:rPr>
          <w:rFonts w:hint="eastAsia" w:ascii="宋体" w:hAnsi="宋体" w:eastAsia="宋体" w:cs="宋体"/>
          <w:color w:val="auto"/>
          <w:sz w:val="6"/>
          <w:szCs w:val="4"/>
        </w:rPr>
      </w:pPr>
    </w:p>
    <w:p w14:paraId="0732C484">
      <w:pPr>
        <w:pStyle w:val="7"/>
        <w:rPr>
          <w:rFonts w:hint="eastAsia" w:ascii="宋体" w:hAnsi="宋体" w:eastAsia="宋体" w:cs="宋体"/>
          <w:color w:val="auto"/>
          <w:sz w:val="6"/>
          <w:szCs w:val="4"/>
        </w:rPr>
      </w:pPr>
    </w:p>
    <w:p w14:paraId="02899613">
      <w:pPr>
        <w:pStyle w:val="7"/>
        <w:rPr>
          <w:rFonts w:hint="eastAsia" w:ascii="宋体" w:hAnsi="宋体" w:eastAsia="宋体" w:cs="宋体"/>
          <w:color w:val="auto"/>
          <w:sz w:val="6"/>
          <w:szCs w:val="4"/>
        </w:rPr>
      </w:pPr>
    </w:p>
    <w:p w14:paraId="38EF66DD">
      <w:pPr>
        <w:pStyle w:val="7"/>
        <w:rPr>
          <w:rFonts w:hint="eastAsia" w:ascii="宋体" w:hAnsi="宋体" w:eastAsia="宋体" w:cs="宋体"/>
          <w:color w:val="auto"/>
          <w:sz w:val="6"/>
          <w:szCs w:val="4"/>
        </w:rPr>
      </w:pPr>
    </w:p>
    <w:p w14:paraId="52B46D21">
      <w:pPr>
        <w:pStyle w:val="7"/>
        <w:rPr>
          <w:rFonts w:hint="eastAsia" w:ascii="宋体" w:hAnsi="宋体" w:eastAsia="宋体" w:cs="宋体"/>
          <w:color w:val="auto"/>
        </w:rPr>
      </w:pPr>
    </w:p>
    <w:p w14:paraId="4D60A37E">
      <w:pPr>
        <w:pStyle w:val="7"/>
        <w:rPr>
          <w:rFonts w:hint="eastAsia" w:ascii="宋体" w:hAnsi="宋体" w:eastAsia="宋体" w:cs="宋体"/>
          <w:color w:val="auto"/>
        </w:rPr>
      </w:pPr>
    </w:p>
    <w:bookmarkEnd w:id="130"/>
    <w:bookmarkEnd w:id="131"/>
    <w:p w14:paraId="6CA9EB6E">
      <w:pPr>
        <w:bidi w:val="0"/>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lang w:eastAsia="zh-CN"/>
        </w:rPr>
        <w:t>磋商响应</w:t>
      </w:r>
      <w:r>
        <w:rPr>
          <w:rFonts w:hint="eastAsia" w:ascii="宋体" w:hAnsi="宋体" w:eastAsia="宋体" w:cs="宋体"/>
          <w:b/>
          <w:bCs/>
          <w:color w:val="auto"/>
          <w:sz w:val="72"/>
          <w:szCs w:val="72"/>
        </w:rPr>
        <w:t>文件</w:t>
      </w:r>
    </w:p>
    <w:p w14:paraId="4C72E0B1">
      <w:pPr>
        <w:widowControl w:val="0"/>
        <w:jc w:val="both"/>
        <w:rPr>
          <w:rFonts w:hint="eastAsia" w:ascii="宋体" w:hAnsi="宋体" w:eastAsia="宋体" w:cs="宋体"/>
          <w:b/>
          <w:bCs w:val="0"/>
          <w:color w:val="auto"/>
          <w:kern w:val="2"/>
          <w:sz w:val="28"/>
          <w:lang w:val="en-US" w:eastAsia="zh-CN" w:bidi="ar-SA"/>
        </w:rPr>
      </w:pPr>
    </w:p>
    <w:p w14:paraId="5D6C425A">
      <w:pPr>
        <w:pStyle w:val="39"/>
        <w:widowControl/>
        <w:spacing w:line="360" w:lineRule="auto"/>
        <w:ind w:firstLine="0" w:firstLineChars="0"/>
        <w:jc w:val="center"/>
        <w:rPr>
          <w:rFonts w:hint="eastAsia" w:ascii="宋体" w:hAnsi="宋体" w:eastAsia="宋体" w:cs="宋体"/>
          <w:b/>
          <w:bCs w:val="0"/>
          <w:color w:val="auto"/>
          <w:sz w:val="36"/>
          <w:szCs w:val="36"/>
        </w:rPr>
      </w:pPr>
    </w:p>
    <w:p w14:paraId="2DB06190">
      <w:pPr>
        <w:pStyle w:val="39"/>
        <w:widowControl/>
        <w:spacing w:line="240" w:lineRule="auto"/>
        <w:ind w:firstLine="0" w:firstLineChars="0"/>
        <w:jc w:val="center"/>
        <w:rPr>
          <w:rFonts w:hint="eastAsia" w:ascii="宋体" w:hAnsi="宋体" w:eastAsia="宋体" w:cs="宋体"/>
          <w:b/>
          <w:bCs w:val="0"/>
          <w:color w:val="auto"/>
          <w:sz w:val="36"/>
        </w:rPr>
      </w:pPr>
    </w:p>
    <w:p w14:paraId="18BAD363">
      <w:pPr>
        <w:pStyle w:val="39"/>
        <w:widowControl/>
        <w:spacing w:line="240" w:lineRule="auto"/>
        <w:ind w:firstLine="0" w:firstLineChars="0"/>
        <w:jc w:val="center"/>
        <w:rPr>
          <w:rFonts w:hint="eastAsia" w:ascii="宋体" w:hAnsi="宋体" w:eastAsia="宋体" w:cs="宋体"/>
          <w:b/>
          <w:bCs w:val="0"/>
          <w:color w:val="auto"/>
          <w:sz w:val="36"/>
        </w:rPr>
      </w:pPr>
    </w:p>
    <w:p w14:paraId="1F2B062F">
      <w:pPr>
        <w:pStyle w:val="39"/>
        <w:widowControl/>
        <w:spacing w:line="240" w:lineRule="auto"/>
        <w:ind w:firstLine="0" w:firstLineChars="0"/>
        <w:jc w:val="center"/>
        <w:rPr>
          <w:rFonts w:hint="eastAsia" w:ascii="宋体" w:hAnsi="宋体" w:eastAsia="宋体" w:cs="宋体"/>
          <w:b/>
          <w:bCs w:val="0"/>
          <w:color w:val="auto"/>
          <w:sz w:val="36"/>
        </w:rPr>
      </w:pPr>
    </w:p>
    <w:p w14:paraId="15327C67">
      <w:pPr>
        <w:pStyle w:val="39"/>
        <w:widowControl/>
        <w:spacing w:line="240" w:lineRule="auto"/>
        <w:ind w:firstLine="0" w:firstLineChars="0"/>
        <w:jc w:val="center"/>
        <w:rPr>
          <w:rFonts w:hint="eastAsia" w:ascii="宋体" w:hAnsi="宋体" w:eastAsia="宋体" w:cs="宋体"/>
          <w:b/>
          <w:bCs w:val="0"/>
          <w:color w:val="auto"/>
          <w:sz w:val="36"/>
        </w:rPr>
      </w:pPr>
    </w:p>
    <w:p w14:paraId="62470265">
      <w:pPr>
        <w:pStyle w:val="39"/>
        <w:widowControl/>
        <w:spacing w:line="240" w:lineRule="auto"/>
        <w:ind w:firstLine="0" w:firstLineChars="0"/>
        <w:jc w:val="center"/>
        <w:rPr>
          <w:rFonts w:hint="eastAsia" w:ascii="宋体" w:hAnsi="宋体" w:eastAsia="宋体" w:cs="宋体"/>
          <w:b/>
          <w:bCs w:val="0"/>
          <w:color w:val="auto"/>
          <w:sz w:val="36"/>
        </w:rPr>
      </w:pPr>
    </w:p>
    <w:p w14:paraId="000D7D22">
      <w:pPr>
        <w:pStyle w:val="39"/>
        <w:widowControl/>
        <w:spacing w:line="240" w:lineRule="auto"/>
        <w:ind w:firstLine="0" w:firstLineChars="0"/>
        <w:jc w:val="center"/>
        <w:rPr>
          <w:rFonts w:hint="eastAsia" w:ascii="宋体" w:hAnsi="宋体" w:eastAsia="宋体" w:cs="宋体"/>
          <w:b/>
          <w:bCs w:val="0"/>
          <w:color w:val="auto"/>
          <w:sz w:val="36"/>
        </w:rPr>
      </w:pPr>
    </w:p>
    <w:p w14:paraId="7F412F50">
      <w:pPr>
        <w:pStyle w:val="39"/>
        <w:widowControl/>
        <w:spacing w:line="480" w:lineRule="auto"/>
        <w:ind w:firstLine="1503" w:firstLineChars="468"/>
        <w:rPr>
          <w:rFonts w:hint="eastAsia" w:ascii="宋体" w:hAnsi="宋体" w:eastAsia="宋体" w:cs="宋体"/>
          <w:b/>
          <w:bCs w:val="0"/>
          <w:color w:val="auto"/>
          <w:sz w:val="32"/>
          <w:szCs w:val="32"/>
          <w:u w:val="single"/>
        </w:rPr>
      </w:pPr>
      <w:r>
        <w:rPr>
          <w:rFonts w:hint="eastAsia" w:ascii="宋体" w:hAnsi="宋体" w:eastAsia="宋体" w:cs="宋体"/>
          <w:b/>
          <w:bCs w:val="0"/>
          <w:color w:val="auto"/>
          <w:sz w:val="32"/>
          <w:szCs w:val="32"/>
          <w:lang w:eastAsia="zh-CN"/>
        </w:rPr>
        <w:t>投标人</w:t>
      </w:r>
      <w:r>
        <w:rPr>
          <w:rFonts w:hint="eastAsia" w:ascii="宋体" w:hAnsi="宋体" w:eastAsia="宋体" w:cs="宋体"/>
          <w:b/>
          <w:bCs w:val="0"/>
          <w:color w:val="auto"/>
          <w:sz w:val="32"/>
          <w:szCs w:val="32"/>
        </w:rPr>
        <w:t>：</w:t>
      </w:r>
      <w:r>
        <w:rPr>
          <w:rFonts w:hint="eastAsia" w:ascii="宋体" w:hAnsi="宋体" w:eastAsia="宋体" w:cs="宋体"/>
          <w:b/>
          <w:bCs w:val="0"/>
          <w:color w:val="auto"/>
          <w:sz w:val="32"/>
          <w:szCs w:val="32"/>
          <w:u w:val="single"/>
        </w:rPr>
        <w:t xml:space="preserve">          （盖章）</w:t>
      </w:r>
    </w:p>
    <w:p w14:paraId="0FB33195">
      <w:pPr>
        <w:pStyle w:val="39"/>
        <w:widowControl/>
        <w:spacing w:line="480" w:lineRule="auto"/>
        <w:ind w:firstLine="1503" w:firstLineChars="468"/>
        <w:rPr>
          <w:rFonts w:hint="eastAsia" w:ascii="宋体" w:hAnsi="宋体" w:eastAsia="宋体" w:cs="宋体"/>
          <w:b/>
          <w:bCs w:val="0"/>
          <w:color w:val="auto"/>
          <w:sz w:val="32"/>
          <w:szCs w:val="32"/>
        </w:rPr>
        <w:sectPr>
          <w:headerReference r:id="rId8" w:type="first"/>
          <w:footerReference r:id="rId10" w:type="first"/>
          <w:headerReference r:id="rId7" w:type="default"/>
          <w:footerReference r:id="rId9" w:type="default"/>
          <w:pgSz w:w="11900" w:h="16838"/>
          <w:pgMar w:top="1332" w:right="1196" w:bottom="1417" w:left="1672" w:header="680" w:footer="680" w:gutter="0"/>
          <w:pgNumType w:fmt="decimal"/>
          <w:cols w:space="0" w:num="1"/>
          <w:rtlGutter w:val="0"/>
          <w:docGrid w:linePitch="312" w:charSpace="0"/>
        </w:sectPr>
      </w:pPr>
      <w:r>
        <w:rPr>
          <w:rFonts w:hint="eastAsia" w:ascii="宋体" w:hAnsi="宋体" w:eastAsia="宋体" w:cs="宋体"/>
          <w:b/>
          <w:bCs w:val="0"/>
          <w:color w:val="auto"/>
          <w:sz w:val="32"/>
          <w:szCs w:val="32"/>
        </w:rPr>
        <w:t>时　间：__________________</w:t>
      </w:r>
    </w:p>
    <w:p w14:paraId="09312526">
      <w:pPr>
        <w:pStyle w:val="3"/>
        <w:bidi w:val="0"/>
        <w:rPr>
          <w:rFonts w:hint="eastAsia" w:ascii="宋体" w:hAnsi="宋体" w:eastAsia="宋体" w:cs="宋体"/>
          <w:color w:val="auto"/>
          <w:highlight w:val="none"/>
          <w:lang w:val="en-US" w:eastAsia="zh-CN"/>
        </w:rPr>
      </w:pPr>
      <w:bookmarkStart w:id="132" w:name="_Toc26425"/>
      <w:bookmarkStart w:id="133" w:name="_Toc13248"/>
      <w:bookmarkStart w:id="134" w:name="_Toc21860"/>
      <w:bookmarkStart w:id="135" w:name="_Toc4827"/>
      <w:bookmarkStart w:id="136" w:name="_Toc14403"/>
      <w:bookmarkStart w:id="137" w:name="_Toc11086"/>
      <w:r>
        <w:rPr>
          <w:rFonts w:hint="eastAsia" w:ascii="宋体" w:hAnsi="宋体" w:eastAsia="宋体" w:cs="宋体"/>
          <w:color w:val="auto"/>
          <w:highlight w:val="none"/>
          <w:lang w:val="en-US" w:eastAsia="zh-CN"/>
        </w:rPr>
        <w:t>第一部分 资格证明文件</w:t>
      </w:r>
      <w:bookmarkEnd w:id="132"/>
      <w:bookmarkEnd w:id="133"/>
      <w:bookmarkEnd w:id="134"/>
      <w:bookmarkEnd w:id="135"/>
      <w:bookmarkEnd w:id="136"/>
      <w:bookmarkEnd w:id="137"/>
    </w:p>
    <w:p w14:paraId="3091EF49">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left"/>
        <w:textAlignment w:val="auto"/>
        <w:outlineLvl w:val="1"/>
        <w:rPr>
          <w:rFonts w:hint="eastAsia" w:ascii="宋体" w:hAnsi="宋体" w:eastAsia="宋体" w:cs="宋体"/>
          <w:b/>
          <w:color w:val="auto"/>
          <w:kern w:val="2"/>
          <w:sz w:val="28"/>
          <w:szCs w:val="18"/>
          <w:highlight w:val="none"/>
          <w:lang w:val="en-US" w:eastAsia="zh-CN" w:bidi="ar-SA"/>
        </w:rPr>
      </w:pPr>
      <w:bookmarkStart w:id="138" w:name="_Toc25397"/>
      <w:bookmarkStart w:id="139" w:name="_Toc3763"/>
      <w:bookmarkStart w:id="140" w:name="_Toc24441"/>
      <w:bookmarkStart w:id="141" w:name="_Toc5617"/>
      <w:bookmarkStart w:id="142" w:name="_Toc15182"/>
      <w:bookmarkStart w:id="143" w:name="_Toc28268"/>
      <w:bookmarkStart w:id="144" w:name="_Toc6883"/>
      <w:r>
        <w:rPr>
          <w:rFonts w:hint="eastAsia" w:ascii="宋体" w:hAnsi="宋体" w:eastAsia="宋体" w:cs="宋体"/>
          <w:b/>
          <w:color w:val="auto"/>
          <w:kern w:val="2"/>
          <w:sz w:val="28"/>
          <w:szCs w:val="18"/>
          <w:highlight w:val="none"/>
          <w:lang w:val="en-US" w:eastAsia="zh-CN" w:bidi="ar-SA"/>
        </w:rPr>
        <w:t>一、营业执照等主体资格证明文件</w:t>
      </w:r>
      <w:bookmarkEnd w:id="138"/>
      <w:bookmarkEnd w:id="139"/>
      <w:bookmarkEnd w:id="140"/>
      <w:bookmarkEnd w:id="141"/>
      <w:r>
        <w:rPr>
          <w:rFonts w:hint="eastAsia" w:ascii="宋体" w:hAnsi="宋体" w:eastAsia="宋体" w:cs="宋体"/>
          <w:b/>
          <w:color w:val="auto"/>
          <w:kern w:val="2"/>
          <w:sz w:val="28"/>
          <w:szCs w:val="18"/>
          <w:highlight w:val="none"/>
          <w:lang w:val="en-US" w:eastAsia="zh-CN" w:bidi="ar-SA"/>
        </w:rPr>
        <w:t xml:space="preserve"> </w:t>
      </w:r>
    </w:p>
    <w:p w14:paraId="201C465B">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left"/>
        <w:textAlignment w:val="auto"/>
        <w:outlineLvl w:val="1"/>
        <w:rPr>
          <w:rFonts w:hint="eastAsia" w:ascii="宋体" w:hAnsi="宋体" w:eastAsia="宋体" w:cs="宋体"/>
          <w:b/>
          <w:color w:val="auto"/>
          <w:kern w:val="2"/>
          <w:sz w:val="28"/>
          <w:szCs w:val="18"/>
          <w:highlight w:val="none"/>
          <w:lang w:val="en-US" w:eastAsia="zh-CN" w:bidi="ar-SA"/>
        </w:rPr>
      </w:pPr>
      <w:bookmarkStart w:id="145" w:name="_Toc5416"/>
      <w:r>
        <w:rPr>
          <w:rFonts w:hint="eastAsia" w:ascii="宋体" w:hAnsi="宋体" w:eastAsia="宋体" w:cs="宋体"/>
          <w:b/>
          <w:color w:val="auto"/>
          <w:kern w:val="2"/>
          <w:sz w:val="28"/>
          <w:szCs w:val="18"/>
          <w:highlight w:val="none"/>
          <w:lang w:val="en-US" w:eastAsia="zh-CN" w:bidi="ar-SA"/>
        </w:rPr>
        <w:t>二、财务状况报告</w:t>
      </w:r>
      <w:bookmarkEnd w:id="142"/>
      <w:bookmarkEnd w:id="143"/>
      <w:bookmarkEnd w:id="144"/>
      <w:bookmarkEnd w:id="145"/>
      <w:r>
        <w:rPr>
          <w:rFonts w:hint="eastAsia" w:ascii="宋体" w:hAnsi="宋体" w:eastAsia="宋体" w:cs="宋体"/>
          <w:b/>
          <w:color w:val="auto"/>
          <w:kern w:val="2"/>
          <w:sz w:val="28"/>
          <w:szCs w:val="18"/>
          <w:highlight w:val="none"/>
          <w:lang w:val="en-US" w:eastAsia="zh-CN" w:bidi="ar-SA"/>
        </w:rPr>
        <w:t xml:space="preserve"> </w:t>
      </w:r>
    </w:p>
    <w:p w14:paraId="2DF4C5A1">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left"/>
        <w:textAlignment w:val="auto"/>
        <w:outlineLvl w:val="1"/>
        <w:rPr>
          <w:rFonts w:hint="eastAsia" w:ascii="宋体" w:hAnsi="宋体" w:eastAsia="宋体" w:cs="宋体"/>
          <w:b/>
          <w:color w:val="auto"/>
          <w:kern w:val="2"/>
          <w:sz w:val="28"/>
          <w:szCs w:val="18"/>
          <w:highlight w:val="none"/>
          <w:lang w:val="en-US" w:eastAsia="zh-CN" w:bidi="ar-SA"/>
        </w:rPr>
      </w:pPr>
      <w:bookmarkStart w:id="146" w:name="_Toc7682"/>
      <w:bookmarkStart w:id="147" w:name="_Toc25549"/>
      <w:bookmarkStart w:id="148" w:name="_Toc17689"/>
      <w:bookmarkStart w:id="149" w:name="_Toc13646"/>
      <w:r>
        <w:rPr>
          <w:rFonts w:hint="eastAsia" w:ascii="宋体" w:hAnsi="宋体" w:eastAsia="宋体" w:cs="宋体"/>
          <w:b/>
          <w:color w:val="auto"/>
          <w:kern w:val="2"/>
          <w:sz w:val="28"/>
          <w:szCs w:val="18"/>
          <w:highlight w:val="none"/>
          <w:lang w:val="en-US" w:eastAsia="zh-CN" w:bidi="ar-SA"/>
        </w:rPr>
        <w:t>三、社保缴纳证明</w:t>
      </w:r>
      <w:bookmarkEnd w:id="146"/>
      <w:bookmarkEnd w:id="147"/>
      <w:bookmarkEnd w:id="148"/>
      <w:bookmarkEnd w:id="149"/>
      <w:r>
        <w:rPr>
          <w:rFonts w:hint="eastAsia" w:ascii="宋体" w:hAnsi="宋体" w:eastAsia="宋体" w:cs="宋体"/>
          <w:b/>
          <w:color w:val="auto"/>
          <w:kern w:val="2"/>
          <w:sz w:val="28"/>
          <w:szCs w:val="18"/>
          <w:highlight w:val="none"/>
          <w:lang w:val="en-US" w:eastAsia="zh-CN" w:bidi="ar-SA"/>
        </w:rPr>
        <w:t xml:space="preserve"> </w:t>
      </w:r>
    </w:p>
    <w:p w14:paraId="3978F604">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left"/>
        <w:textAlignment w:val="auto"/>
        <w:outlineLvl w:val="1"/>
        <w:rPr>
          <w:rFonts w:hint="eastAsia" w:ascii="宋体" w:hAnsi="宋体" w:eastAsia="宋体" w:cs="宋体"/>
          <w:b/>
          <w:color w:val="auto"/>
          <w:kern w:val="2"/>
          <w:sz w:val="28"/>
          <w:szCs w:val="18"/>
          <w:highlight w:val="none"/>
          <w:lang w:val="en-US" w:eastAsia="zh-CN" w:bidi="ar-SA"/>
        </w:rPr>
      </w:pPr>
      <w:bookmarkStart w:id="150" w:name="_Toc17060"/>
      <w:bookmarkStart w:id="151" w:name="_Toc13190"/>
      <w:bookmarkStart w:id="152" w:name="_Toc20535"/>
      <w:bookmarkStart w:id="153" w:name="_Toc22433"/>
      <w:r>
        <w:rPr>
          <w:rFonts w:hint="eastAsia" w:ascii="宋体" w:hAnsi="宋体" w:eastAsia="宋体" w:cs="宋体"/>
          <w:b/>
          <w:color w:val="auto"/>
          <w:kern w:val="2"/>
          <w:sz w:val="28"/>
          <w:szCs w:val="18"/>
          <w:highlight w:val="none"/>
          <w:lang w:val="en-US" w:eastAsia="zh-CN" w:bidi="ar-SA"/>
        </w:rPr>
        <w:t>四、税收缴纳证明</w:t>
      </w:r>
      <w:bookmarkEnd w:id="150"/>
      <w:bookmarkEnd w:id="151"/>
      <w:bookmarkEnd w:id="152"/>
      <w:bookmarkEnd w:id="153"/>
      <w:r>
        <w:rPr>
          <w:rFonts w:hint="eastAsia" w:ascii="宋体" w:hAnsi="宋体" w:eastAsia="宋体" w:cs="宋体"/>
          <w:b/>
          <w:color w:val="auto"/>
          <w:kern w:val="2"/>
          <w:sz w:val="28"/>
          <w:szCs w:val="18"/>
          <w:highlight w:val="none"/>
          <w:lang w:val="en-US" w:eastAsia="zh-CN" w:bidi="ar-SA"/>
        </w:rPr>
        <w:t xml:space="preserve"> </w:t>
      </w:r>
    </w:p>
    <w:p w14:paraId="4282FF69">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left"/>
        <w:textAlignment w:val="auto"/>
        <w:outlineLvl w:val="1"/>
        <w:rPr>
          <w:rFonts w:hint="eastAsia" w:ascii="宋体" w:hAnsi="宋体" w:eastAsia="宋体" w:cs="宋体"/>
          <w:b/>
          <w:color w:val="auto"/>
          <w:kern w:val="2"/>
          <w:sz w:val="28"/>
          <w:szCs w:val="18"/>
          <w:highlight w:val="none"/>
          <w:lang w:val="en-US" w:eastAsia="zh-CN" w:bidi="ar-SA"/>
        </w:rPr>
      </w:pPr>
      <w:bookmarkStart w:id="154" w:name="_Toc8065"/>
      <w:bookmarkStart w:id="155" w:name="_Toc30246"/>
      <w:bookmarkStart w:id="156" w:name="_Toc29984"/>
      <w:bookmarkStart w:id="157" w:name="_Toc12031"/>
      <w:r>
        <w:rPr>
          <w:rFonts w:hint="eastAsia" w:ascii="宋体" w:hAnsi="宋体" w:eastAsia="宋体" w:cs="宋体"/>
          <w:b/>
          <w:color w:val="auto"/>
          <w:kern w:val="2"/>
          <w:sz w:val="28"/>
          <w:szCs w:val="18"/>
          <w:highlight w:val="none"/>
          <w:lang w:val="en-US" w:eastAsia="zh-CN" w:bidi="ar-SA"/>
        </w:rPr>
        <w:t>五、信用查询</w:t>
      </w:r>
      <w:bookmarkEnd w:id="154"/>
      <w:bookmarkEnd w:id="155"/>
      <w:bookmarkEnd w:id="156"/>
      <w:bookmarkEnd w:id="157"/>
    </w:p>
    <w:p w14:paraId="194A3B10">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left"/>
        <w:textAlignment w:val="auto"/>
        <w:outlineLvl w:val="1"/>
        <w:rPr>
          <w:rFonts w:hint="eastAsia" w:ascii="宋体" w:hAnsi="宋体" w:eastAsia="宋体" w:cs="宋体"/>
          <w:b/>
          <w:color w:val="auto"/>
          <w:kern w:val="2"/>
          <w:sz w:val="28"/>
          <w:szCs w:val="18"/>
          <w:highlight w:val="none"/>
          <w:lang w:val="en-US" w:eastAsia="zh-CN" w:bidi="ar-SA"/>
        </w:rPr>
      </w:pPr>
      <w:bookmarkStart w:id="158" w:name="_Toc17311"/>
      <w:bookmarkStart w:id="159" w:name="_Toc14816"/>
      <w:bookmarkStart w:id="160" w:name="_Toc12444"/>
      <w:bookmarkStart w:id="161" w:name="_Toc24419"/>
      <w:r>
        <w:rPr>
          <w:rFonts w:hint="eastAsia" w:ascii="宋体" w:hAnsi="宋体" w:eastAsia="宋体" w:cs="宋体"/>
          <w:b/>
          <w:color w:val="auto"/>
          <w:kern w:val="2"/>
          <w:sz w:val="28"/>
          <w:szCs w:val="18"/>
          <w:highlight w:val="none"/>
          <w:lang w:val="en-US" w:eastAsia="zh-CN" w:bidi="ar-SA"/>
        </w:rPr>
        <w:t>六、供应商书面声明函</w:t>
      </w:r>
      <w:bookmarkEnd w:id="158"/>
      <w:bookmarkEnd w:id="159"/>
      <w:bookmarkEnd w:id="160"/>
      <w:bookmarkEnd w:id="161"/>
    </w:p>
    <w:p w14:paraId="57C7887D">
      <w:pPr>
        <w:keepNext/>
        <w:keepLines/>
        <w:widowControl/>
        <w:shd w:val="clear" w:color="auto" w:fill="auto"/>
        <w:spacing w:before="0" w:beforeLines="0" w:beforeAutospacing="0" w:after="0" w:afterLines="0" w:afterAutospacing="0" w:line="360" w:lineRule="auto"/>
        <w:jc w:val="center"/>
        <w:outlineLvl w:val="9"/>
        <w:rPr>
          <w:rFonts w:hint="eastAsia" w:ascii="宋体" w:hAnsi="宋体" w:eastAsia="宋体" w:cs="宋体"/>
          <w:b/>
          <w:bCs/>
          <w:color w:val="auto"/>
          <w:kern w:val="2"/>
          <w:sz w:val="24"/>
          <w:szCs w:val="24"/>
          <w:highlight w:val="none"/>
          <w:lang w:val="en-US" w:eastAsia="zh-CN" w:bidi="ar-SA"/>
        </w:rPr>
      </w:pPr>
      <w:bookmarkStart w:id="162" w:name="_Toc20704"/>
      <w:bookmarkStart w:id="163" w:name="_Toc27143"/>
      <w:bookmarkStart w:id="164" w:name="_Toc11475"/>
      <w:bookmarkStart w:id="165" w:name="_Toc9197"/>
      <w:bookmarkStart w:id="166" w:name="_Toc11617"/>
      <w:r>
        <w:rPr>
          <w:rFonts w:hint="eastAsia" w:ascii="宋体" w:hAnsi="宋体" w:eastAsia="宋体" w:cs="宋体"/>
          <w:b/>
          <w:bCs/>
          <w:color w:val="auto"/>
          <w:kern w:val="2"/>
          <w:sz w:val="24"/>
          <w:szCs w:val="24"/>
          <w:highlight w:val="none"/>
          <w:lang w:val="en-US" w:eastAsia="zh-CN" w:bidi="ar-SA"/>
        </w:rPr>
        <w:t>供应商书面声明函</w:t>
      </w:r>
      <w:bookmarkEnd w:id="162"/>
      <w:bookmarkEnd w:id="163"/>
      <w:bookmarkEnd w:id="164"/>
      <w:bookmarkEnd w:id="165"/>
      <w:bookmarkEnd w:id="166"/>
    </w:p>
    <w:p w14:paraId="528596C2">
      <w:pPr>
        <w:widowControl/>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榆林腾达建诚信息咨询有限公司</w:t>
      </w:r>
      <w:r>
        <w:rPr>
          <w:rFonts w:hint="eastAsia" w:ascii="宋体" w:hAnsi="宋体" w:eastAsia="宋体" w:cs="宋体"/>
          <w:color w:val="auto"/>
          <w:sz w:val="24"/>
          <w:szCs w:val="24"/>
          <w:highlight w:val="none"/>
        </w:rPr>
        <w:t>：</w:t>
      </w:r>
    </w:p>
    <w:p w14:paraId="45C87AA3">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u w:val="single"/>
          <w:lang w:val="en-US" w:eastAsia="zh-CN"/>
        </w:rPr>
        <w:t xml:space="preserve">项目名称：                </w:t>
      </w:r>
      <w:r>
        <w:rPr>
          <w:rFonts w:hint="eastAsia" w:ascii="宋体" w:hAnsi="宋体" w:eastAsia="宋体" w:cs="宋体"/>
          <w:color w:val="auto"/>
          <w:sz w:val="24"/>
          <w:szCs w:val="24"/>
          <w:highlight w:val="none"/>
          <w:u w:val="single"/>
        </w:rPr>
        <w:t xml:space="preserve">（项目编号：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的投标供应商，在此郑重声明：</w:t>
      </w:r>
    </w:p>
    <w:p w14:paraId="7B2B7C35">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（填“没有”或“有”）重大违法记录。供应商</w:t>
      </w:r>
      <w:r>
        <w:rPr>
          <w:rFonts w:hint="eastAsia" w:ascii="宋体" w:hAnsi="宋体" w:eastAsia="宋体" w:cs="宋体"/>
          <w:b/>
          <w:bCs/>
          <w:color w:val="auto"/>
          <w:sz w:val="24"/>
          <w:szCs w:val="24"/>
          <w:highlight w:val="none"/>
        </w:rPr>
        <w:t>在参加政府采购活动前3年内因违法经营被禁止在一定期限内参加政府采购活动，期限届满的，可以参加政府采购活动，但应提供期限届满的证明材料。</w:t>
      </w:r>
    </w:p>
    <w:p w14:paraId="4FE5E852">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2、我方______（填“未被列入”或“被列入”）失信被执行人名单。</w:t>
      </w:r>
    </w:p>
    <w:p w14:paraId="4A0ED926">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3、我方______（填“未被列入”或“被列入”）重大税收违法案件当事人名单。</w:t>
      </w:r>
    </w:p>
    <w:p w14:paraId="75ACD111">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4、我方______（填“未被列入”或“被列入”）政府采购严重违法失信行为记录名单。</w:t>
      </w:r>
    </w:p>
    <w:p w14:paraId="3B1E7619">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如有不实，我方将无条件地退出本项目的采购活动，并遵照《政府采购法》有关“提供虚假材料的规定”接受处罚。</w:t>
      </w:r>
    </w:p>
    <w:p w14:paraId="506D32D6">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0A553B9A">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供应商：（加盖公章）</w:t>
      </w:r>
    </w:p>
    <w:p w14:paraId="25420619">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p>
    <w:p w14:paraId="247D57FA">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2E87905">
      <w:pPr>
        <w:widowControl/>
        <w:shd w:val="clear" w:color="auto" w:fill="auto"/>
        <w:spacing w:line="360" w:lineRule="auto"/>
        <w:ind w:firstLine="480" w:firstLineChars="200"/>
        <w:rPr>
          <w:rFonts w:hint="eastAsia" w:ascii="宋体" w:hAnsi="宋体" w:eastAsia="宋体" w:cs="宋体"/>
          <w:color w:val="auto"/>
          <w:sz w:val="24"/>
          <w:szCs w:val="24"/>
          <w:highlight w:val="none"/>
        </w:rPr>
      </w:pPr>
    </w:p>
    <w:p w14:paraId="60610812">
      <w:pPr>
        <w:pStyle w:val="3"/>
        <w:keepNext/>
        <w:keepLines/>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sz w:val="28"/>
          <w:szCs w:val="18"/>
          <w:highlight w:val="none"/>
          <w:lang w:eastAsia="zh-CN"/>
        </w:rPr>
      </w:pPr>
      <w:bookmarkStart w:id="167" w:name="_Toc911"/>
      <w:bookmarkStart w:id="168" w:name="_Toc2986"/>
      <w:bookmarkStart w:id="169" w:name="_Toc27995"/>
      <w:r>
        <w:rPr>
          <w:rFonts w:hint="eastAsia" w:ascii="宋体" w:hAnsi="宋体" w:eastAsia="宋体" w:cs="宋体"/>
          <w:color w:val="auto"/>
          <w:sz w:val="28"/>
          <w:szCs w:val="18"/>
          <w:highlight w:val="none"/>
          <w:lang w:eastAsia="zh-CN"/>
        </w:rPr>
        <w:br w:type="page"/>
      </w:r>
      <w:bookmarkStart w:id="170" w:name="_Toc8496"/>
      <w:r>
        <w:rPr>
          <w:rFonts w:hint="eastAsia" w:ascii="宋体" w:hAnsi="宋体" w:eastAsia="宋体" w:cs="宋体"/>
          <w:color w:val="auto"/>
          <w:sz w:val="28"/>
          <w:szCs w:val="18"/>
          <w:highlight w:val="none"/>
          <w:lang w:eastAsia="zh-CN"/>
        </w:rPr>
        <w:t>七、</w:t>
      </w:r>
      <w:bookmarkEnd w:id="167"/>
      <w:r>
        <w:rPr>
          <w:rFonts w:hint="eastAsia" w:ascii="宋体" w:hAnsi="宋体" w:eastAsia="宋体" w:cs="宋体"/>
          <w:color w:val="auto"/>
          <w:sz w:val="28"/>
          <w:szCs w:val="18"/>
          <w:highlight w:val="none"/>
          <w:lang w:val="en-US" w:eastAsia="zh-CN"/>
        </w:rPr>
        <w:t>资质证书、安全生产许可证及项目经理相关证书</w:t>
      </w:r>
      <w:r>
        <w:rPr>
          <w:rFonts w:hint="eastAsia" w:ascii="宋体" w:hAnsi="宋体" w:eastAsia="宋体" w:cs="宋体"/>
          <w:color w:val="auto"/>
          <w:sz w:val="28"/>
          <w:szCs w:val="18"/>
          <w:highlight w:val="none"/>
          <w:lang w:eastAsia="zh-CN"/>
        </w:rPr>
        <w:t>；</w:t>
      </w:r>
      <w:bookmarkEnd w:id="170"/>
    </w:p>
    <w:p w14:paraId="5DE3C81E">
      <w:pPr>
        <w:pStyle w:val="3"/>
        <w:keepNext/>
        <w:keepLines/>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sz w:val="28"/>
          <w:szCs w:val="18"/>
          <w:highlight w:val="none"/>
          <w:lang w:eastAsia="zh-CN"/>
        </w:rPr>
      </w:pPr>
      <w:bookmarkStart w:id="171" w:name="_Toc6417"/>
      <w:r>
        <w:rPr>
          <w:rFonts w:hint="eastAsia" w:ascii="宋体" w:hAnsi="宋体" w:eastAsia="宋体" w:cs="宋体"/>
          <w:color w:val="auto"/>
          <w:sz w:val="28"/>
          <w:szCs w:val="18"/>
          <w:highlight w:val="none"/>
          <w:lang w:eastAsia="zh-CN"/>
        </w:rPr>
        <w:br w:type="page"/>
      </w:r>
      <w:bookmarkStart w:id="172" w:name="_Toc30538"/>
      <w:r>
        <w:rPr>
          <w:rFonts w:hint="eastAsia" w:ascii="宋体" w:hAnsi="宋体" w:eastAsia="宋体" w:cs="宋体"/>
          <w:color w:val="auto"/>
          <w:sz w:val="28"/>
          <w:szCs w:val="18"/>
          <w:highlight w:val="none"/>
          <w:lang w:eastAsia="zh-CN"/>
        </w:rPr>
        <w:t>八、</w:t>
      </w:r>
      <w:bookmarkEnd w:id="168"/>
      <w:bookmarkEnd w:id="169"/>
      <w:bookmarkEnd w:id="171"/>
      <w:bookmarkStart w:id="173" w:name="_Toc20972"/>
      <w:bookmarkStart w:id="174" w:name="_Toc2569"/>
      <w:bookmarkStart w:id="175" w:name="_Toc26337"/>
      <w:r>
        <w:rPr>
          <w:rFonts w:hint="eastAsia" w:ascii="宋体" w:hAnsi="宋体" w:eastAsia="宋体" w:cs="宋体"/>
          <w:color w:val="auto"/>
          <w:sz w:val="28"/>
          <w:szCs w:val="18"/>
          <w:highlight w:val="none"/>
          <w:lang w:eastAsia="zh-CN"/>
        </w:rPr>
        <w:t>提供具有履行合同所必需的设备和专业技术能力的证明资料或承诺书；</w:t>
      </w:r>
      <w:bookmarkEnd w:id="172"/>
      <w:bookmarkEnd w:id="173"/>
      <w:bookmarkEnd w:id="174"/>
      <w:bookmarkEnd w:id="175"/>
    </w:p>
    <w:p w14:paraId="4D489909">
      <w:pPr>
        <w:pStyle w:val="3"/>
        <w:keepNext/>
        <w:keepLines/>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sz w:val="28"/>
          <w:szCs w:val="18"/>
          <w:highlight w:val="none"/>
          <w:lang w:eastAsia="zh-CN"/>
        </w:rPr>
      </w:pPr>
      <w:bookmarkStart w:id="176" w:name="_Toc18199"/>
      <w:bookmarkStart w:id="177" w:name="_Toc23199"/>
      <w:bookmarkStart w:id="178" w:name="_Toc11524"/>
      <w:r>
        <w:rPr>
          <w:rFonts w:hint="eastAsia" w:ascii="宋体" w:hAnsi="宋体" w:eastAsia="宋体" w:cs="宋体"/>
          <w:color w:val="auto"/>
          <w:sz w:val="28"/>
          <w:szCs w:val="18"/>
          <w:highlight w:val="none"/>
          <w:lang w:val="en-US" w:eastAsia="zh-CN"/>
        </w:rPr>
        <w:br w:type="page"/>
      </w:r>
      <w:bookmarkStart w:id="179" w:name="_Toc9515"/>
      <w:r>
        <w:rPr>
          <w:rFonts w:hint="eastAsia" w:ascii="宋体" w:hAnsi="宋体" w:eastAsia="宋体" w:cs="宋体"/>
          <w:color w:val="auto"/>
          <w:sz w:val="28"/>
          <w:szCs w:val="18"/>
          <w:highlight w:val="none"/>
          <w:lang w:val="en-US" w:eastAsia="zh-CN"/>
        </w:rPr>
        <w:t>九、</w:t>
      </w:r>
      <w:r>
        <w:rPr>
          <w:rFonts w:hint="eastAsia" w:ascii="宋体" w:hAnsi="宋体" w:eastAsia="宋体" w:cs="宋体"/>
          <w:color w:val="auto"/>
          <w:sz w:val="28"/>
          <w:szCs w:val="18"/>
          <w:highlight w:val="none"/>
          <w:lang w:eastAsia="zh-CN"/>
        </w:rPr>
        <w:t>信用承诺书；</w:t>
      </w:r>
      <w:bookmarkEnd w:id="176"/>
      <w:bookmarkEnd w:id="177"/>
      <w:bookmarkEnd w:id="178"/>
      <w:bookmarkEnd w:id="179"/>
    </w:p>
    <w:p w14:paraId="253A2F9E">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center"/>
        <w:textAlignment w:val="auto"/>
        <w:outlineLvl w:val="1"/>
        <w:rPr>
          <w:rFonts w:hint="eastAsia" w:ascii="宋体" w:hAnsi="宋体" w:eastAsia="宋体" w:cs="宋体"/>
          <w:b/>
          <w:color w:val="auto"/>
          <w:kern w:val="2"/>
          <w:sz w:val="30"/>
          <w:highlight w:val="none"/>
          <w:lang w:val="en-US" w:eastAsia="zh-CN" w:bidi="ar-SA"/>
        </w:rPr>
      </w:pPr>
      <w:bookmarkStart w:id="180" w:name="_Toc17135"/>
      <w:bookmarkStart w:id="181" w:name="_Toc19010"/>
      <w:bookmarkStart w:id="182" w:name="_Toc12991"/>
      <w:bookmarkStart w:id="183" w:name="_Toc15475"/>
      <w:r>
        <w:rPr>
          <w:rFonts w:hint="eastAsia" w:ascii="宋体" w:hAnsi="宋体" w:eastAsia="宋体" w:cs="宋体"/>
          <w:b/>
          <w:color w:val="auto"/>
          <w:kern w:val="2"/>
          <w:sz w:val="30"/>
          <w:highlight w:val="none"/>
          <w:lang w:val="en-US" w:eastAsia="zh-CN" w:bidi="ar-SA"/>
        </w:rPr>
        <w:t>（一）榆林市政府采购工程类项目供应商信用承诺书</w:t>
      </w:r>
      <w:bookmarkEnd w:id="180"/>
    </w:p>
    <w:p w14:paraId="5460B70F">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市场主体名称：</w:t>
      </w:r>
    </w:p>
    <w:p w14:paraId="22E492DB">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证件类型：统一社会信用代码</w:t>
      </w:r>
    </w:p>
    <w:p w14:paraId="062BA485">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证件号码：</w:t>
      </w:r>
    </w:p>
    <w:p w14:paraId="1534258B">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法人代表：</w:t>
      </w:r>
    </w:p>
    <w:p w14:paraId="6C0196F7">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承诺有效期限：    年    月     日—       年      月      日</w:t>
      </w:r>
      <w:r>
        <w:rPr>
          <w:rFonts w:hint="eastAsia" w:ascii="宋体" w:hAnsi="宋体" w:cs="宋体"/>
          <w:color w:val="auto"/>
          <w:kern w:val="0"/>
          <w:sz w:val="24"/>
          <w:szCs w:val="24"/>
          <w:highlight w:val="none"/>
          <w:lang w:val="en-US" w:eastAsia="zh-CN" w:bidi="ar"/>
        </w:rPr>
        <w:t>（</w:t>
      </w:r>
      <w:r>
        <w:rPr>
          <w:rFonts w:hint="eastAsia" w:ascii="方正仿宋_GB2312" w:hAnsi="方正仿宋_GB2312" w:eastAsia="方正仿宋_GB2312" w:cs="方正仿宋_GB2312"/>
          <w:spacing w:val="0"/>
          <w:position w:val="0"/>
          <w:sz w:val="20"/>
          <w:szCs w:val="20"/>
        </w:rPr>
        <w:t>承诺有效期限为 1 年，从提交响应文件截止时间起计算。</w:t>
      </w:r>
      <w:r>
        <w:rPr>
          <w:rFonts w:hint="eastAsia" w:ascii="宋体" w:hAnsi="宋体" w:cs="宋体"/>
          <w:color w:val="auto"/>
          <w:kern w:val="0"/>
          <w:sz w:val="24"/>
          <w:szCs w:val="24"/>
          <w:highlight w:val="none"/>
          <w:lang w:val="en-US" w:eastAsia="zh-CN" w:bidi="ar"/>
        </w:rPr>
        <w:t>）</w:t>
      </w:r>
    </w:p>
    <w:p w14:paraId="2D9A1139">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承诺内容：</w:t>
      </w:r>
    </w:p>
    <w:p w14:paraId="29F47098">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为维护公开、公平、公正的政府采购市场秩序，树立诚实守信的政府采购供应商形象，本单位自愿做出以下承诺：</w:t>
      </w:r>
    </w:p>
    <w:p w14:paraId="18710780">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一、承诺本单位严格遵守国家法律、法规和规章，全面履行应尽的责任和义务，全面做到履约守信，具备《政府采购法》第二十二条第一款规定的条件；</w:t>
      </w:r>
    </w:p>
    <w:p w14:paraId="40E1DD34">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二、承诺本单位提供给注册登记部门、行业管理部门、司法部门、行业组织以及在政府采购活动中提交的所有资料均合法、真实、有效，无任何伪造、修改、虚假成份，并对所提供资料的真实性负责；</w:t>
      </w:r>
    </w:p>
    <w:p w14:paraId="4ADCC916">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三、承诺本单位严格依法开展生产经营活动，主动接受行业监管，自愿接受依法开展的日常检查；违法失信经营后将自愿接受约束和惩戒，并依法承担相应责任；</w:t>
      </w:r>
    </w:p>
    <w:p w14:paraId="5DF25220">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四、承诺本单位自觉接受行政管理部门、行业组织、社会公众、新闻舆论的监督；</w:t>
      </w:r>
    </w:p>
    <w:p w14:paraId="08187A18">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五、承诺本单位自我约束、自我管理，重合同、守信用，不制假售假、商标侵权、虚假宣传、违约毁约、恶意逃债、偷税漏税、价格欺诈、垄断和不正当竞争，维护经营者、消费者的合法权益；</w:t>
      </w:r>
    </w:p>
    <w:p w14:paraId="1CA04175">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六、承诺本单位提出政府采购质疑和投诉坚持依法依规、诚实信用原则，在全国范围12个月内没有三次以上查无实据的政府采购投诉；</w:t>
      </w:r>
    </w:p>
    <w:p w14:paraId="16BF6B7B">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七、根据政府采购相关法律法规的规定需要作出的其他承诺：</w:t>
      </w:r>
      <w:r>
        <w:rPr>
          <w:rFonts w:hint="eastAsia" w:ascii="宋体" w:hAnsi="宋体" w:eastAsia="宋体" w:cs="宋体"/>
          <w:color w:val="auto"/>
          <w:kern w:val="0"/>
          <w:sz w:val="24"/>
          <w:szCs w:val="24"/>
          <w:highlight w:val="none"/>
          <w:u w:val="single"/>
          <w:lang w:val="en-US" w:eastAsia="zh-CN" w:bidi="ar"/>
        </w:rPr>
        <w:t>      </w:t>
      </w:r>
      <w:r>
        <w:rPr>
          <w:rFonts w:hint="eastAsia" w:ascii="宋体" w:hAnsi="宋体" w:eastAsia="宋体" w:cs="宋体"/>
          <w:color w:val="auto"/>
          <w:kern w:val="0"/>
          <w:sz w:val="24"/>
          <w:szCs w:val="24"/>
          <w:highlight w:val="none"/>
          <w:lang w:val="en-US" w:eastAsia="zh-CN" w:bidi="ar"/>
        </w:rPr>
        <w:t>。</w:t>
      </w:r>
    </w:p>
    <w:p w14:paraId="453B2A3A">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4F172B4F">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p>
    <w:p w14:paraId="3AB112A6">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p>
    <w:p w14:paraId="3AD9D3A0">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p>
    <w:p w14:paraId="0A3AF593">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承诺单位（盖章）：</w:t>
      </w:r>
    </w:p>
    <w:p w14:paraId="3EE93049">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法定代表人（负责人）：</w:t>
      </w:r>
    </w:p>
    <w:p w14:paraId="19274913">
      <w:pPr>
        <w:keepNext w:val="0"/>
        <w:keepLines w:val="0"/>
        <w:widowControl/>
        <w:suppressLineNumbers w:val="0"/>
        <w:spacing w:line="360" w:lineRule="auto"/>
        <w:ind w:firstLine="2880" w:firstLineChars="1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法定代表人（负责人）身份证号：</w:t>
      </w:r>
    </w:p>
    <w:p w14:paraId="26B7978B">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承诺日期：</w:t>
      </w:r>
    </w:p>
    <w:p w14:paraId="15EEF97D">
      <w:pPr>
        <w:widowControl/>
        <w:spacing w:line="540" w:lineRule="exact"/>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注：法定代表人或负责人、主体名称发生变更的应当重新做出承诺；承诺书标题按照工程类、货物类、服务类确定。</w:t>
      </w:r>
    </w:p>
    <w:p w14:paraId="4F4C9F94">
      <w:pPr>
        <w:pStyle w:val="8"/>
        <w:spacing w:line="240" w:lineRule="auto"/>
        <w:rPr>
          <w:rFonts w:hint="eastAsia" w:ascii="宋体" w:hAnsi="宋体" w:eastAsia="宋体" w:cs="宋体"/>
          <w:b w:val="0"/>
          <w:bCs/>
          <w:color w:val="auto"/>
          <w:sz w:val="20"/>
          <w:szCs w:val="20"/>
          <w:highlight w:val="none"/>
        </w:rPr>
      </w:pPr>
    </w:p>
    <w:p w14:paraId="0BECB883">
      <w:pPr>
        <w:pStyle w:val="8"/>
        <w:spacing w:line="240" w:lineRule="auto"/>
        <w:ind w:firstLine="400" w:firstLineChars="200"/>
        <w:rPr>
          <w:rFonts w:hint="eastAsia" w:ascii="宋体" w:hAnsi="宋体" w:eastAsia="宋体" w:cs="宋体"/>
          <w:b/>
          <w:bCs w:val="0"/>
          <w:color w:val="auto"/>
          <w:highlight w:val="none"/>
          <w:lang w:val="en-US" w:eastAsia="zh-CN"/>
        </w:rPr>
      </w:pPr>
      <w:r>
        <w:rPr>
          <w:rFonts w:hint="eastAsia" w:ascii="宋体" w:hAnsi="宋体" w:eastAsia="宋体" w:cs="宋体"/>
          <w:b w:val="0"/>
          <w:bCs/>
          <w:color w:val="auto"/>
          <w:sz w:val="20"/>
          <w:szCs w:val="20"/>
          <w:highlight w:val="none"/>
        </w:rPr>
        <w:t>供应商参与</w:t>
      </w:r>
      <w:r>
        <w:rPr>
          <w:rFonts w:hint="eastAsia" w:ascii="宋体" w:hAnsi="宋体" w:eastAsia="宋体" w:cs="宋体"/>
          <w:b w:val="0"/>
          <w:bCs/>
          <w:color w:val="auto"/>
          <w:sz w:val="20"/>
          <w:szCs w:val="20"/>
          <w:highlight w:val="none"/>
          <w:lang w:val="en-US" w:eastAsia="zh-CN"/>
        </w:rPr>
        <w:t>投标</w:t>
      </w:r>
      <w:r>
        <w:rPr>
          <w:rFonts w:hint="eastAsia" w:ascii="宋体" w:hAnsi="宋体" w:eastAsia="宋体" w:cs="宋体"/>
          <w:b w:val="0"/>
          <w:bCs/>
          <w:color w:val="auto"/>
          <w:sz w:val="20"/>
          <w:szCs w:val="20"/>
          <w:highlight w:val="none"/>
        </w:rPr>
        <w:t>截止时间</w:t>
      </w:r>
      <w:r>
        <w:rPr>
          <w:rFonts w:hint="eastAsia" w:ascii="宋体" w:hAnsi="宋体" w:eastAsia="宋体" w:cs="宋体"/>
          <w:b w:val="0"/>
          <w:bCs/>
          <w:color w:val="auto"/>
          <w:sz w:val="20"/>
          <w:szCs w:val="20"/>
          <w:highlight w:val="none"/>
          <w:lang w:eastAsia="zh-CN"/>
        </w:rPr>
        <w:t>前</w:t>
      </w:r>
      <w:r>
        <w:rPr>
          <w:rFonts w:hint="eastAsia" w:ascii="宋体" w:hAnsi="宋体" w:eastAsia="宋体" w:cs="宋体"/>
          <w:b w:val="0"/>
          <w:bCs/>
          <w:color w:val="auto"/>
          <w:sz w:val="20"/>
          <w:szCs w:val="20"/>
          <w:highlight w:val="none"/>
        </w:rPr>
        <w:t>需在信用中国（陕西榆林）”网站进行注册、登陆，自主上报信用承诺书（网址：</w:t>
      </w:r>
      <w:r>
        <w:rPr>
          <w:rFonts w:hint="eastAsia" w:ascii="宋体" w:hAnsi="宋体" w:eastAsia="宋体" w:cs="宋体"/>
          <w:b w:val="0"/>
          <w:bCs/>
          <w:color w:val="auto"/>
          <w:sz w:val="20"/>
          <w:szCs w:val="20"/>
          <w:highlight w:val="none"/>
        </w:rPr>
        <w:fldChar w:fldCharType="begin"/>
      </w:r>
      <w:r>
        <w:rPr>
          <w:rFonts w:hint="eastAsia" w:ascii="宋体" w:hAnsi="宋体" w:eastAsia="宋体" w:cs="宋体"/>
          <w:b w:val="0"/>
          <w:bCs/>
          <w:color w:val="auto"/>
          <w:sz w:val="20"/>
          <w:szCs w:val="20"/>
          <w:highlight w:val="none"/>
        </w:rPr>
        <w:instrText xml:space="preserve"> HYPERLINK "https://credit.yl.gov.cn/）。" </w:instrText>
      </w:r>
      <w:r>
        <w:rPr>
          <w:rFonts w:hint="eastAsia" w:ascii="宋体" w:hAnsi="宋体" w:eastAsia="宋体" w:cs="宋体"/>
          <w:b w:val="0"/>
          <w:bCs/>
          <w:color w:val="auto"/>
          <w:sz w:val="20"/>
          <w:szCs w:val="20"/>
          <w:highlight w:val="none"/>
        </w:rPr>
        <w:fldChar w:fldCharType="separate"/>
      </w:r>
      <w:r>
        <w:rPr>
          <w:rStyle w:val="28"/>
          <w:rFonts w:hint="eastAsia" w:ascii="宋体" w:hAnsi="宋体" w:eastAsia="宋体" w:cs="宋体"/>
          <w:b w:val="0"/>
          <w:bCs/>
          <w:color w:val="auto"/>
          <w:sz w:val="20"/>
          <w:szCs w:val="20"/>
          <w:highlight w:val="none"/>
        </w:rPr>
        <w:t>https://credit.yl.gov.cn/）</w:t>
      </w:r>
      <w:r>
        <w:rPr>
          <w:rStyle w:val="28"/>
          <w:rFonts w:hint="eastAsia" w:ascii="宋体" w:hAnsi="宋体" w:eastAsia="宋体" w:cs="宋体"/>
          <w:b w:val="0"/>
          <w:bCs/>
          <w:color w:val="auto"/>
          <w:sz w:val="20"/>
          <w:szCs w:val="20"/>
          <w:highlight w:val="none"/>
          <w:lang w:eastAsia="zh-CN"/>
        </w:rPr>
        <w:t>。</w:t>
      </w:r>
      <w:r>
        <w:rPr>
          <w:rFonts w:hint="eastAsia" w:ascii="宋体" w:hAnsi="宋体" w:eastAsia="宋体" w:cs="宋体"/>
          <w:b w:val="0"/>
          <w:bCs/>
          <w:color w:val="auto"/>
          <w:sz w:val="20"/>
          <w:szCs w:val="20"/>
          <w:highlight w:val="none"/>
        </w:rPr>
        <w:fldChar w:fldCharType="end"/>
      </w:r>
      <w:r>
        <w:rPr>
          <w:rFonts w:hint="eastAsia" w:ascii="宋体" w:hAnsi="宋体" w:eastAsia="宋体" w:cs="宋体"/>
          <w:b/>
          <w:bCs w:val="0"/>
          <w:color w:val="auto"/>
          <w:sz w:val="20"/>
          <w:szCs w:val="20"/>
          <w:highlight w:val="none"/>
          <w:lang w:val="en-US" w:eastAsia="zh-CN"/>
        </w:rPr>
        <w:t>后附信用榆林上传承诺截图</w:t>
      </w:r>
    </w:p>
    <w:p w14:paraId="4F100ECF">
      <w:pPr>
        <w:widowControl/>
        <w:spacing w:line="54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lang w:val="en-US" w:eastAsia="zh-CN"/>
        </w:rPr>
        <w:t>二</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sz w:val="28"/>
          <w:szCs w:val="18"/>
          <w:highlight w:val="none"/>
          <w:lang w:eastAsia="zh-CN"/>
        </w:rPr>
        <w:t>投标信用承诺书</w:t>
      </w:r>
    </w:p>
    <w:p w14:paraId="434FFE2F">
      <w:pPr>
        <w:widowControl/>
        <w:spacing w:line="54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项目</w:t>
      </w:r>
      <w:r>
        <w:rPr>
          <w:rFonts w:hint="eastAsia" w:ascii="宋体" w:hAnsi="宋体" w:eastAsia="宋体" w:cs="宋体"/>
          <w:color w:val="auto"/>
          <w:kern w:val="0"/>
          <w:sz w:val="24"/>
          <w:highlight w:val="none"/>
          <w:lang w:val="en-US" w:eastAsia="zh-CN"/>
        </w:rPr>
        <w:t>名称</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p>
    <w:p w14:paraId="51F34952">
      <w:pPr>
        <w:widowControl/>
        <w:spacing w:line="54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投标人：</w:t>
      </w:r>
      <w:r>
        <w:rPr>
          <w:rFonts w:hint="eastAsia" w:ascii="宋体" w:hAnsi="宋体" w:eastAsia="宋体" w:cs="宋体"/>
          <w:color w:val="auto"/>
          <w:kern w:val="0"/>
          <w:sz w:val="24"/>
          <w:highlight w:val="none"/>
          <w:u w:val="single"/>
        </w:rPr>
        <w:t xml:space="preserve">                                                                    </w:t>
      </w:r>
    </w:p>
    <w:p w14:paraId="0F8782C0">
      <w:pPr>
        <w:widowControl/>
        <w:spacing w:line="54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统一社会信用代码：</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法人代表：</w:t>
      </w:r>
      <w:r>
        <w:rPr>
          <w:rFonts w:hint="eastAsia" w:ascii="宋体" w:hAnsi="宋体" w:eastAsia="宋体" w:cs="宋体"/>
          <w:color w:val="auto"/>
          <w:kern w:val="0"/>
          <w:sz w:val="24"/>
          <w:highlight w:val="none"/>
          <w:u w:val="single"/>
        </w:rPr>
        <w:t xml:space="preserve">                 </w:t>
      </w:r>
    </w:p>
    <w:p w14:paraId="2E1E3C17">
      <w:pPr>
        <w:widowControl/>
        <w:adjustRightInd w:val="0"/>
        <w:snapToGrid w:val="0"/>
        <w:spacing w:line="54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在本项目标段招投标活动中，我公司（单位）自愿作出以下投标信用承诺：</w:t>
      </w:r>
    </w:p>
    <w:p w14:paraId="4E7A0DD7">
      <w:pPr>
        <w:widowControl/>
        <w:adjustRightInd w:val="0"/>
        <w:snapToGrid w:val="0"/>
        <w:spacing w:line="54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（一）能严格遵守法律法规、职业道德和行业规范。</w:t>
      </w:r>
    </w:p>
    <w:p w14:paraId="605AE7A5">
      <w:pPr>
        <w:widowControl/>
        <w:adjustRightInd w:val="0"/>
        <w:snapToGrid w:val="0"/>
        <w:spacing w:line="54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highlight w:val="none"/>
          <w:lang w:eastAsia="zh-CN"/>
        </w:rPr>
        <w:t>竞争性磋商文件</w:t>
      </w:r>
      <w:r>
        <w:rPr>
          <w:rFonts w:hint="eastAsia" w:ascii="宋体" w:hAnsi="宋体" w:eastAsia="宋体" w:cs="宋体"/>
          <w:color w:val="auto"/>
          <w:kern w:val="0"/>
          <w:sz w:val="24"/>
          <w:highlight w:val="none"/>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highlight w:val="none"/>
          <w:lang w:eastAsia="zh-CN"/>
        </w:rPr>
        <w:t>竞争性磋商文件</w:t>
      </w:r>
      <w:r>
        <w:rPr>
          <w:rFonts w:hint="eastAsia" w:ascii="宋体" w:hAnsi="宋体" w:eastAsia="宋体" w:cs="宋体"/>
          <w:color w:val="auto"/>
          <w:kern w:val="0"/>
          <w:sz w:val="24"/>
          <w:highlight w:val="none"/>
        </w:rPr>
        <w:t>的规定提交履约保证金。5.招投标法规定的其它违法违规行为。</w:t>
      </w:r>
    </w:p>
    <w:p w14:paraId="39A1F1CD">
      <w:pPr>
        <w:widowControl/>
        <w:adjustRightInd w:val="0"/>
        <w:snapToGrid w:val="0"/>
        <w:spacing w:line="54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（三）若我公司（单位）及相关参与人员违背以上承诺事项，即被视为失信企业（法人），依据《关于对公共资源交易领域严重失信主体开展联合惩戒的备忘录》（发改法规</w:t>
      </w:r>
      <w:r>
        <w:rPr>
          <w:rFonts w:hint="eastAsia" w:ascii="宋体" w:hAnsi="宋体" w:eastAsia="宋体" w:cs="宋体"/>
          <w:color w:val="auto"/>
          <w:kern w:val="0"/>
          <w:sz w:val="24"/>
          <w:highlight w:val="none"/>
          <w:lang w:eastAsia="zh-CN"/>
        </w:rPr>
        <w:t>〔2018〕457号</w:t>
      </w:r>
      <w:r>
        <w:rPr>
          <w:rFonts w:hint="eastAsia" w:ascii="宋体" w:hAnsi="宋体" w:eastAsia="宋体" w:cs="宋体"/>
          <w:color w:val="auto"/>
          <w:kern w:val="0"/>
          <w:sz w:val="24"/>
          <w:highlight w:val="none"/>
        </w:rPr>
        <w:t>），自愿接受1至3年内限制参与公共资源交易活动。</w:t>
      </w:r>
    </w:p>
    <w:p w14:paraId="26DD6429">
      <w:pPr>
        <w:widowControl/>
        <w:adjustRightInd w:val="0"/>
        <w:snapToGrid w:val="0"/>
        <w:spacing w:line="540" w:lineRule="exact"/>
        <w:ind w:firstLine="480" w:firstLineChars="200"/>
        <w:jc w:val="left"/>
        <w:rPr>
          <w:rFonts w:hint="eastAsia" w:ascii="宋体" w:hAnsi="宋体" w:eastAsia="宋体" w:cs="宋体"/>
          <w:color w:val="auto"/>
          <w:kern w:val="0"/>
          <w:sz w:val="24"/>
          <w:highlight w:val="none"/>
        </w:rPr>
      </w:pPr>
    </w:p>
    <w:p w14:paraId="71502D24">
      <w:pPr>
        <w:widowControl/>
        <w:tabs>
          <w:tab w:val="left" w:pos="4395"/>
        </w:tabs>
        <w:adjustRightInd w:val="0"/>
        <w:snapToGrid w:val="0"/>
        <w:spacing w:line="500" w:lineRule="exact"/>
        <w:ind w:firstLine="480" w:firstLineChars="200"/>
        <w:jc w:val="left"/>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法定代表人（签章）：             投标人（盖章）：</w:t>
      </w:r>
    </w:p>
    <w:p w14:paraId="198CDB59">
      <w:pPr>
        <w:adjustRightInd w:val="0"/>
        <w:snapToGrid w:val="0"/>
        <w:spacing w:line="500" w:lineRule="exact"/>
        <w:ind w:firstLine="4440" w:firstLineChars="1850"/>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承诺时间：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470F943">
      <w:pPr>
        <w:widowControl/>
        <w:adjustRightInd w:val="0"/>
        <w:snapToGrid w:val="0"/>
        <w:spacing w:line="54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说明：本承诺书效力和作用等同投标保证金，其有效期与投标有效期一致</w:t>
      </w:r>
      <w:r>
        <w:rPr>
          <w:rFonts w:hint="eastAsia" w:ascii="宋体" w:hAnsi="宋体" w:cs="宋体"/>
          <w:color w:val="auto"/>
          <w:kern w:val="0"/>
          <w:sz w:val="24"/>
          <w:highlight w:val="none"/>
          <w:lang w:eastAsia="zh-CN"/>
        </w:rPr>
        <w:t>，从提交响应文件截止时间起计算。</w:t>
      </w:r>
    </w:p>
    <w:p w14:paraId="1C1D7539">
      <w:pPr>
        <w:pStyle w:val="8"/>
        <w:spacing w:line="240" w:lineRule="auto"/>
        <w:rPr>
          <w:rFonts w:hint="eastAsia" w:ascii="宋体" w:hAnsi="宋体" w:eastAsia="宋体" w:cs="宋体"/>
          <w:b w:val="0"/>
          <w:bCs/>
          <w:color w:val="auto"/>
          <w:sz w:val="20"/>
          <w:szCs w:val="20"/>
          <w:highlight w:val="none"/>
        </w:rPr>
      </w:pPr>
    </w:p>
    <w:p w14:paraId="390AE683">
      <w:pPr>
        <w:pStyle w:val="8"/>
        <w:spacing w:line="240" w:lineRule="auto"/>
        <w:ind w:firstLine="400" w:firstLineChars="200"/>
        <w:rPr>
          <w:rFonts w:hint="eastAsia" w:ascii="宋体" w:hAnsi="宋体" w:eastAsia="宋体" w:cs="宋体"/>
          <w:b/>
          <w:bCs w:val="0"/>
          <w:color w:val="auto"/>
          <w:highlight w:val="none"/>
          <w:lang w:val="en-US" w:eastAsia="zh-CN"/>
        </w:rPr>
      </w:pPr>
      <w:r>
        <w:rPr>
          <w:rFonts w:hint="eastAsia" w:ascii="宋体" w:hAnsi="宋体" w:eastAsia="宋体" w:cs="宋体"/>
          <w:b w:val="0"/>
          <w:bCs/>
          <w:color w:val="auto"/>
          <w:sz w:val="20"/>
          <w:szCs w:val="20"/>
          <w:highlight w:val="none"/>
        </w:rPr>
        <w:t>供应商参与</w:t>
      </w:r>
      <w:r>
        <w:rPr>
          <w:rFonts w:hint="eastAsia" w:ascii="宋体" w:hAnsi="宋体" w:eastAsia="宋体" w:cs="宋体"/>
          <w:b w:val="0"/>
          <w:bCs/>
          <w:color w:val="auto"/>
          <w:sz w:val="20"/>
          <w:szCs w:val="20"/>
          <w:highlight w:val="none"/>
          <w:lang w:val="en-US" w:eastAsia="zh-CN"/>
        </w:rPr>
        <w:t>投标</w:t>
      </w:r>
      <w:r>
        <w:rPr>
          <w:rFonts w:hint="eastAsia" w:ascii="宋体" w:hAnsi="宋体" w:eastAsia="宋体" w:cs="宋体"/>
          <w:b w:val="0"/>
          <w:bCs/>
          <w:color w:val="auto"/>
          <w:sz w:val="20"/>
          <w:szCs w:val="20"/>
          <w:highlight w:val="none"/>
        </w:rPr>
        <w:t>截止时间</w:t>
      </w:r>
      <w:r>
        <w:rPr>
          <w:rFonts w:hint="eastAsia" w:ascii="宋体" w:hAnsi="宋体" w:eastAsia="宋体" w:cs="宋体"/>
          <w:b w:val="0"/>
          <w:bCs/>
          <w:color w:val="auto"/>
          <w:sz w:val="20"/>
          <w:szCs w:val="20"/>
          <w:highlight w:val="none"/>
          <w:lang w:eastAsia="zh-CN"/>
        </w:rPr>
        <w:t>前</w:t>
      </w:r>
      <w:r>
        <w:rPr>
          <w:rFonts w:hint="eastAsia" w:ascii="宋体" w:hAnsi="宋体" w:eastAsia="宋体" w:cs="宋体"/>
          <w:b w:val="0"/>
          <w:bCs/>
          <w:color w:val="auto"/>
          <w:sz w:val="20"/>
          <w:szCs w:val="20"/>
          <w:highlight w:val="none"/>
        </w:rPr>
        <w:t>需在信用中国（陕西榆林）”网站进行注册、登陆，自主上报信用承诺书（网址：</w:t>
      </w:r>
      <w:r>
        <w:rPr>
          <w:rFonts w:hint="eastAsia" w:ascii="宋体" w:hAnsi="宋体" w:eastAsia="宋体" w:cs="宋体"/>
          <w:b w:val="0"/>
          <w:bCs/>
          <w:color w:val="auto"/>
          <w:sz w:val="20"/>
          <w:szCs w:val="20"/>
          <w:highlight w:val="none"/>
        </w:rPr>
        <w:fldChar w:fldCharType="begin"/>
      </w:r>
      <w:r>
        <w:rPr>
          <w:rFonts w:hint="eastAsia" w:ascii="宋体" w:hAnsi="宋体" w:eastAsia="宋体" w:cs="宋体"/>
          <w:b w:val="0"/>
          <w:bCs/>
          <w:color w:val="auto"/>
          <w:sz w:val="20"/>
          <w:szCs w:val="20"/>
          <w:highlight w:val="none"/>
        </w:rPr>
        <w:instrText xml:space="preserve"> HYPERLINK "https://credit.yl.gov.cn/）。" </w:instrText>
      </w:r>
      <w:r>
        <w:rPr>
          <w:rFonts w:hint="eastAsia" w:ascii="宋体" w:hAnsi="宋体" w:eastAsia="宋体" w:cs="宋体"/>
          <w:b w:val="0"/>
          <w:bCs/>
          <w:color w:val="auto"/>
          <w:sz w:val="20"/>
          <w:szCs w:val="20"/>
          <w:highlight w:val="none"/>
        </w:rPr>
        <w:fldChar w:fldCharType="separate"/>
      </w:r>
      <w:r>
        <w:rPr>
          <w:rStyle w:val="28"/>
          <w:rFonts w:hint="eastAsia" w:ascii="宋体" w:hAnsi="宋体" w:eastAsia="宋体" w:cs="宋体"/>
          <w:b w:val="0"/>
          <w:bCs/>
          <w:color w:val="auto"/>
          <w:sz w:val="20"/>
          <w:szCs w:val="20"/>
          <w:highlight w:val="none"/>
        </w:rPr>
        <w:t>https://credit.yl.gov.cn/）</w:t>
      </w:r>
      <w:r>
        <w:rPr>
          <w:rStyle w:val="28"/>
          <w:rFonts w:hint="eastAsia" w:ascii="宋体" w:hAnsi="宋体" w:eastAsia="宋体" w:cs="宋体"/>
          <w:b w:val="0"/>
          <w:bCs/>
          <w:color w:val="auto"/>
          <w:sz w:val="20"/>
          <w:szCs w:val="20"/>
          <w:highlight w:val="none"/>
          <w:lang w:eastAsia="zh-CN"/>
        </w:rPr>
        <w:t>。</w:t>
      </w:r>
      <w:r>
        <w:rPr>
          <w:rFonts w:hint="eastAsia" w:ascii="宋体" w:hAnsi="宋体" w:eastAsia="宋体" w:cs="宋体"/>
          <w:b w:val="0"/>
          <w:bCs/>
          <w:color w:val="auto"/>
          <w:sz w:val="20"/>
          <w:szCs w:val="20"/>
          <w:highlight w:val="none"/>
        </w:rPr>
        <w:fldChar w:fldCharType="end"/>
      </w:r>
      <w:r>
        <w:rPr>
          <w:rFonts w:hint="eastAsia" w:ascii="宋体" w:hAnsi="宋体" w:eastAsia="宋体" w:cs="宋体"/>
          <w:b/>
          <w:bCs w:val="0"/>
          <w:color w:val="auto"/>
          <w:sz w:val="20"/>
          <w:szCs w:val="20"/>
          <w:highlight w:val="none"/>
          <w:lang w:val="en-US" w:eastAsia="zh-CN"/>
        </w:rPr>
        <w:t>后附信用榆林上传承诺截图</w:t>
      </w:r>
    </w:p>
    <w:p w14:paraId="3BE14C3E">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br w:type="page"/>
      </w:r>
      <w:r>
        <w:rPr>
          <w:rFonts w:hint="eastAsia" w:ascii="宋体" w:hAnsi="宋体" w:eastAsia="宋体" w:cs="宋体"/>
          <w:b/>
          <w:bCs/>
          <w:color w:val="auto"/>
          <w:sz w:val="28"/>
          <w:szCs w:val="28"/>
          <w:highlight w:val="none"/>
          <w:lang w:eastAsia="zh-CN"/>
        </w:rPr>
        <w:t>（三）</w:t>
      </w:r>
      <w:r>
        <w:rPr>
          <w:rFonts w:hint="eastAsia" w:ascii="宋体" w:hAnsi="宋体" w:eastAsia="宋体" w:cs="宋体"/>
          <w:b/>
          <w:bCs/>
          <w:color w:val="auto"/>
          <w:sz w:val="28"/>
          <w:szCs w:val="28"/>
          <w:highlight w:val="none"/>
        </w:rPr>
        <w:t>投标人信用承诺书</w:t>
      </w:r>
    </w:p>
    <w:p w14:paraId="4300D1F8">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633C7AA5">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统一社会信用代码：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法人代表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58E7DBF4">
      <w:pPr>
        <w:widowControl/>
        <w:adjustRightInd w:val="0"/>
        <w:snapToGrid w:val="0"/>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承诺有效期限：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kern w:val="0"/>
          <w:sz w:val="24"/>
          <w:highlight w:val="none"/>
        </w:rPr>
        <w:t>其有效期与投标有效期一致</w:t>
      </w:r>
      <w:r>
        <w:rPr>
          <w:rFonts w:hint="eastAsia" w:ascii="宋体" w:hAnsi="宋体" w:cs="宋体"/>
          <w:color w:val="auto"/>
          <w:kern w:val="0"/>
          <w:sz w:val="24"/>
          <w:highlight w:val="none"/>
          <w:lang w:eastAsia="zh-CN"/>
        </w:rPr>
        <w:t>，从提交响应文件截止时间起计算</w:t>
      </w:r>
      <w:r>
        <w:rPr>
          <w:rFonts w:hint="eastAsia" w:ascii="宋体" w:hAnsi="宋体" w:eastAsia="宋体" w:cs="宋体"/>
          <w:color w:val="auto"/>
          <w:sz w:val="24"/>
          <w:szCs w:val="24"/>
          <w:highlight w:val="none"/>
        </w:rPr>
        <w:t>）</w:t>
      </w:r>
    </w:p>
    <w:p w14:paraId="41A3B4A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项目招投标活动中，我公司（单位）郑重作出以下信用承诺：</w:t>
      </w:r>
    </w:p>
    <w:p w14:paraId="0D6E436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1CD6DBD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（二）不得有以下违法违规行为：1. 围标串标；以他人名义或者其他方式弄虚作假投标；出让出租资格、资质证书供他人投标；恶意竞标、强揽工程；以暴力、威胁、利诱等手段阻止或者控制其他潜在投标人参与招投标活动。2. 向招投标监督部门、交易中心、招标人、招标代理机构、评审委员会及其成员等当事主体赠送财物。3. 投标截止后至中标人确定前，修改或者撤销投标文件。4. 在被确定为中标人后无正当理由：不按照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和投标文件与招标人签订合同；在签订合同时向招标人提出附加条件、或者改变投标文件的实质性内容；放弃中标；不按照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的规定提交履约保证金。5. 招投标法规定的其它违法违规行为。</w:t>
      </w:r>
    </w:p>
    <w:p w14:paraId="19D5F26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（三）自愿接受招投标监督部门和有关行政监督部门的依法检查。</w:t>
      </w:r>
    </w:p>
    <w:p w14:paraId="1E197C6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（四）同意将此信用承诺纳入陕西省公共信用信息平台和榆林市公共信用信息共享平台，并上网公示，接受社会监督。</w:t>
      </w:r>
    </w:p>
    <w:p w14:paraId="0D12326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（五）若我公司（单位）及相关参与人员违背以上承诺事项，即被视为失信企（法人）， 依据《关于对公共资源交易领域严重失信主体开展联合惩戒的备忘录》 (发改法规［2018] 457号）， 自愿接受失信联合惩戒和依法给予的行政处罚（处理）， 并依法承担赔偿责任和刑事责任。</w:t>
      </w:r>
    </w:p>
    <w:p w14:paraId="07A74CE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投标人（盖章）：</w:t>
      </w:r>
    </w:p>
    <w:p w14:paraId="1216923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320" w:firstLineChars="1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440C20EE">
      <w:pPr>
        <w:pStyle w:val="8"/>
        <w:spacing w:line="240" w:lineRule="auto"/>
        <w:rPr>
          <w:rFonts w:hint="eastAsia" w:ascii="宋体" w:hAnsi="宋体" w:eastAsia="宋体" w:cs="宋体"/>
          <w:b/>
          <w:bCs w:val="0"/>
          <w:color w:val="auto"/>
          <w:highlight w:val="none"/>
          <w:lang w:val="en-US" w:eastAsia="zh-CN"/>
        </w:rPr>
      </w:pPr>
      <w:r>
        <w:rPr>
          <w:rFonts w:hint="eastAsia" w:ascii="宋体" w:hAnsi="宋体" w:eastAsia="宋体" w:cs="宋体"/>
          <w:b w:val="0"/>
          <w:bCs/>
          <w:color w:val="auto"/>
          <w:sz w:val="20"/>
          <w:szCs w:val="20"/>
          <w:highlight w:val="none"/>
        </w:rPr>
        <w:t>供应商参与</w:t>
      </w:r>
      <w:r>
        <w:rPr>
          <w:rFonts w:hint="eastAsia" w:ascii="宋体" w:hAnsi="宋体" w:eastAsia="宋体" w:cs="宋体"/>
          <w:b w:val="0"/>
          <w:bCs/>
          <w:color w:val="auto"/>
          <w:sz w:val="20"/>
          <w:szCs w:val="20"/>
          <w:highlight w:val="none"/>
          <w:lang w:val="en-US" w:eastAsia="zh-CN"/>
        </w:rPr>
        <w:t>投标</w:t>
      </w:r>
      <w:r>
        <w:rPr>
          <w:rFonts w:hint="eastAsia" w:ascii="宋体" w:hAnsi="宋体" w:eastAsia="宋体" w:cs="宋体"/>
          <w:b w:val="0"/>
          <w:bCs/>
          <w:color w:val="auto"/>
          <w:sz w:val="20"/>
          <w:szCs w:val="20"/>
          <w:highlight w:val="none"/>
        </w:rPr>
        <w:t>截止时间前时需在信用中国（陕西榆林）”网站进行注册、登陆，自主上报信用承诺书（网址：</w:t>
      </w:r>
      <w:r>
        <w:rPr>
          <w:rFonts w:hint="eastAsia" w:ascii="宋体" w:hAnsi="宋体" w:eastAsia="宋体" w:cs="宋体"/>
          <w:b w:val="0"/>
          <w:bCs/>
          <w:color w:val="auto"/>
          <w:sz w:val="20"/>
          <w:szCs w:val="20"/>
          <w:highlight w:val="none"/>
        </w:rPr>
        <w:fldChar w:fldCharType="begin"/>
      </w:r>
      <w:r>
        <w:rPr>
          <w:rFonts w:hint="eastAsia" w:ascii="宋体" w:hAnsi="宋体" w:eastAsia="宋体" w:cs="宋体"/>
          <w:b w:val="0"/>
          <w:bCs/>
          <w:color w:val="auto"/>
          <w:sz w:val="20"/>
          <w:szCs w:val="20"/>
          <w:highlight w:val="none"/>
        </w:rPr>
        <w:instrText xml:space="preserve"> HYPERLINK "https://credit.yl.gov.cn/）。" </w:instrText>
      </w:r>
      <w:r>
        <w:rPr>
          <w:rFonts w:hint="eastAsia" w:ascii="宋体" w:hAnsi="宋体" w:eastAsia="宋体" w:cs="宋体"/>
          <w:b w:val="0"/>
          <w:bCs/>
          <w:color w:val="auto"/>
          <w:sz w:val="20"/>
          <w:szCs w:val="20"/>
          <w:highlight w:val="none"/>
        </w:rPr>
        <w:fldChar w:fldCharType="separate"/>
      </w:r>
      <w:r>
        <w:rPr>
          <w:rStyle w:val="28"/>
          <w:rFonts w:hint="eastAsia" w:ascii="宋体" w:hAnsi="宋体" w:eastAsia="宋体" w:cs="宋体"/>
          <w:b w:val="0"/>
          <w:bCs/>
          <w:color w:val="auto"/>
          <w:sz w:val="20"/>
          <w:szCs w:val="20"/>
          <w:highlight w:val="none"/>
        </w:rPr>
        <w:t>https://credit.yl.gov.cn/）</w:t>
      </w:r>
      <w:r>
        <w:rPr>
          <w:rStyle w:val="28"/>
          <w:rFonts w:hint="eastAsia" w:ascii="宋体" w:hAnsi="宋体" w:eastAsia="宋体" w:cs="宋体"/>
          <w:b w:val="0"/>
          <w:bCs/>
          <w:color w:val="auto"/>
          <w:sz w:val="20"/>
          <w:szCs w:val="20"/>
          <w:highlight w:val="none"/>
          <w:lang w:eastAsia="zh-CN"/>
        </w:rPr>
        <w:t>。</w:t>
      </w:r>
      <w:r>
        <w:rPr>
          <w:rFonts w:hint="eastAsia" w:ascii="宋体" w:hAnsi="宋体" w:eastAsia="宋体" w:cs="宋体"/>
          <w:b w:val="0"/>
          <w:bCs/>
          <w:color w:val="auto"/>
          <w:sz w:val="20"/>
          <w:szCs w:val="20"/>
          <w:highlight w:val="none"/>
        </w:rPr>
        <w:fldChar w:fldCharType="end"/>
      </w:r>
      <w:r>
        <w:rPr>
          <w:rFonts w:hint="eastAsia" w:ascii="宋体" w:hAnsi="宋体" w:eastAsia="宋体" w:cs="宋体"/>
          <w:b/>
          <w:bCs w:val="0"/>
          <w:color w:val="auto"/>
          <w:sz w:val="20"/>
          <w:szCs w:val="20"/>
          <w:highlight w:val="none"/>
          <w:lang w:val="en-US" w:eastAsia="zh-CN"/>
        </w:rPr>
        <w:t>后附信用榆林上传承诺截图</w:t>
      </w:r>
    </w:p>
    <w:p w14:paraId="11CF05B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eastAsia="zh-CN"/>
        </w:rPr>
        <w:t>（四）投标</w:t>
      </w:r>
      <w:r>
        <w:rPr>
          <w:rFonts w:hint="eastAsia" w:ascii="宋体" w:hAnsi="宋体" w:eastAsia="宋体" w:cs="宋体"/>
          <w:b/>
          <w:bCs/>
          <w:color w:val="auto"/>
          <w:sz w:val="28"/>
          <w:szCs w:val="28"/>
          <w:highlight w:val="none"/>
          <w:lang w:val="en-US" w:eastAsia="zh-CN"/>
        </w:rPr>
        <w:t>人委托代理人员</w:t>
      </w:r>
      <w:r>
        <w:rPr>
          <w:rFonts w:hint="eastAsia" w:ascii="宋体" w:hAnsi="宋体" w:eastAsia="宋体" w:cs="宋体"/>
          <w:b/>
          <w:bCs/>
          <w:color w:val="auto"/>
          <w:sz w:val="28"/>
          <w:szCs w:val="28"/>
          <w:highlight w:val="none"/>
          <w:lang w:eastAsia="zh-CN"/>
        </w:rPr>
        <w:t>信用承诺书</w:t>
      </w:r>
    </w:p>
    <w:p w14:paraId="721004F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项目招投标活动中，我公司（单位）郑重作出以下信用承诺：</w:t>
      </w:r>
    </w:p>
    <w:p w14:paraId="7F07CD6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207AEB4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（二）不得有以下违法违规行为：1. 围标串标；以他人名义或者其他方式弄虚作假投标；出让出租资格、资质证书供他人投标；恶意竞标、强揽工程；以暴力、威胁、利诱等手段阻止或者控制其他潜在投标人参与招投标活动。2. 向招投标监督部门、交易中心、招标人、招标代理机构、评审委员会及其成员等当事主体赠送财物。3. 投标截止后至中标人确定前，修改或者撤销投标文件。4. 在被确定为中标人后无正当理由：不按照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和投标文件与招标人签订合同；在签订合同时向招标人提出附加条件、或者改变投标文件的实质性内容；放弃中标；不按照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的规定提交履约保证金。5. 招投标法规定的其它违法违规行为。</w:t>
      </w:r>
    </w:p>
    <w:p w14:paraId="0A2EE35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（三）自愿接受招投标监督部门和有关行政监督部门的依法检查。</w:t>
      </w:r>
    </w:p>
    <w:p w14:paraId="769194D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（四）同意将此信用承诺纳入陕西省公共信用信息平台和榆林市公共信用信息共享平台，并上网公示，接受社会监督。</w:t>
      </w:r>
    </w:p>
    <w:p w14:paraId="453C16A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（五）若我公司（单位）及相关参与人员违背以上承诺事项，即被视为失信企（法人）， 依据《关于对公共资源交易领域严重失信主体开展联合惩戒的备忘录》 (发改法规［2018] 457号）， 自愿接受失信联合惩戒和依法给予的行政处罚（处理）， 并依法承担赔偿责任和刑事责任。</w:t>
      </w:r>
      <w:r>
        <w:rPr>
          <w:rFonts w:hint="eastAsia" w:ascii="宋体" w:hAnsi="宋体" w:eastAsia="宋体" w:cs="宋体"/>
          <w:color w:val="auto"/>
          <w:highlight w:val="none"/>
          <w:lang w:val="en-US" w:eastAsia="zh-CN"/>
        </w:rPr>
        <w:t xml:space="preserve"> </w:t>
      </w:r>
    </w:p>
    <w:p w14:paraId="6D1147B8">
      <w:pPr>
        <w:widowControl/>
        <w:adjustRightInd w:val="0"/>
        <w:snapToGrid w:val="0"/>
        <w:spacing w:line="5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承诺有效期限：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highlight w:val="none"/>
        </w:rPr>
        <w:t>其有效期与投标有效期一致</w:t>
      </w:r>
      <w:r>
        <w:rPr>
          <w:rFonts w:hint="eastAsia" w:ascii="宋体" w:hAnsi="宋体" w:cs="宋体"/>
          <w:color w:val="auto"/>
          <w:kern w:val="0"/>
          <w:sz w:val="24"/>
          <w:highlight w:val="none"/>
          <w:lang w:eastAsia="zh-CN"/>
        </w:rPr>
        <w:t>，从提交响应文件截止时间起计算</w:t>
      </w:r>
      <w:r>
        <w:rPr>
          <w:rFonts w:hint="eastAsia" w:ascii="宋体" w:hAnsi="宋体" w:eastAsia="宋体" w:cs="宋体"/>
          <w:color w:val="auto"/>
          <w:sz w:val="24"/>
          <w:szCs w:val="24"/>
          <w:highlight w:val="none"/>
          <w:lang w:eastAsia="zh-CN"/>
        </w:rPr>
        <w:t>）</w:t>
      </w:r>
    </w:p>
    <w:p w14:paraId="4FC9E0F0">
      <w:pPr>
        <w:pStyle w:val="8"/>
        <w:keepNext w:val="0"/>
        <w:keepLines w:val="0"/>
        <w:pageBreakBefore w:val="0"/>
        <w:widowControl w:val="0"/>
        <w:shd w:val="clear" w:color="auto" w:fill="auto"/>
        <w:kinsoku/>
        <w:wordWrap/>
        <w:overflowPunct/>
        <w:topLinePunct w:val="0"/>
        <w:autoSpaceDE/>
        <w:autoSpaceDN/>
        <w:bidi w:val="0"/>
        <w:adjustRightInd/>
        <w:snapToGrid/>
        <w:spacing w:after="0" w:line="360" w:lineRule="auto"/>
        <w:textAlignment w:val="auto"/>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u w:val="non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p>
    <w:p w14:paraId="0907A506">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承诺人（签字）：</w:t>
      </w:r>
      <w:r>
        <w:rPr>
          <w:rFonts w:hint="eastAsia" w:ascii="宋体" w:hAnsi="宋体" w:eastAsia="宋体" w:cs="宋体"/>
          <w:color w:val="auto"/>
          <w:sz w:val="24"/>
          <w:szCs w:val="24"/>
          <w:highlight w:val="none"/>
          <w:u w:val="single"/>
          <w:lang w:val="en-US" w:eastAsia="zh-CN"/>
        </w:rPr>
        <w:t xml:space="preserve">                    </w:t>
      </w:r>
    </w:p>
    <w:p w14:paraId="58A3E274">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承诺时间：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5B309CDA">
      <w:pPr>
        <w:pStyle w:val="8"/>
        <w:spacing w:line="240" w:lineRule="auto"/>
        <w:rPr>
          <w:rFonts w:hint="eastAsia" w:ascii="宋体" w:hAnsi="宋体" w:eastAsia="宋体" w:cs="宋体"/>
          <w:b/>
          <w:bCs w:val="0"/>
          <w:color w:val="auto"/>
          <w:highlight w:val="none"/>
          <w:lang w:val="en-US" w:eastAsia="zh-CN"/>
        </w:rPr>
      </w:pPr>
      <w:r>
        <w:rPr>
          <w:rFonts w:hint="eastAsia" w:ascii="宋体" w:hAnsi="宋体" w:eastAsia="宋体" w:cs="宋体"/>
          <w:color w:val="auto"/>
          <w:sz w:val="22"/>
          <w:szCs w:val="22"/>
          <w:highlight w:val="none"/>
          <w:lang w:val="en-US" w:eastAsia="zh-CN"/>
        </w:rPr>
        <w:t>委托代理人</w:t>
      </w:r>
      <w:r>
        <w:rPr>
          <w:rFonts w:hint="eastAsia" w:ascii="宋体" w:hAnsi="宋体" w:eastAsia="宋体" w:cs="宋体"/>
          <w:color w:val="auto"/>
          <w:sz w:val="22"/>
          <w:szCs w:val="22"/>
          <w:highlight w:val="none"/>
        </w:rPr>
        <w:t>参与</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截止时间前时需在信用中国（陕西榆林）”网站进行注册、登陆，自主上报信用承诺书（网址：https://credit.yl.gov.cn/）。</w:t>
      </w:r>
      <w:r>
        <w:rPr>
          <w:rFonts w:hint="eastAsia" w:ascii="宋体" w:hAnsi="宋体" w:eastAsia="宋体" w:cs="宋体"/>
          <w:b/>
          <w:bCs w:val="0"/>
          <w:color w:val="auto"/>
          <w:sz w:val="20"/>
          <w:szCs w:val="20"/>
          <w:highlight w:val="none"/>
          <w:lang w:val="en-US" w:eastAsia="zh-CN"/>
        </w:rPr>
        <w:t>后附信用榆林上传承诺截图</w:t>
      </w:r>
    </w:p>
    <w:p w14:paraId="41B1DB90">
      <w:pPr>
        <w:pStyle w:val="3"/>
        <w:keepNext/>
        <w:keepLines/>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kern w:val="2"/>
          <w:sz w:val="24"/>
          <w:szCs w:val="24"/>
          <w:highlight w:val="none"/>
          <w:lang w:val="en-US" w:eastAsia="zh-CN" w:bidi="ar-SA"/>
        </w:rPr>
      </w:pPr>
      <w:bookmarkStart w:id="184" w:name="_Toc17191"/>
      <w:r>
        <w:rPr>
          <w:rFonts w:hint="eastAsia" w:ascii="宋体" w:hAnsi="宋体" w:eastAsia="宋体" w:cs="宋体"/>
          <w:color w:val="auto"/>
          <w:sz w:val="28"/>
          <w:szCs w:val="18"/>
          <w:highlight w:val="none"/>
          <w:lang w:val="en-US" w:eastAsia="zh-CN"/>
        </w:rPr>
        <w:t>十、不接受联合体投标不允许分包</w:t>
      </w:r>
      <w:bookmarkEnd w:id="181"/>
      <w:bookmarkEnd w:id="182"/>
      <w:bookmarkEnd w:id="183"/>
      <w:bookmarkEnd w:id="184"/>
      <w:r>
        <w:rPr>
          <w:rFonts w:hint="eastAsia" w:ascii="宋体" w:hAnsi="宋体" w:eastAsia="宋体" w:cs="宋体"/>
          <w:color w:val="auto"/>
          <w:sz w:val="28"/>
          <w:szCs w:val="18"/>
          <w:highlight w:val="none"/>
          <w:lang w:val="en-US" w:eastAsia="zh-CN"/>
        </w:rPr>
        <w:t xml:space="preserve"> </w:t>
      </w:r>
    </w:p>
    <w:p w14:paraId="02B12E19">
      <w:pPr>
        <w:keepNext w:val="0"/>
        <w:keepLines w:val="0"/>
        <w:widowControl/>
        <w:suppressLineNumbers w:val="0"/>
        <w:shd w:val="clear" w:color="auto" w:fill="auto"/>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非联合体不分包投标声明</w:t>
      </w:r>
    </w:p>
    <w:p w14:paraId="3CA7F59A">
      <w:pPr>
        <w:keepNext w:val="0"/>
        <w:keepLines w:val="0"/>
        <w:widowControl/>
        <w:suppressLineNumbers w:val="0"/>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本单位郑重声明，参加榆林腾达建诚信息咨询有限公司的项目名称: </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none"/>
          <w:lang w:val="en-US" w:eastAsia="zh-CN" w:bidi="ar"/>
        </w:rPr>
        <w:t>（</w:t>
      </w:r>
      <w:r>
        <w:rPr>
          <w:rFonts w:hint="eastAsia" w:ascii="宋体" w:hAnsi="宋体" w:eastAsia="宋体" w:cs="宋体"/>
          <w:color w:val="auto"/>
          <w:kern w:val="0"/>
          <w:sz w:val="24"/>
          <w:szCs w:val="24"/>
          <w:highlight w:val="none"/>
          <w:lang w:val="en-US" w:eastAsia="zh-CN" w:bidi="ar"/>
        </w:rPr>
        <w:t xml:space="preserve">项目编号：______）采购活动，为非联合体投标，本项目实施过程由本单位独立承担。 </w:t>
      </w:r>
    </w:p>
    <w:p w14:paraId="04572CCB">
      <w:pPr>
        <w:keepNext w:val="0"/>
        <w:keepLines w:val="0"/>
        <w:widowControl/>
        <w:suppressLineNumbers w:val="0"/>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本单位对上述声明的真实性负责。如有虚假，将依法承担相应责任。 </w:t>
      </w:r>
    </w:p>
    <w:p w14:paraId="34EAE4A9">
      <w:pPr>
        <w:keepNext w:val="0"/>
        <w:keepLines w:val="0"/>
        <w:widowControl/>
        <w:suppressLineNumbers w:val="0"/>
        <w:shd w:val="clear" w:color="auto" w:fill="auto"/>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p>
    <w:p w14:paraId="2F59AF95">
      <w:pPr>
        <w:keepNext w:val="0"/>
        <w:keepLines w:val="0"/>
        <w:widowControl/>
        <w:suppressLineNumbers w:val="0"/>
        <w:shd w:val="clear" w:color="auto" w:fill="auto"/>
        <w:spacing w:line="360" w:lineRule="auto"/>
        <w:ind w:firstLine="3840" w:firstLineChars="16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供应商名称：（加盖公章） </w:t>
      </w:r>
    </w:p>
    <w:p w14:paraId="0C6D6CC2">
      <w:pPr>
        <w:keepNext w:val="0"/>
        <w:keepLines w:val="0"/>
        <w:widowControl/>
        <w:suppressLineNumbers w:val="0"/>
        <w:shd w:val="clear" w:color="auto" w:fill="auto"/>
        <w:spacing w:line="360" w:lineRule="auto"/>
        <w:ind w:firstLine="3840" w:firstLineChars="16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日期： 年 月 日 </w:t>
      </w:r>
    </w:p>
    <w:p w14:paraId="4E1D9C5E">
      <w:pPr>
        <w:shd w:val="clear" w:color="auto" w:fill="auto"/>
        <w:rPr>
          <w:rFonts w:hint="eastAsia" w:ascii="宋体" w:hAnsi="宋体" w:eastAsia="宋体" w:cs="宋体"/>
          <w:color w:val="auto"/>
          <w:sz w:val="28"/>
          <w:szCs w:val="28"/>
          <w:highlight w:val="none"/>
        </w:rPr>
      </w:pPr>
    </w:p>
    <w:p w14:paraId="55351C3C">
      <w:pPr>
        <w:bidi w:val="0"/>
        <w:rPr>
          <w:rFonts w:hint="eastAsia" w:ascii="宋体" w:hAnsi="宋体" w:eastAsia="宋体" w:cs="宋体"/>
          <w:color w:val="auto"/>
          <w:highlight w:val="none"/>
        </w:rPr>
      </w:pPr>
    </w:p>
    <w:p w14:paraId="14E27635">
      <w:pPr>
        <w:bidi w:val="0"/>
        <w:rPr>
          <w:rFonts w:hint="eastAsia" w:ascii="宋体" w:hAnsi="宋体" w:eastAsia="宋体" w:cs="宋体"/>
          <w:color w:val="auto"/>
          <w:highlight w:val="none"/>
        </w:rPr>
      </w:pPr>
    </w:p>
    <w:p w14:paraId="76B8BF7B">
      <w:pPr>
        <w:bidi w:val="0"/>
        <w:rPr>
          <w:rFonts w:hint="eastAsia" w:ascii="宋体" w:hAnsi="宋体" w:eastAsia="宋体" w:cs="宋体"/>
          <w:color w:val="auto"/>
          <w:highlight w:val="none"/>
        </w:rPr>
      </w:pPr>
    </w:p>
    <w:p w14:paraId="2745643B">
      <w:pPr>
        <w:bidi w:val="0"/>
        <w:rPr>
          <w:rFonts w:hint="eastAsia" w:ascii="宋体" w:hAnsi="宋体" w:eastAsia="宋体" w:cs="宋体"/>
          <w:color w:val="auto"/>
          <w:highlight w:val="none"/>
        </w:rPr>
      </w:pPr>
    </w:p>
    <w:p w14:paraId="0ADD359B">
      <w:pPr>
        <w:bidi w:val="0"/>
        <w:rPr>
          <w:rFonts w:hint="eastAsia" w:ascii="宋体" w:hAnsi="宋体" w:eastAsia="宋体" w:cs="宋体"/>
          <w:color w:val="auto"/>
          <w:highlight w:val="none"/>
          <w:lang w:val="en-US" w:eastAsia="zh-CN"/>
        </w:rPr>
        <w:sectPr>
          <w:headerReference r:id="rId12" w:type="first"/>
          <w:footerReference r:id="rId14" w:type="first"/>
          <w:headerReference r:id="rId11" w:type="default"/>
          <w:footerReference r:id="rId13" w:type="default"/>
          <w:footnotePr>
            <w:pos w:val="beneathText"/>
          </w:footnote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bookmarkStart w:id="185" w:name="_Toc5972"/>
    </w:p>
    <w:bookmarkEnd w:id="185"/>
    <w:p w14:paraId="2B5A11D0">
      <w:pPr>
        <w:keepNext w:val="0"/>
        <w:keepLines w:val="0"/>
        <w:pageBreakBefore w:val="0"/>
        <w:widowControl/>
        <w:suppressLineNumbers w:val="0"/>
        <w:shd w:val="clear" w:color="auto" w:fill="auto"/>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十</w:t>
      </w:r>
      <w:r>
        <w:rPr>
          <w:rFonts w:hint="eastAsia" w:ascii="宋体" w:hAnsi="宋体" w:cs="宋体"/>
          <w:b/>
          <w:color w:val="auto"/>
          <w:kern w:val="0"/>
          <w:sz w:val="24"/>
          <w:szCs w:val="24"/>
          <w:highlight w:val="none"/>
          <w:lang w:val="en-US" w:eastAsia="zh-CN" w:bidi="ar"/>
        </w:rPr>
        <w:t>一</w:t>
      </w:r>
      <w:r>
        <w:rPr>
          <w:rFonts w:hint="eastAsia" w:ascii="宋体" w:hAnsi="宋体" w:eastAsia="宋体" w:cs="宋体"/>
          <w:b/>
          <w:color w:val="auto"/>
          <w:kern w:val="0"/>
          <w:sz w:val="24"/>
          <w:szCs w:val="24"/>
          <w:highlight w:val="none"/>
          <w:lang w:val="en-US" w:eastAsia="zh-CN" w:bidi="ar"/>
        </w:rPr>
        <w:t>、供应商企业关系关联承诺书</w:t>
      </w:r>
    </w:p>
    <w:p w14:paraId="1E2CBC70">
      <w:pPr>
        <w:pageBreakBefore w:val="0"/>
        <w:widowControl w:val="0"/>
        <w:kinsoku/>
        <w:wordWrap/>
        <w:overflowPunct/>
        <w:topLinePunct w:val="0"/>
        <w:autoSpaceDE/>
        <w:autoSpaceDN/>
        <w:bidi w:val="0"/>
        <w:adjustRightInd/>
        <w:snapToGrid/>
        <w:spacing w:line="360" w:lineRule="auto"/>
        <w:ind w:left="574"/>
        <w:textAlignment w:val="auto"/>
        <w:rPr>
          <w:rFonts w:hint="eastAsia" w:ascii="宋体" w:hAnsi="宋体" w:eastAsia="宋体" w:cs="宋体"/>
          <w:color w:val="auto"/>
          <w:spacing w:val="-2"/>
          <w:position w:val="2"/>
          <w:sz w:val="24"/>
          <w:szCs w:val="24"/>
          <w:highlight w:val="none"/>
        </w:rPr>
      </w:pPr>
      <w:r>
        <w:rPr>
          <w:rFonts w:hint="eastAsia" w:ascii="宋体" w:hAnsi="宋体" w:eastAsia="宋体" w:cs="宋体"/>
          <w:color w:val="auto"/>
          <w:spacing w:val="-4"/>
          <w:position w:val="2"/>
          <w:sz w:val="24"/>
          <w:szCs w:val="24"/>
          <w:highlight w:val="none"/>
        </w:rPr>
        <w:t>1、</w:t>
      </w:r>
      <w:r>
        <w:rPr>
          <w:rFonts w:hint="eastAsia" w:ascii="宋体" w:hAnsi="宋体" w:eastAsia="宋体" w:cs="宋体"/>
          <w:color w:val="auto"/>
          <w:spacing w:val="-2"/>
          <w:position w:val="2"/>
          <w:sz w:val="24"/>
          <w:szCs w:val="24"/>
          <w:highlight w:val="none"/>
        </w:rPr>
        <w:t>供应商股东及股权证明。</w:t>
      </w:r>
    </w:p>
    <w:p w14:paraId="62F780FE">
      <w:pPr>
        <w:pStyle w:val="8"/>
        <w:rPr>
          <w:rFonts w:hint="eastAsia" w:ascii="宋体" w:hAnsi="宋体" w:eastAsia="宋体" w:cs="宋体"/>
          <w:color w:val="auto"/>
          <w:highlight w:val="none"/>
        </w:rPr>
      </w:pPr>
    </w:p>
    <w:p w14:paraId="5009A1A7">
      <w:pPr>
        <w:pStyle w:val="8"/>
        <w:rPr>
          <w:rFonts w:hint="eastAsia" w:ascii="宋体" w:hAnsi="宋体" w:eastAsia="宋体" w:cs="宋体"/>
          <w:color w:val="auto"/>
          <w:highlight w:val="none"/>
        </w:rPr>
      </w:pPr>
    </w:p>
    <w:p w14:paraId="60593B31">
      <w:pPr>
        <w:pStyle w:val="8"/>
        <w:rPr>
          <w:rFonts w:hint="eastAsia" w:ascii="宋体" w:hAnsi="宋体" w:eastAsia="宋体" w:cs="宋体"/>
          <w:color w:val="auto"/>
          <w:highlight w:val="none"/>
        </w:rPr>
      </w:pPr>
    </w:p>
    <w:p w14:paraId="1710CE02">
      <w:pPr>
        <w:pageBreakBefore w:val="0"/>
        <w:widowControl w:val="0"/>
        <w:kinsoku/>
        <w:wordWrap/>
        <w:overflowPunct/>
        <w:topLinePunct w:val="0"/>
        <w:autoSpaceDE/>
        <w:autoSpaceDN/>
        <w:bidi w:val="0"/>
        <w:adjustRightInd/>
        <w:snapToGrid/>
        <w:spacing w:line="360" w:lineRule="auto"/>
        <w:ind w:firstLine="556"/>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2、供应</w:t>
      </w:r>
      <w:r>
        <w:rPr>
          <w:rFonts w:hint="eastAsia" w:ascii="宋体" w:hAnsi="宋体" w:eastAsia="宋体" w:cs="宋体"/>
          <w:color w:val="auto"/>
          <w:spacing w:val="-3"/>
          <w:sz w:val="24"/>
          <w:szCs w:val="24"/>
          <w:highlight w:val="none"/>
        </w:rPr>
        <w:t>商</w:t>
      </w:r>
      <w:r>
        <w:rPr>
          <w:rFonts w:hint="eastAsia" w:ascii="宋体" w:hAnsi="宋体" w:eastAsia="宋体" w:cs="宋体"/>
          <w:color w:val="auto"/>
          <w:spacing w:val="-2"/>
          <w:sz w:val="24"/>
          <w:szCs w:val="24"/>
          <w:highlight w:val="none"/>
        </w:rPr>
        <w:t>在本项目</w:t>
      </w:r>
      <w:r>
        <w:rPr>
          <w:rFonts w:hint="eastAsia" w:ascii="宋体" w:hAnsi="宋体" w:eastAsia="宋体" w:cs="宋体"/>
          <w:color w:val="auto"/>
          <w:spacing w:val="-2"/>
          <w:sz w:val="24"/>
          <w:szCs w:val="24"/>
          <w:highlight w:val="none"/>
          <w:lang w:val="en-US" w:eastAsia="zh-CN"/>
        </w:rPr>
        <w:t>磋商</w:t>
      </w:r>
      <w:r>
        <w:rPr>
          <w:rFonts w:hint="eastAsia" w:ascii="宋体" w:hAnsi="宋体" w:eastAsia="宋体" w:cs="宋体"/>
          <w:color w:val="auto"/>
          <w:spacing w:val="-2"/>
          <w:sz w:val="24"/>
          <w:szCs w:val="24"/>
          <w:highlight w:val="none"/>
        </w:rPr>
        <w:t>中，不存在与其它供应商负责人为同一人，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有</w:t>
      </w:r>
      <w:r>
        <w:rPr>
          <w:rFonts w:hint="eastAsia" w:ascii="宋体" w:hAnsi="宋体" w:eastAsia="宋体" w:cs="宋体"/>
          <w:color w:val="auto"/>
          <w:spacing w:val="-1"/>
          <w:sz w:val="24"/>
          <w:szCs w:val="24"/>
          <w:highlight w:val="none"/>
        </w:rPr>
        <w:t>控股、管理等关联关系承诺。</w:t>
      </w:r>
    </w:p>
    <w:p w14:paraId="1BC8BD3A">
      <w:pPr>
        <w:pageBreakBefore w:val="0"/>
        <w:widowControl w:val="0"/>
        <w:kinsoku/>
        <w:wordWrap/>
        <w:overflowPunct/>
        <w:topLinePunct w:val="0"/>
        <w:autoSpaceDE/>
        <w:autoSpaceDN/>
        <w:bidi w:val="0"/>
        <w:adjustRightInd/>
        <w:snapToGrid/>
        <w:spacing w:line="360" w:lineRule="auto"/>
        <w:ind w:left="556"/>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position w:val="2"/>
          <w:sz w:val="24"/>
          <w:szCs w:val="24"/>
          <w:highlight w:val="none"/>
        </w:rPr>
        <w:t>2-</w:t>
      </w:r>
      <w:r>
        <w:rPr>
          <w:rFonts w:hint="eastAsia" w:ascii="宋体" w:hAnsi="宋体" w:eastAsia="宋体" w:cs="宋体"/>
          <w:color w:val="auto"/>
          <w:spacing w:val="-1"/>
          <w:position w:val="2"/>
          <w:sz w:val="24"/>
          <w:szCs w:val="24"/>
          <w:highlight w:val="none"/>
        </w:rPr>
        <w:t>1、管理关系说明：</w:t>
      </w:r>
    </w:p>
    <w:p w14:paraId="29E726DC">
      <w:pPr>
        <w:pageBreakBefore w:val="0"/>
        <w:widowControl w:val="0"/>
        <w:kinsoku/>
        <w:wordWrap/>
        <w:overflowPunct/>
        <w:topLinePunct w:val="0"/>
        <w:autoSpaceDE/>
        <w:autoSpaceDN/>
        <w:bidi w:val="0"/>
        <w:adjustRightInd/>
        <w:snapToGrid/>
        <w:spacing w:line="360" w:lineRule="auto"/>
        <w:ind w:left="556" w:right="679" w:firstLine="1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我单位管理的具有独立法人的下属单位有：</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我单位的上级管理单位有</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               </w:t>
      </w:r>
    </w:p>
    <w:p w14:paraId="70A25137">
      <w:pPr>
        <w:pageBreakBefore w:val="0"/>
        <w:widowControl w:val="0"/>
        <w:kinsoku/>
        <w:wordWrap/>
        <w:overflowPunct/>
        <w:topLinePunct w:val="0"/>
        <w:autoSpaceDE/>
        <w:autoSpaceDN/>
        <w:bidi w:val="0"/>
        <w:adjustRightInd/>
        <w:snapToGrid/>
        <w:spacing w:line="360" w:lineRule="auto"/>
        <w:ind w:left="556" w:right="679" w:firstLine="1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1"/>
          <w:sz w:val="24"/>
          <w:szCs w:val="24"/>
          <w:highlight w:val="none"/>
        </w:rPr>
        <w:t>2、股权关系说明：</w:t>
      </w:r>
    </w:p>
    <w:p w14:paraId="68619D0E">
      <w:pPr>
        <w:pageBreakBefore w:val="0"/>
        <w:widowControl w:val="0"/>
        <w:kinsoku/>
        <w:wordWrap/>
        <w:overflowPunct/>
        <w:topLinePunct w:val="0"/>
        <w:autoSpaceDE/>
        <w:autoSpaceDN/>
        <w:bidi w:val="0"/>
        <w:adjustRightInd/>
        <w:snapToGrid/>
        <w:spacing w:line="360" w:lineRule="auto"/>
        <w:ind w:left="57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我单位控股</w:t>
      </w:r>
      <w:r>
        <w:rPr>
          <w:rFonts w:hint="eastAsia" w:ascii="宋体" w:hAnsi="宋体" w:eastAsia="宋体" w:cs="宋体"/>
          <w:color w:val="auto"/>
          <w:spacing w:val="-1"/>
          <w:sz w:val="24"/>
          <w:szCs w:val="24"/>
          <w:highlight w:val="none"/>
        </w:rPr>
        <w:t>的单位有</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034AF771">
      <w:pPr>
        <w:pageBreakBefore w:val="0"/>
        <w:widowControl w:val="0"/>
        <w:kinsoku/>
        <w:wordWrap/>
        <w:overflowPunct/>
        <w:topLinePunct w:val="0"/>
        <w:autoSpaceDE/>
        <w:autoSpaceDN/>
        <w:bidi w:val="0"/>
        <w:adjustRightInd/>
        <w:snapToGrid/>
        <w:spacing w:line="360" w:lineRule="auto"/>
        <w:ind w:left="57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我单位被</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rPr>
        <w:t xml:space="preserve"> 单位控股</w:t>
      </w:r>
      <w:r>
        <w:rPr>
          <w:rFonts w:hint="eastAsia" w:ascii="宋体" w:hAnsi="宋体" w:eastAsia="宋体" w:cs="宋体"/>
          <w:color w:val="auto"/>
          <w:spacing w:val="-6"/>
          <w:sz w:val="24"/>
          <w:szCs w:val="24"/>
          <w:highlight w:val="none"/>
        </w:rPr>
        <w:t>。</w:t>
      </w:r>
    </w:p>
    <w:p w14:paraId="6091C5EE">
      <w:pPr>
        <w:pageBreakBefore w:val="0"/>
        <w:widowControl w:val="0"/>
        <w:kinsoku/>
        <w:wordWrap/>
        <w:overflowPunct/>
        <w:topLinePunct w:val="0"/>
        <w:autoSpaceDE/>
        <w:autoSpaceDN/>
        <w:bidi w:val="0"/>
        <w:adjustRightInd/>
        <w:snapToGrid/>
        <w:spacing w:line="360" w:lineRule="auto"/>
        <w:ind w:left="556"/>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position w:val="2"/>
          <w:sz w:val="24"/>
          <w:szCs w:val="24"/>
          <w:highlight w:val="none"/>
        </w:rPr>
        <w:t>2-3、</w:t>
      </w:r>
      <w:r>
        <w:rPr>
          <w:rFonts w:hint="eastAsia" w:ascii="宋体" w:hAnsi="宋体" w:eastAsia="宋体" w:cs="宋体"/>
          <w:color w:val="auto"/>
          <w:spacing w:val="-1"/>
          <w:position w:val="2"/>
          <w:sz w:val="24"/>
          <w:szCs w:val="24"/>
          <w:highlight w:val="none"/>
        </w:rPr>
        <w:t>单位负责人：</w:t>
      </w:r>
    </w:p>
    <w:p w14:paraId="2D76FA0B">
      <w:pPr>
        <w:pageBreakBefore w:val="0"/>
        <w:widowControl w:val="0"/>
        <w:kinsoku/>
        <w:wordWrap/>
        <w:overflowPunct/>
        <w:topLinePunct w:val="0"/>
        <w:autoSpaceDE/>
        <w:autoSpaceDN/>
        <w:bidi w:val="0"/>
        <w:adjustRightInd/>
        <w:snapToGrid/>
        <w:spacing w:line="360" w:lineRule="auto"/>
        <w:ind w:left="559"/>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3、其他与本项目有关的利害</w:t>
      </w:r>
      <w:r>
        <w:rPr>
          <w:rFonts w:hint="eastAsia" w:ascii="宋体" w:hAnsi="宋体" w:eastAsia="宋体" w:cs="宋体"/>
          <w:color w:val="auto"/>
          <w:sz w:val="24"/>
          <w:szCs w:val="24"/>
          <w:highlight w:val="none"/>
        </w:rPr>
        <w:t>关系说明：</w:t>
      </w:r>
    </w:p>
    <w:p w14:paraId="342F16F8">
      <w:pPr>
        <w:pageBreakBefore w:val="0"/>
        <w:widowControl w:val="0"/>
        <w:kinsoku/>
        <w:wordWrap/>
        <w:overflowPunct/>
        <w:topLinePunct w:val="0"/>
        <w:autoSpaceDE/>
        <w:autoSpaceDN/>
        <w:bidi w:val="0"/>
        <w:adjustRightInd/>
        <w:snapToGrid/>
        <w:spacing w:line="360" w:lineRule="auto"/>
        <w:ind w:left="559"/>
        <w:textAlignment w:val="auto"/>
        <w:rPr>
          <w:rFonts w:hint="eastAsia" w:ascii="宋体" w:hAnsi="宋体" w:eastAsia="宋体" w:cs="宋体"/>
          <w:color w:val="auto"/>
          <w:sz w:val="24"/>
          <w:szCs w:val="24"/>
          <w:highlight w:val="none"/>
        </w:rPr>
      </w:pPr>
    </w:p>
    <w:p w14:paraId="33276FEF">
      <w:pPr>
        <w:pageBreakBefore w:val="0"/>
        <w:widowControl w:val="0"/>
        <w:kinsoku/>
        <w:wordWrap/>
        <w:overflowPunct/>
        <w:topLinePunct w:val="0"/>
        <w:autoSpaceDE/>
        <w:autoSpaceDN/>
        <w:bidi w:val="0"/>
        <w:adjustRightInd/>
        <w:snapToGrid/>
        <w:spacing w:line="360" w:lineRule="auto"/>
        <w:ind w:left="559"/>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pacing w:val="-2"/>
          <w:sz w:val="24"/>
          <w:szCs w:val="24"/>
          <w:highlight w:val="none"/>
        </w:rPr>
        <w:t>我单位承诺</w:t>
      </w:r>
      <w:r>
        <w:rPr>
          <w:rFonts w:hint="eastAsia" w:ascii="宋体" w:hAnsi="宋体" w:eastAsia="宋体" w:cs="宋体"/>
          <w:color w:val="auto"/>
          <w:spacing w:val="-1"/>
          <w:sz w:val="24"/>
          <w:szCs w:val="24"/>
          <w:highlight w:val="none"/>
        </w:rPr>
        <w:t>以上说明真实有效，无虚假内容或隐瞒。</w:t>
      </w:r>
    </w:p>
    <w:p w14:paraId="0E2850D2">
      <w:pPr>
        <w:shd w:val="clear" w:color="auto" w:fill="auto"/>
        <w:rPr>
          <w:rFonts w:hint="eastAsia" w:ascii="宋体" w:hAnsi="宋体" w:eastAsia="宋体" w:cs="宋体"/>
          <w:color w:val="auto"/>
          <w:kern w:val="0"/>
          <w:sz w:val="24"/>
          <w:szCs w:val="24"/>
          <w:highlight w:val="none"/>
          <w:lang w:val="en-US" w:eastAsia="zh-CN" w:bidi="ar"/>
        </w:rPr>
      </w:pPr>
    </w:p>
    <w:p w14:paraId="3CCDDB7B">
      <w:pPr>
        <w:pStyle w:val="22"/>
        <w:rPr>
          <w:rFonts w:hint="eastAsia" w:ascii="宋体" w:hAnsi="宋体" w:eastAsia="宋体" w:cs="宋体"/>
          <w:color w:val="auto"/>
          <w:kern w:val="0"/>
          <w:sz w:val="24"/>
          <w:szCs w:val="24"/>
          <w:highlight w:val="none"/>
          <w:lang w:val="en-US" w:eastAsia="zh-CN" w:bidi="ar"/>
        </w:rPr>
      </w:pPr>
    </w:p>
    <w:p w14:paraId="2B6104E9">
      <w:pPr>
        <w:pStyle w:val="8"/>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 xml:space="preserve"> </w:t>
      </w:r>
    </w:p>
    <w:p w14:paraId="3AD77974">
      <w:pPr>
        <w:shd w:val="clear" w:color="auto" w:fill="auto"/>
        <w:spacing w:line="312" w:lineRule="auto"/>
        <w:ind w:right="617" w:rightChars="25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（加盖单位公章）      </w:t>
      </w:r>
    </w:p>
    <w:p w14:paraId="4013B0CD">
      <w:pPr>
        <w:shd w:val="clear" w:color="auto" w:fill="auto"/>
        <w:spacing w:line="312" w:lineRule="auto"/>
        <w:ind w:right="617" w:rightChars="25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法定代表人/单位负责人/或被授权人签字：</w:t>
      </w:r>
      <w:r>
        <w:rPr>
          <w:rFonts w:hint="eastAsia" w:ascii="宋体" w:hAnsi="宋体" w:eastAsia="宋体" w:cs="宋体"/>
          <w:color w:val="auto"/>
          <w:sz w:val="24"/>
          <w:szCs w:val="24"/>
          <w:highlight w:val="none"/>
          <w:u w:val="single"/>
        </w:rPr>
        <w:t>    </w:t>
      </w:r>
    </w:p>
    <w:p w14:paraId="5BDA7538">
      <w:pPr>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w:t>
      </w:r>
    </w:p>
    <w:p w14:paraId="5EB34B86">
      <w:pPr>
        <w:rPr>
          <w:rFonts w:hint="eastAsia" w:ascii="宋体" w:hAnsi="宋体" w:eastAsia="宋体" w:cs="宋体"/>
          <w:color w:val="auto"/>
          <w:highlight w:val="none"/>
        </w:rPr>
      </w:pPr>
    </w:p>
    <w:p w14:paraId="65FA38E5">
      <w:pPr>
        <w:bidi w:val="0"/>
        <w:rPr>
          <w:rFonts w:hint="eastAsia" w:ascii="宋体" w:hAnsi="宋体" w:eastAsia="宋体" w:cs="宋体"/>
          <w:color w:val="auto"/>
          <w:highlight w:val="none"/>
        </w:rPr>
      </w:pPr>
    </w:p>
    <w:p w14:paraId="42FBFDE9">
      <w:pPr>
        <w:bidi w:val="0"/>
        <w:rPr>
          <w:rFonts w:hint="eastAsia" w:ascii="宋体" w:hAnsi="宋体" w:eastAsia="宋体" w:cs="宋体"/>
          <w:color w:val="auto"/>
          <w:highlight w:val="none"/>
        </w:rPr>
      </w:pPr>
    </w:p>
    <w:p w14:paraId="0EC88A9C">
      <w:pPr>
        <w:bidi w:val="0"/>
        <w:rPr>
          <w:rFonts w:hint="eastAsia" w:ascii="宋体" w:hAnsi="宋体" w:eastAsia="宋体" w:cs="宋体"/>
          <w:color w:val="auto"/>
          <w:highlight w:val="none"/>
        </w:rPr>
      </w:pPr>
    </w:p>
    <w:p w14:paraId="52550FAE">
      <w:pPr>
        <w:bidi w:val="0"/>
        <w:rPr>
          <w:rFonts w:hint="eastAsia" w:ascii="宋体" w:hAnsi="宋体" w:eastAsia="宋体" w:cs="宋体"/>
          <w:color w:val="auto"/>
          <w:highlight w:val="none"/>
        </w:rPr>
      </w:pPr>
    </w:p>
    <w:p w14:paraId="316D83D9">
      <w:pPr>
        <w:bidi w:val="0"/>
        <w:rPr>
          <w:rFonts w:hint="eastAsia" w:ascii="宋体" w:hAnsi="宋体" w:eastAsia="宋体" w:cs="宋体"/>
          <w:color w:val="auto"/>
          <w:highlight w:val="none"/>
        </w:rPr>
      </w:pPr>
    </w:p>
    <w:p w14:paraId="07E26919">
      <w:pPr>
        <w:bidi w:val="0"/>
        <w:rPr>
          <w:rFonts w:hint="eastAsia" w:ascii="宋体" w:hAnsi="宋体" w:eastAsia="宋体" w:cs="宋体"/>
          <w:color w:val="auto"/>
          <w:highlight w:val="none"/>
        </w:rPr>
      </w:pPr>
    </w:p>
    <w:p w14:paraId="51FD5D1A">
      <w:pPr>
        <w:pStyle w:val="3"/>
        <w:bidi w:val="0"/>
        <w:jc w:val="center"/>
        <w:rPr>
          <w:rFonts w:hint="eastAsia" w:ascii="宋体" w:hAnsi="宋体" w:eastAsia="宋体" w:cs="宋体"/>
          <w:color w:val="auto"/>
          <w:highlight w:val="none"/>
          <w:lang w:val="en-US" w:eastAsia="zh-CN"/>
        </w:rPr>
        <w:sectPr>
          <w:headerReference r:id="rId15" w:type="first"/>
          <w:footnotePr>
            <w:pos w:val="beneathText"/>
          </w:footnote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bookmarkStart w:id="186" w:name="_Toc20290"/>
      <w:bookmarkStart w:id="187" w:name="_Toc27923"/>
      <w:bookmarkStart w:id="188" w:name="_Toc24719"/>
      <w:bookmarkStart w:id="189" w:name="_Toc16095"/>
      <w:bookmarkStart w:id="190" w:name="_Toc28830"/>
      <w:bookmarkStart w:id="191" w:name="_Toc11055"/>
      <w:bookmarkStart w:id="192" w:name="_Toc21874"/>
      <w:bookmarkStart w:id="193" w:name="_Toc18512"/>
      <w:bookmarkStart w:id="194" w:name="_Toc21713"/>
    </w:p>
    <w:p w14:paraId="79619F37">
      <w:pPr>
        <w:pStyle w:val="3"/>
        <w:bidi w:val="0"/>
        <w:jc w:val="center"/>
        <w:rPr>
          <w:rFonts w:hint="eastAsia" w:ascii="宋体" w:hAnsi="宋体" w:eastAsia="宋体" w:cs="宋体"/>
          <w:color w:val="auto"/>
          <w:highlight w:val="none"/>
          <w:lang w:val="en-US" w:eastAsia="zh-CN"/>
        </w:rPr>
      </w:pPr>
      <w:bookmarkStart w:id="195" w:name="_Toc16782"/>
      <w:r>
        <w:rPr>
          <w:rFonts w:hint="eastAsia" w:ascii="宋体" w:hAnsi="宋体" w:eastAsia="宋体" w:cs="宋体"/>
          <w:color w:val="auto"/>
          <w:highlight w:val="none"/>
          <w:lang w:val="en-US" w:eastAsia="zh-CN"/>
        </w:rPr>
        <w:t>十</w:t>
      </w:r>
      <w:r>
        <w:rPr>
          <w:rFonts w:hint="eastAsia" w:ascii="宋体" w:hAnsi="宋体" w:cs="宋体"/>
          <w:color w:val="auto"/>
          <w:highlight w:val="none"/>
          <w:lang w:val="en-US" w:eastAsia="zh-CN"/>
        </w:rPr>
        <w:t>二</w:t>
      </w:r>
      <w:r>
        <w:rPr>
          <w:rFonts w:hint="eastAsia" w:ascii="宋体" w:hAnsi="宋体" w:eastAsia="宋体" w:cs="宋体"/>
          <w:color w:val="auto"/>
          <w:highlight w:val="none"/>
          <w:lang w:val="en-US" w:eastAsia="zh-CN"/>
        </w:rPr>
        <w:t>、法定代表人/负责人身份证明书</w:t>
      </w:r>
      <w:bookmarkEnd w:id="186"/>
      <w:bookmarkEnd w:id="187"/>
      <w:bookmarkEnd w:id="188"/>
      <w:bookmarkEnd w:id="189"/>
      <w:bookmarkEnd w:id="190"/>
      <w:bookmarkEnd w:id="191"/>
      <w:bookmarkEnd w:id="192"/>
      <w:bookmarkEnd w:id="193"/>
      <w:bookmarkEnd w:id="194"/>
      <w:bookmarkEnd w:id="195"/>
    </w:p>
    <w:p w14:paraId="0DF4421A">
      <w:pPr>
        <w:shd w:val="clear" w:color="auto" w:fill="auto"/>
        <w:spacing w:line="360" w:lineRule="auto"/>
        <w:rPr>
          <w:rFonts w:hint="eastAsia" w:ascii="宋体" w:hAnsi="宋体" w:eastAsia="宋体" w:cs="宋体"/>
          <w:color w:val="auto"/>
          <w:sz w:val="24"/>
          <w:highlight w:val="none"/>
        </w:rPr>
      </w:pPr>
    </w:p>
    <w:p w14:paraId="777D14FF">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p>
    <w:p w14:paraId="435E2A34">
      <w:pPr>
        <w:shd w:val="clear" w:color="auto" w:fill="auto"/>
        <w:spacing w:before="24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 xml:space="preserve">                                         </w:t>
      </w:r>
    </w:p>
    <w:p w14:paraId="4E6D7F8E">
      <w:pPr>
        <w:shd w:val="clear" w:color="auto" w:fill="auto"/>
        <w:spacing w:before="24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42128373">
      <w:pPr>
        <w:shd w:val="clear" w:color="auto" w:fill="auto"/>
        <w:spacing w:before="24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431AB3B">
      <w:pPr>
        <w:shd w:val="clear" w:color="auto" w:fill="auto"/>
        <w:spacing w:before="240"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 xml:space="preserve">                                         </w:t>
      </w:r>
    </w:p>
    <w:p w14:paraId="1BB1A41B">
      <w:pPr>
        <w:shd w:val="clear" w:color="auto" w:fill="auto"/>
        <w:spacing w:before="24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07926B3F">
      <w:pPr>
        <w:shd w:val="clear" w:color="auto" w:fill="auto"/>
        <w:spacing w:before="24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的法定代表人/负责人。</w:t>
      </w:r>
    </w:p>
    <w:p w14:paraId="13C7DB5E">
      <w:pPr>
        <w:shd w:val="clear" w:color="auto" w:fill="auto"/>
        <w:spacing w:before="24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21CFBDFB">
      <w:pPr>
        <w:shd w:val="clear" w:color="auto" w:fill="auto"/>
        <w:wordWrap w:val="0"/>
        <w:spacing w:line="360" w:lineRule="auto"/>
        <w:ind w:right="560"/>
        <w:rPr>
          <w:rFonts w:hint="eastAsia" w:ascii="宋体" w:hAnsi="宋体" w:eastAsia="宋体" w:cs="宋体"/>
          <w:color w:val="auto"/>
          <w:sz w:val="24"/>
          <w:highlight w:val="none"/>
        </w:rPr>
      </w:pPr>
    </w:p>
    <w:p w14:paraId="7B25B269">
      <w:pPr>
        <w:shd w:val="clear" w:color="auto" w:fill="auto"/>
        <w:wordWrap w:val="0"/>
        <w:spacing w:line="360" w:lineRule="auto"/>
        <w:ind w:right="560"/>
        <w:rPr>
          <w:rFonts w:hint="eastAsia" w:ascii="宋体" w:hAnsi="宋体" w:eastAsia="宋体" w:cs="宋体"/>
          <w:color w:val="auto"/>
          <w:sz w:val="24"/>
          <w:highlight w:val="none"/>
        </w:rPr>
      </w:pPr>
    </w:p>
    <w:p w14:paraId="12B7D83F">
      <w:pPr>
        <w:shd w:val="clear" w:color="auto" w:fill="auto"/>
        <w:wordWrap w:val="0"/>
        <w:spacing w:line="360" w:lineRule="auto"/>
        <w:ind w:right="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（盖公章）</w:t>
      </w:r>
    </w:p>
    <w:p w14:paraId="3AC89E33">
      <w:pPr>
        <w:shd w:val="clear" w:color="auto" w:fill="auto"/>
        <w:wordWrap w:val="0"/>
        <w:spacing w:before="240" w:line="360" w:lineRule="auto"/>
        <w:ind w:right="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84EC8CB">
      <w:pPr>
        <w:shd w:val="clear" w:color="auto" w:fill="auto"/>
        <w:wordWrap w:val="0"/>
        <w:spacing w:before="240" w:line="360" w:lineRule="auto"/>
        <w:ind w:right="560"/>
        <w:jc w:val="both"/>
        <w:rPr>
          <w:rFonts w:hint="eastAsia" w:ascii="宋体" w:hAnsi="宋体" w:eastAsia="宋体" w:cs="宋体"/>
          <w:b/>
          <w:color w:val="auto"/>
          <w:sz w:val="24"/>
          <w:highlight w:val="none"/>
        </w:rPr>
        <w:sectPr>
          <w:footnotePr>
            <w:pos w:val="beneathText"/>
          </w:footnote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b/>
          <w:color w:val="auto"/>
          <w:sz w:val="24"/>
          <w:highlight w:val="none"/>
        </w:rPr>
        <w:t>附法定代表人/负责人身份证复印件</w:t>
      </w:r>
    </w:p>
    <w:p w14:paraId="35148D1F">
      <w:pPr>
        <w:pStyle w:val="3"/>
        <w:bidi w:val="0"/>
        <w:rPr>
          <w:rFonts w:hint="eastAsia" w:ascii="宋体" w:hAnsi="宋体" w:eastAsia="宋体" w:cs="宋体"/>
          <w:color w:val="auto"/>
          <w:highlight w:val="none"/>
          <w:lang w:val="en-US" w:eastAsia="zh-CN"/>
        </w:rPr>
      </w:pPr>
      <w:bookmarkStart w:id="196" w:name="_Toc9838"/>
      <w:bookmarkStart w:id="197" w:name="_Toc25005"/>
      <w:bookmarkStart w:id="198" w:name="_Toc28957"/>
      <w:bookmarkStart w:id="199" w:name="_Toc20669"/>
      <w:bookmarkStart w:id="200" w:name="_Toc20110"/>
      <w:bookmarkStart w:id="201" w:name="_Toc2585"/>
      <w:bookmarkStart w:id="202" w:name="_Toc11977"/>
      <w:bookmarkStart w:id="203" w:name="_Toc9710"/>
      <w:bookmarkStart w:id="204" w:name="_Toc15000"/>
      <w:bookmarkStart w:id="205" w:name="_Toc17267"/>
      <w:r>
        <w:rPr>
          <w:rFonts w:hint="eastAsia" w:ascii="宋体" w:hAnsi="宋体" w:eastAsia="宋体" w:cs="宋体"/>
          <w:color w:val="auto"/>
          <w:highlight w:val="none"/>
          <w:lang w:val="en-US" w:eastAsia="zh-CN"/>
        </w:rPr>
        <w:t>十</w:t>
      </w:r>
      <w:r>
        <w:rPr>
          <w:rFonts w:hint="eastAsia" w:ascii="宋体" w:hAnsi="宋体" w:cs="宋体"/>
          <w:color w:val="auto"/>
          <w:highlight w:val="none"/>
          <w:lang w:val="en-US" w:eastAsia="zh-CN"/>
        </w:rPr>
        <w:t>三</w:t>
      </w:r>
      <w:r>
        <w:rPr>
          <w:rFonts w:hint="eastAsia" w:ascii="宋体" w:hAnsi="宋体" w:eastAsia="宋体" w:cs="宋体"/>
          <w:color w:val="auto"/>
          <w:highlight w:val="none"/>
          <w:lang w:val="en-US" w:eastAsia="zh-CN"/>
        </w:rPr>
        <w:t>、法定代表人授权委托书</w:t>
      </w:r>
      <w:bookmarkEnd w:id="196"/>
      <w:bookmarkEnd w:id="197"/>
      <w:bookmarkEnd w:id="198"/>
      <w:bookmarkEnd w:id="199"/>
      <w:bookmarkEnd w:id="200"/>
      <w:bookmarkEnd w:id="201"/>
      <w:bookmarkEnd w:id="202"/>
      <w:bookmarkEnd w:id="203"/>
      <w:bookmarkEnd w:id="204"/>
      <w:bookmarkEnd w:id="205"/>
    </w:p>
    <w:p w14:paraId="0CE36BC2">
      <w:pPr>
        <w:keepNext w:val="0"/>
        <w:keepLines w:val="0"/>
        <w:pageBreakBefore w:val="0"/>
        <w:widowControl w:val="0"/>
        <w:shd w:val="clear" w:color="auto" w:fill="auto"/>
        <w:tabs>
          <w:tab w:val="left" w:pos="882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系注册于</w:t>
      </w:r>
      <w:r>
        <w:rPr>
          <w:rFonts w:hint="eastAsia" w:ascii="宋体" w:hAnsi="宋体" w:eastAsia="宋体" w:cs="宋体"/>
          <w:color w:val="auto"/>
          <w:sz w:val="24"/>
          <w:highlight w:val="none"/>
          <w:u w:val="single"/>
        </w:rPr>
        <w:t xml:space="preserve">  （供应商地址）</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的法定代表人，现代表公司授权下面签字的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（被授权人的姓名、职务）</w:t>
      </w:r>
      <w:r>
        <w:rPr>
          <w:rFonts w:hint="eastAsia" w:ascii="宋体" w:hAnsi="宋体" w:eastAsia="宋体" w:cs="宋体"/>
          <w:color w:val="auto"/>
          <w:sz w:val="24"/>
          <w:highlight w:val="none"/>
        </w:rPr>
        <w:t>为我公司合法代理人，代表本公司参加</w:t>
      </w:r>
      <w:r>
        <w:rPr>
          <w:rFonts w:hint="eastAsia" w:ascii="宋体" w:hAnsi="宋体" w:eastAsia="宋体" w:cs="宋体"/>
          <w:color w:val="auto"/>
          <w:sz w:val="24"/>
          <w:highlight w:val="none"/>
          <w:u w:val="single"/>
        </w:rPr>
        <w:t>（采购项目名称）(采购项目编号)</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活动。代理人在本次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中所签署的一切文件和处理的一切有关</w:t>
      </w:r>
      <w:r>
        <w:rPr>
          <w:rFonts w:hint="eastAsia" w:ascii="宋体" w:hAnsi="宋体" w:eastAsia="宋体" w:cs="宋体"/>
          <w:color w:val="auto"/>
          <w:sz w:val="24"/>
          <w:highlight w:val="none"/>
          <w:lang w:eastAsia="zh-CN"/>
        </w:rPr>
        <w:t>事务</w:t>
      </w:r>
      <w:r>
        <w:rPr>
          <w:rFonts w:hint="eastAsia" w:ascii="宋体" w:hAnsi="宋体" w:eastAsia="宋体" w:cs="宋体"/>
          <w:color w:val="auto"/>
          <w:sz w:val="24"/>
          <w:highlight w:val="none"/>
        </w:rPr>
        <w:t>，我公司均</w:t>
      </w:r>
      <w:r>
        <w:rPr>
          <w:rFonts w:hint="eastAsia" w:ascii="宋体" w:hAnsi="宋体" w:eastAsia="宋体" w:cs="宋体"/>
          <w:color w:val="auto"/>
          <w:sz w:val="24"/>
          <w:highlight w:val="none"/>
          <w:lang w:eastAsia="zh-CN"/>
        </w:rPr>
        <w:t>予以</w:t>
      </w:r>
      <w:r>
        <w:rPr>
          <w:rFonts w:hint="eastAsia" w:ascii="宋体" w:hAnsi="宋体" w:eastAsia="宋体" w:cs="宋体"/>
          <w:color w:val="auto"/>
          <w:sz w:val="24"/>
          <w:highlight w:val="none"/>
        </w:rPr>
        <w:t>承认。</w:t>
      </w:r>
    </w:p>
    <w:p w14:paraId="5D9A1A2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此授权书的有效期与</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有效期一致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rPr>
        <w:t xml:space="preserve"> </w:t>
      </w:r>
    </w:p>
    <w:tbl>
      <w:tblPr>
        <w:tblStyle w:val="24"/>
        <w:tblpPr w:leftFromText="180" w:rightFromText="180" w:vertAnchor="text" w:horzAnchor="margin" w:tblpXSpec="center" w:tblpY="6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90"/>
      </w:tblGrid>
      <w:tr w14:paraId="062C5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trPr>
        <w:tc>
          <w:tcPr>
            <w:tcW w:w="4320" w:type="dxa"/>
            <w:noWrap w:val="0"/>
            <w:vAlign w:val="center"/>
          </w:tcPr>
          <w:p w14:paraId="0A507F4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highlight w:val="none"/>
              </w:rPr>
            </w:pPr>
          </w:p>
        </w:tc>
        <w:tc>
          <w:tcPr>
            <w:tcW w:w="4390" w:type="dxa"/>
            <w:noWrap w:val="0"/>
            <w:vAlign w:val="center"/>
          </w:tcPr>
          <w:p w14:paraId="500AA1F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highlight w:val="none"/>
              </w:rPr>
            </w:pPr>
          </w:p>
        </w:tc>
      </w:tr>
      <w:tr w14:paraId="4FB2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trPr>
        <w:tc>
          <w:tcPr>
            <w:tcW w:w="4320" w:type="dxa"/>
            <w:noWrap w:val="0"/>
            <w:vAlign w:val="center"/>
          </w:tcPr>
          <w:p w14:paraId="547756F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highlight w:val="none"/>
              </w:rPr>
            </w:pPr>
          </w:p>
          <w:p w14:paraId="74024B3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highlight w:val="none"/>
              </w:rPr>
            </w:pPr>
          </w:p>
        </w:tc>
        <w:tc>
          <w:tcPr>
            <w:tcW w:w="4390" w:type="dxa"/>
            <w:noWrap w:val="0"/>
            <w:vAlign w:val="center"/>
          </w:tcPr>
          <w:p w14:paraId="0A42A72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highlight w:val="none"/>
              </w:rPr>
            </w:pPr>
          </w:p>
        </w:tc>
      </w:tr>
    </w:tbl>
    <w:p w14:paraId="3185133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附：法定代表人及被授权人的身份证复印件。</w:t>
      </w:r>
    </w:p>
    <w:p w14:paraId="15FC11C6">
      <w:pPr>
        <w:shd w:val="clear" w:color="auto" w:fill="auto"/>
        <w:spacing w:line="360" w:lineRule="auto"/>
        <w:ind w:firstLine="3600" w:firstLineChars="1500"/>
        <w:rPr>
          <w:rFonts w:hint="eastAsia" w:ascii="宋体" w:hAnsi="宋体" w:eastAsia="宋体" w:cs="宋体"/>
          <w:color w:val="auto"/>
          <w:sz w:val="24"/>
          <w:szCs w:val="24"/>
          <w:highlight w:val="none"/>
        </w:rPr>
      </w:pPr>
    </w:p>
    <w:p w14:paraId="1FA1B886">
      <w:pPr>
        <w:shd w:val="clear" w:color="auto" w:fill="auto"/>
        <w:spacing w:line="360" w:lineRule="auto"/>
        <w:ind w:firstLine="3600" w:firstLineChars="1500"/>
        <w:rPr>
          <w:rFonts w:hint="eastAsia" w:ascii="宋体" w:hAnsi="宋体" w:eastAsia="宋体" w:cs="宋体"/>
          <w:color w:val="auto"/>
          <w:sz w:val="24"/>
          <w:szCs w:val="24"/>
          <w:highlight w:val="none"/>
        </w:rPr>
      </w:pPr>
    </w:p>
    <w:p w14:paraId="187D5D93">
      <w:pPr>
        <w:shd w:val="clear" w:color="auto" w:fill="auto"/>
        <w:spacing w:line="360" w:lineRule="auto"/>
        <w:ind w:firstLine="3600" w:firstLineChars="1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1D19DA22">
      <w:pPr>
        <w:shd w:val="clear" w:color="auto" w:fill="auto"/>
        <w:spacing w:line="360" w:lineRule="auto"/>
        <w:ind w:firstLine="3600" w:firstLineChars="1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盖章）</w:t>
      </w:r>
    </w:p>
    <w:p w14:paraId="51BB3727">
      <w:pPr>
        <w:shd w:val="clear" w:color="auto" w:fill="auto"/>
        <w:spacing w:line="360" w:lineRule="auto"/>
        <w:ind w:firstLine="3600" w:firstLineChars="1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7B470E6D">
      <w:pPr>
        <w:shd w:val="clear" w:color="auto" w:fill="auto"/>
        <w:spacing w:line="360" w:lineRule="auto"/>
        <w:ind w:firstLine="3600" w:firstLineChars="15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1561298">
      <w:pPr>
        <w:shd w:val="clear" w:color="auto" w:fill="auto"/>
        <w:rPr>
          <w:rFonts w:hint="eastAsia" w:ascii="宋体" w:hAnsi="宋体" w:eastAsia="宋体" w:cs="宋体"/>
          <w:color w:val="auto"/>
          <w:highlight w:val="none"/>
        </w:rPr>
      </w:pPr>
    </w:p>
    <w:p w14:paraId="2DC41AE7">
      <w:pPr>
        <w:widowControl w:val="0"/>
        <w:shd w:val="clear" w:color="auto" w:fill="auto"/>
        <w:spacing w:before="120" w:after="120"/>
        <w:jc w:val="both"/>
        <w:rPr>
          <w:rFonts w:hint="eastAsia" w:ascii="宋体" w:hAnsi="宋体" w:eastAsia="宋体" w:cs="宋体"/>
          <w:bCs/>
          <w:color w:val="auto"/>
          <w:kern w:val="0"/>
          <w:sz w:val="18"/>
          <w:szCs w:val="18"/>
          <w:highlight w:val="none"/>
          <w:lang w:val="en-US" w:eastAsia="zh-CN" w:bidi="ar-SA"/>
        </w:rPr>
      </w:pPr>
    </w:p>
    <w:p w14:paraId="5500EF28">
      <w:pPr>
        <w:pStyle w:val="8"/>
        <w:shd w:val="clear" w:color="auto" w:fill="auto"/>
        <w:rPr>
          <w:rFonts w:hint="eastAsia" w:ascii="宋体" w:hAnsi="宋体" w:eastAsia="宋体" w:cs="宋体"/>
          <w:b/>
          <w:color w:val="auto"/>
          <w:highlight w:val="none"/>
        </w:rPr>
      </w:pPr>
    </w:p>
    <w:p w14:paraId="6A8CB586">
      <w:pPr>
        <w:shd w:val="clear" w:color="auto" w:fill="auto"/>
        <w:rPr>
          <w:rFonts w:hint="eastAsia" w:ascii="宋体" w:hAnsi="宋体" w:eastAsia="宋体" w:cs="宋体"/>
          <w:color w:val="auto"/>
          <w:highlight w:val="none"/>
        </w:rPr>
      </w:pPr>
    </w:p>
    <w:p w14:paraId="361C66E0">
      <w:pPr>
        <w:pStyle w:val="8"/>
        <w:shd w:val="clear" w:color="auto" w:fill="auto"/>
        <w:rPr>
          <w:rFonts w:hint="eastAsia" w:ascii="宋体" w:hAnsi="宋体" w:eastAsia="宋体" w:cs="宋体"/>
          <w:b/>
          <w:color w:val="auto"/>
          <w:sz w:val="28"/>
          <w:szCs w:val="28"/>
          <w:highlight w:val="none"/>
        </w:rPr>
      </w:pPr>
    </w:p>
    <w:p w14:paraId="46446162">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highlight w:val="none"/>
          <w:lang w:val="en-US" w:eastAsia="zh-CN"/>
        </w:rPr>
      </w:pPr>
      <w:bookmarkStart w:id="206" w:name="_Toc4385"/>
      <w:bookmarkStart w:id="207" w:name="_Toc6701"/>
      <w:bookmarkStart w:id="208" w:name="_Toc1316"/>
      <w:bookmarkStart w:id="209" w:name="_Toc9723"/>
      <w:bookmarkStart w:id="210" w:name="_Toc19527"/>
      <w:bookmarkStart w:id="211" w:name="_Toc3175"/>
      <w:bookmarkStart w:id="212" w:name="_Toc14980"/>
      <w:r>
        <w:rPr>
          <w:rFonts w:hint="eastAsia" w:ascii="宋体" w:hAnsi="宋体" w:eastAsia="宋体" w:cs="宋体"/>
          <w:color w:val="auto"/>
          <w:highlight w:val="none"/>
          <w:lang w:val="en-US" w:eastAsia="zh-CN"/>
        </w:rPr>
        <w:t>第二部分 符合性证明文件</w:t>
      </w:r>
      <w:bookmarkEnd w:id="206"/>
      <w:bookmarkEnd w:id="207"/>
      <w:bookmarkEnd w:id="208"/>
      <w:bookmarkEnd w:id="209"/>
      <w:bookmarkEnd w:id="210"/>
      <w:bookmarkEnd w:id="211"/>
      <w:bookmarkEnd w:id="212"/>
    </w:p>
    <w:p w14:paraId="15E9B92D">
      <w:pPr>
        <w:keepNext/>
        <w:keepLines/>
        <w:pageBreakBefore w:val="0"/>
        <w:widowControl w:val="0"/>
        <w:kinsoku/>
        <w:wordWrap/>
        <w:overflowPunct/>
        <w:topLinePunct w:val="0"/>
        <w:autoSpaceDE/>
        <w:autoSpaceDN/>
        <w:bidi w:val="0"/>
        <w:adjustRightInd/>
        <w:snapToGrid/>
        <w:spacing w:beforeLines="0" w:beforeAutospacing="0" w:afterLines="0" w:afterAutospacing="0" w:line="360" w:lineRule="auto"/>
        <w:jc w:val="center"/>
        <w:textAlignment w:val="auto"/>
        <w:outlineLvl w:val="1"/>
        <w:rPr>
          <w:rFonts w:hint="eastAsia" w:ascii="宋体" w:hAnsi="宋体" w:eastAsia="宋体" w:cs="宋体"/>
          <w:b/>
          <w:color w:val="auto"/>
          <w:kern w:val="2"/>
          <w:sz w:val="30"/>
          <w:highlight w:val="none"/>
          <w:lang w:val="en-US" w:eastAsia="zh-CN" w:bidi="ar-SA"/>
        </w:rPr>
      </w:pPr>
      <w:bookmarkStart w:id="213" w:name="_Toc20536"/>
      <w:bookmarkStart w:id="214" w:name="_Toc15388"/>
      <w:bookmarkStart w:id="215" w:name="_Toc12738"/>
      <w:bookmarkStart w:id="216" w:name="_Toc7232"/>
      <w:bookmarkStart w:id="217" w:name="_Toc21259"/>
      <w:bookmarkStart w:id="218" w:name="_Toc12229"/>
      <w:bookmarkStart w:id="219" w:name="_Toc14328"/>
      <w:bookmarkStart w:id="220" w:name="_Toc21127"/>
      <w:r>
        <w:rPr>
          <w:rFonts w:hint="eastAsia" w:ascii="宋体" w:hAnsi="宋体" w:eastAsia="宋体" w:cs="宋体"/>
          <w:b/>
          <w:color w:val="auto"/>
          <w:kern w:val="2"/>
          <w:sz w:val="30"/>
          <w:highlight w:val="none"/>
          <w:lang w:val="en-US" w:eastAsia="zh-CN" w:bidi="ar-SA"/>
        </w:rPr>
        <w:t>一、磋商响应函</w:t>
      </w:r>
      <w:bookmarkEnd w:id="213"/>
      <w:bookmarkEnd w:id="214"/>
      <w:bookmarkEnd w:id="215"/>
      <w:bookmarkEnd w:id="216"/>
      <w:bookmarkEnd w:id="217"/>
      <w:bookmarkEnd w:id="218"/>
      <w:bookmarkEnd w:id="219"/>
      <w:bookmarkEnd w:id="220"/>
    </w:p>
    <w:p w14:paraId="43BA6B6D">
      <w:pPr>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采购</w:t>
      </w:r>
      <w:r>
        <w:rPr>
          <w:rFonts w:hint="eastAsia" w:ascii="宋体" w:hAnsi="宋体" w:eastAsia="宋体" w:cs="宋体"/>
          <w:color w:val="auto"/>
          <w:sz w:val="24"/>
          <w:szCs w:val="24"/>
          <w:highlight w:val="none"/>
          <w:u w:val="single"/>
        </w:rPr>
        <w:t>人）</w:t>
      </w:r>
      <w:r>
        <w:rPr>
          <w:rFonts w:hint="eastAsia" w:ascii="宋体" w:hAnsi="宋体" w:eastAsia="宋体" w:cs="宋体"/>
          <w:color w:val="auto"/>
          <w:sz w:val="24"/>
          <w:szCs w:val="24"/>
          <w:highlight w:val="none"/>
          <w:u w:val="single"/>
          <w:lang w:val="en-US" w:eastAsia="zh-CN"/>
        </w:rPr>
        <w:t xml:space="preserve">             </w:t>
      </w:r>
    </w:p>
    <w:p w14:paraId="7EABF5F2">
      <w:pPr>
        <w:numPr>
          <w:ilvl w:val="0"/>
          <w:numId w:val="8"/>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根据你方</w:t>
      </w:r>
      <w:r>
        <w:rPr>
          <w:rFonts w:hint="eastAsia" w:ascii="宋体" w:hAnsi="宋体" w:eastAsia="宋体" w:cs="宋体"/>
          <w:color w:val="auto"/>
          <w:sz w:val="24"/>
          <w:szCs w:val="24"/>
          <w:highlight w:val="none"/>
          <w:lang w:eastAsia="zh-CN"/>
        </w:rPr>
        <w:t>发布</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u w:val="single"/>
          <w:lang w:eastAsia="zh-CN"/>
        </w:rPr>
        <w:t>（项目编号）</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，经踏勘项目现场和研究上述</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的投标须知、合同条款、图纸、工程建设标准、工程量清单和答疑纪要及其他有关文件后，我方愿以</w:t>
      </w:r>
      <w:r>
        <w:rPr>
          <w:rFonts w:hint="eastAsia" w:ascii="宋体" w:hAnsi="宋体" w:eastAsia="宋体" w:cs="宋体"/>
          <w:color w:val="auto"/>
          <w:sz w:val="24"/>
          <w:szCs w:val="24"/>
          <w:highlight w:val="none"/>
          <w:lang w:eastAsia="zh-CN"/>
        </w:rPr>
        <w:t>磋商报价为：</w:t>
      </w:r>
      <w:r>
        <w:rPr>
          <w:rFonts w:hint="eastAsia" w:ascii="宋体" w:hAnsi="宋体" w:eastAsia="宋体" w:cs="宋体"/>
          <w:color w:val="auto"/>
          <w:sz w:val="24"/>
          <w:szCs w:val="24"/>
          <w:highlight w:val="none"/>
          <w:u w:val="single"/>
        </w:rPr>
        <w:t>人民币大写</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小写</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承包上述工程施工、竣工、并承担任何质量缺陷保修责任。</w:t>
      </w:r>
    </w:p>
    <w:p w14:paraId="67EF7226">
      <w:pPr>
        <w:spacing w:line="360" w:lineRule="auto"/>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2、我方一旦中标，保证达到</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规定的验收合格标准。</w:t>
      </w:r>
    </w:p>
    <w:p w14:paraId="7AE889AD">
      <w:pPr>
        <w:spacing w:line="360" w:lineRule="auto"/>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3、我方已详细审核全部</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，包括答疑纪要及有关附件。</w:t>
      </w:r>
    </w:p>
    <w:p w14:paraId="3928A431">
      <w:pPr>
        <w:spacing w:line="360" w:lineRule="auto"/>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4、我方保证上述</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不低于我单位工程施工的成本价。</w:t>
      </w:r>
    </w:p>
    <w:p w14:paraId="00FDFEA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、若我方中标，我方保证按合同协议中规定的工期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之前完成并移交全部工程，工程质量达到</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lang w:eastAsia="zh-CN"/>
        </w:rPr>
        <w:t>，本项目的</w:t>
      </w:r>
      <w:r>
        <w:rPr>
          <w:rFonts w:hint="eastAsia" w:ascii="宋体" w:hAnsi="宋体" w:eastAsia="宋体" w:cs="宋体"/>
          <w:color w:val="auto"/>
          <w:sz w:val="24"/>
          <w:szCs w:val="24"/>
          <w:highlight w:val="none"/>
          <w:u w:val="none"/>
          <w:lang w:eastAsia="zh-CN"/>
        </w:rPr>
        <w:t>项目经理为：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（证书编号：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none"/>
          <w:lang w:eastAsia="zh-CN"/>
        </w:rPr>
        <w:t xml:space="preserve"> </w:t>
      </w:r>
      <w:r>
        <w:rPr>
          <w:rFonts w:hint="eastAsia" w:ascii="宋体" w:hAnsi="宋体" w:eastAsia="宋体" w:cs="宋体"/>
          <w:color w:val="auto"/>
          <w:sz w:val="24"/>
          <w:szCs w:val="24"/>
          <w:highlight w:val="none"/>
        </w:rPr>
        <w:t>。</w:t>
      </w:r>
    </w:p>
    <w:p w14:paraId="0BF61FB0">
      <w:pPr>
        <w:spacing w:line="360" w:lineRule="auto"/>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须知第1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条规定的</w:t>
      </w:r>
      <w:r>
        <w:rPr>
          <w:rFonts w:hint="eastAsia" w:ascii="宋体" w:hAnsi="宋体" w:eastAsia="宋体" w:cs="宋体"/>
          <w:color w:val="auto"/>
          <w:sz w:val="24"/>
          <w:szCs w:val="24"/>
          <w:highlight w:val="none"/>
          <w:lang w:eastAsia="zh-CN"/>
        </w:rPr>
        <w:t>磋商有效期</w:t>
      </w:r>
      <w:r>
        <w:rPr>
          <w:rFonts w:hint="eastAsia" w:ascii="宋体" w:hAnsi="宋体" w:eastAsia="宋体" w:cs="宋体"/>
          <w:color w:val="auto"/>
          <w:sz w:val="24"/>
          <w:szCs w:val="24"/>
          <w:highlight w:val="none"/>
        </w:rPr>
        <w:t>内有效，在此期间内如果中标，我方将受此约束。</w:t>
      </w:r>
    </w:p>
    <w:p w14:paraId="656A54BB">
      <w:pPr>
        <w:spacing w:line="360" w:lineRule="auto"/>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通知书和本</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将构成我们约束双方之间共同遵守的文件，对双方具有约束力。</w:t>
      </w:r>
    </w:p>
    <w:p w14:paraId="0A560692">
      <w:pPr>
        <w:spacing w:line="360" w:lineRule="auto"/>
        <w:ind w:firstLine="57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9、</w:t>
      </w:r>
      <w:r>
        <w:rPr>
          <w:rFonts w:hint="eastAsia" w:ascii="宋体" w:hAnsi="宋体" w:eastAsia="宋体" w:cs="宋体"/>
          <w:color w:val="auto"/>
          <w:szCs w:val="21"/>
          <w:highlight w:val="none"/>
        </w:rPr>
        <w:t>其响应文件自磋商之日起有效期为</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个日历日</w:t>
      </w:r>
      <w:r>
        <w:rPr>
          <w:rFonts w:hint="eastAsia" w:ascii="宋体" w:hAnsi="宋体" w:eastAsia="宋体" w:cs="宋体"/>
          <w:color w:val="auto"/>
          <w:szCs w:val="21"/>
          <w:highlight w:val="none"/>
          <w:lang w:eastAsia="zh-CN"/>
        </w:rPr>
        <w:t>。</w:t>
      </w:r>
    </w:p>
    <w:p w14:paraId="70E3235E">
      <w:pPr>
        <w:spacing w:line="360" w:lineRule="auto"/>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我方理解你方不负担我们的任何投标费用，我方不要求你方对未中标原因作出任何解释，也不退回</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w:t>
      </w:r>
    </w:p>
    <w:p w14:paraId="550FB23E">
      <w:pPr>
        <w:spacing w:line="360" w:lineRule="auto"/>
        <w:ind w:firstLine="720" w:firstLineChars="300"/>
        <w:rPr>
          <w:rFonts w:hint="eastAsia" w:ascii="宋体" w:hAnsi="宋体" w:eastAsia="宋体" w:cs="宋体"/>
          <w:color w:val="auto"/>
          <w:sz w:val="24"/>
          <w:szCs w:val="24"/>
          <w:highlight w:val="none"/>
          <w:lang w:eastAsia="zh-CN"/>
        </w:rPr>
      </w:pPr>
    </w:p>
    <w:p w14:paraId="7A938F12">
      <w:pPr>
        <w:spacing w:line="360" w:lineRule="auto"/>
        <w:ind w:firstLine="720" w:firstLineChars="3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（盖章）</w:t>
      </w:r>
    </w:p>
    <w:p w14:paraId="3541B25E">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（盖章）</w:t>
      </w:r>
    </w:p>
    <w:p w14:paraId="21A06D18">
      <w:pPr>
        <w:spacing w:line="360" w:lineRule="auto"/>
        <w:ind w:firstLine="720" w:firstLineChars="3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（签字或盖章）</w:t>
      </w:r>
    </w:p>
    <w:p w14:paraId="54471638">
      <w:pPr>
        <w:spacing w:line="360" w:lineRule="auto"/>
        <w:ind w:firstLine="720" w:firstLineChars="3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p>
    <w:p w14:paraId="14555211">
      <w:pPr>
        <w:ind w:firstLine="720" w:firstLineChars="300"/>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CBB6DBB">
      <w:pPr>
        <w:shd w:val="clear" w:color="auto" w:fill="auto"/>
        <w:spacing w:line="360" w:lineRule="auto"/>
        <w:ind w:firstLine="360" w:firstLineChars="150"/>
        <w:rPr>
          <w:rFonts w:hint="eastAsia" w:ascii="宋体" w:hAnsi="宋体" w:eastAsia="宋体" w:cs="宋体"/>
          <w:color w:val="auto"/>
          <w:sz w:val="24"/>
          <w:highlight w:val="none"/>
        </w:rPr>
      </w:pPr>
    </w:p>
    <w:p w14:paraId="28C30290">
      <w:pPr>
        <w:pStyle w:val="3"/>
        <w:bidi w:val="0"/>
        <w:rPr>
          <w:rFonts w:hint="eastAsia" w:ascii="宋体" w:hAnsi="宋体" w:eastAsia="宋体" w:cs="宋体"/>
          <w:color w:val="auto"/>
          <w:highlight w:val="none"/>
          <w:lang w:val="en-US" w:eastAsia="zh-CN"/>
        </w:rPr>
      </w:pPr>
      <w:bookmarkStart w:id="221" w:name="_Toc21441"/>
      <w:bookmarkStart w:id="222" w:name="_Toc25406"/>
      <w:bookmarkStart w:id="223" w:name="_Toc30143"/>
      <w:bookmarkStart w:id="224" w:name="_Toc19668"/>
      <w:bookmarkStart w:id="225" w:name="_Toc17866"/>
      <w:bookmarkStart w:id="226" w:name="_Toc20320"/>
      <w:bookmarkStart w:id="227" w:name="_Toc8094"/>
      <w:bookmarkStart w:id="228" w:name="_Toc2194"/>
      <w:bookmarkStart w:id="229" w:name="_Toc7389"/>
      <w:bookmarkStart w:id="230" w:name="_Toc11665"/>
      <w:bookmarkStart w:id="231" w:name="_Toc6422"/>
      <w:bookmarkStart w:id="232" w:name="_Toc8332"/>
      <w:r>
        <w:rPr>
          <w:rFonts w:hint="eastAsia" w:ascii="宋体" w:hAnsi="宋体" w:eastAsia="宋体" w:cs="宋体"/>
          <w:color w:val="auto"/>
          <w:highlight w:val="none"/>
          <w:lang w:val="en-US" w:eastAsia="zh-CN"/>
        </w:rPr>
        <w:br w:type="page"/>
      </w:r>
      <w:bookmarkStart w:id="233" w:name="_Toc27084"/>
      <w:r>
        <w:rPr>
          <w:rFonts w:hint="eastAsia" w:ascii="宋体" w:hAnsi="宋体" w:eastAsia="宋体" w:cs="宋体"/>
          <w:color w:val="auto"/>
          <w:highlight w:val="none"/>
          <w:lang w:val="en-US" w:eastAsia="zh-CN"/>
        </w:rPr>
        <w:t>二、一次报价表</w:t>
      </w:r>
      <w:bookmarkEnd w:id="221"/>
      <w:bookmarkEnd w:id="222"/>
      <w:bookmarkEnd w:id="223"/>
      <w:bookmarkEnd w:id="224"/>
      <w:bookmarkEnd w:id="225"/>
      <w:bookmarkEnd w:id="226"/>
      <w:bookmarkEnd w:id="227"/>
      <w:bookmarkEnd w:id="228"/>
      <w:bookmarkEnd w:id="233"/>
    </w:p>
    <w:tbl>
      <w:tblPr>
        <w:tblStyle w:val="24"/>
        <w:tblW w:w="0" w:type="auto"/>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48"/>
        <w:gridCol w:w="6431"/>
      </w:tblGrid>
      <w:tr w14:paraId="454CF547">
        <w:tblPrEx>
          <w:tblCellMar>
            <w:top w:w="0" w:type="dxa"/>
            <w:left w:w="108" w:type="dxa"/>
            <w:bottom w:w="0" w:type="dxa"/>
            <w:right w:w="108" w:type="dxa"/>
          </w:tblCellMar>
        </w:tblPrEx>
        <w:trPr>
          <w:trHeight w:val="601" w:hRule="atLeast"/>
        </w:trPr>
        <w:tc>
          <w:tcPr>
            <w:tcW w:w="2548" w:type="dxa"/>
            <w:tcBorders>
              <w:bottom w:val="single" w:color="auto" w:sz="4" w:space="0"/>
            </w:tcBorders>
            <w:noWrap w:val="0"/>
            <w:vAlign w:val="center"/>
          </w:tcPr>
          <w:p w14:paraId="55210A45">
            <w:pPr>
              <w:shd w:val="clear" w:color="auto" w:fill="auto"/>
              <w:spacing w:line="48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采购项目名称</w:t>
            </w:r>
          </w:p>
        </w:tc>
        <w:tc>
          <w:tcPr>
            <w:tcW w:w="6431" w:type="dxa"/>
            <w:noWrap w:val="0"/>
            <w:vAlign w:val="center"/>
          </w:tcPr>
          <w:p w14:paraId="491FB56F">
            <w:pPr>
              <w:shd w:val="clear" w:color="auto" w:fill="auto"/>
              <w:spacing w:line="480" w:lineRule="auto"/>
              <w:rPr>
                <w:rFonts w:hint="eastAsia" w:ascii="宋体" w:hAnsi="宋体" w:eastAsia="宋体" w:cs="宋体"/>
                <w:bCs/>
                <w:color w:val="auto"/>
                <w:sz w:val="24"/>
                <w:highlight w:val="none"/>
                <w:lang w:eastAsia="zh-CN"/>
              </w:rPr>
            </w:pPr>
          </w:p>
        </w:tc>
      </w:tr>
      <w:tr w14:paraId="49F6784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trPr>
        <w:tc>
          <w:tcPr>
            <w:tcW w:w="2548" w:type="dxa"/>
            <w:tcBorders>
              <w:bottom w:val="single" w:color="auto" w:sz="4" w:space="0"/>
            </w:tcBorders>
            <w:noWrap w:val="0"/>
            <w:vAlign w:val="center"/>
          </w:tcPr>
          <w:p w14:paraId="0E9AFE88">
            <w:pPr>
              <w:shd w:val="clear" w:color="auto" w:fill="auto"/>
              <w:spacing w:line="48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采购项目编号</w:t>
            </w:r>
          </w:p>
        </w:tc>
        <w:tc>
          <w:tcPr>
            <w:tcW w:w="6431" w:type="dxa"/>
            <w:tcBorders>
              <w:bottom w:val="single" w:color="auto" w:sz="4" w:space="0"/>
            </w:tcBorders>
            <w:noWrap w:val="0"/>
            <w:vAlign w:val="center"/>
          </w:tcPr>
          <w:p w14:paraId="5B4AD332">
            <w:pPr>
              <w:shd w:val="clear" w:color="auto" w:fill="auto"/>
              <w:spacing w:line="480" w:lineRule="auto"/>
              <w:rPr>
                <w:rFonts w:hint="eastAsia" w:ascii="宋体" w:hAnsi="宋体" w:eastAsia="宋体" w:cs="宋体"/>
                <w:bCs/>
                <w:color w:val="auto"/>
                <w:sz w:val="24"/>
                <w:highlight w:val="none"/>
                <w:lang w:eastAsia="zh-CN"/>
              </w:rPr>
            </w:pPr>
          </w:p>
        </w:tc>
      </w:tr>
      <w:tr w14:paraId="216EA02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726" w:hRule="atLeast"/>
        </w:trPr>
        <w:tc>
          <w:tcPr>
            <w:tcW w:w="2548" w:type="dxa"/>
            <w:noWrap w:val="0"/>
            <w:vAlign w:val="center"/>
          </w:tcPr>
          <w:p w14:paraId="7671C48F">
            <w:pPr>
              <w:shd w:val="clear" w:color="auto" w:fill="auto"/>
              <w:spacing w:line="48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供应商名称</w:t>
            </w:r>
          </w:p>
          <w:p w14:paraId="241DBEEE">
            <w:pPr>
              <w:shd w:val="clear" w:color="auto" w:fill="auto"/>
              <w:spacing w:line="48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(单位名称)</w:t>
            </w:r>
          </w:p>
        </w:tc>
        <w:tc>
          <w:tcPr>
            <w:tcW w:w="6431" w:type="dxa"/>
            <w:noWrap w:val="0"/>
            <w:vAlign w:val="center"/>
          </w:tcPr>
          <w:p w14:paraId="67DE5B56">
            <w:pPr>
              <w:shd w:val="clear" w:color="auto" w:fill="auto"/>
              <w:spacing w:line="480" w:lineRule="auto"/>
              <w:jc w:val="center"/>
              <w:rPr>
                <w:rFonts w:hint="eastAsia" w:ascii="宋体" w:hAnsi="宋体" w:eastAsia="宋体" w:cs="宋体"/>
                <w:b/>
                <w:bCs/>
                <w:color w:val="auto"/>
                <w:sz w:val="24"/>
                <w:highlight w:val="none"/>
              </w:rPr>
            </w:pPr>
          </w:p>
        </w:tc>
      </w:tr>
      <w:tr w14:paraId="4BD9654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408" w:hRule="atLeast"/>
        </w:trPr>
        <w:tc>
          <w:tcPr>
            <w:tcW w:w="2548" w:type="dxa"/>
            <w:noWrap w:val="0"/>
            <w:vAlign w:val="center"/>
          </w:tcPr>
          <w:p w14:paraId="40C0F6B2">
            <w:pPr>
              <w:shd w:val="clear" w:color="auto" w:fill="auto"/>
              <w:spacing w:line="48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磋商报价</w:t>
            </w:r>
          </w:p>
        </w:tc>
        <w:tc>
          <w:tcPr>
            <w:tcW w:w="6431" w:type="dxa"/>
            <w:noWrap w:val="0"/>
            <w:vAlign w:val="top"/>
          </w:tcPr>
          <w:p w14:paraId="2162C175">
            <w:pPr>
              <w:shd w:val="clear" w:color="auto" w:fill="auto"/>
              <w:spacing w:line="48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lang w:eastAsia="zh-CN"/>
              </w:rPr>
              <w:t>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元</w:t>
            </w:r>
          </w:p>
          <w:p w14:paraId="51DA2249">
            <w:pPr>
              <w:shd w:val="clear" w:color="auto" w:fill="auto"/>
              <w:spacing w:line="480" w:lineRule="auto"/>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eastAsia="zh-CN"/>
              </w:rPr>
              <w:t>）</w:t>
            </w:r>
          </w:p>
        </w:tc>
      </w:tr>
      <w:tr w14:paraId="58AEB0D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21" w:hRule="atLeast"/>
        </w:trPr>
        <w:tc>
          <w:tcPr>
            <w:tcW w:w="2548" w:type="dxa"/>
            <w:noWrap w:val="0"/>
            <w:vAlign w:val="center"/>
          </w:tcPr>
          <w:p w14:paraId="1D3A2B27">
            <w:pPr>
              <w:shd w:val="clear" w:color="auto" w:fill="auto"/>
              <w:spacing w:line="48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期</w:t>
            </w:r>
          </w:p>
        </w:tc>
        <w:tc>
          <w:tcPr>
            <w:tcW w:w="6431" w:type="dxa"/>
            <w:noWrap w:val="0"/>
            <w:vAlign w:val="center"/>
          </w:tcPr>
          <w:p w14:paraId="688A65D1">
            <w:pPr>
              <w:shd w:val="clear" w:color="auto" w:fill="auto"/>
              <w:spacing w:line="480" w:lineRule="auto"/>
              <w:jc w:val="center"/>
              <w:rPr>
                <w:rFonts w:hint="eastAsia" w:ascii="宋体" w:hAnsi="宋体" w:eastAsia="宋体" w:cs="宋体"/>
                <w:b/>
                <w:bCs/>
                <w:color w:val="auto"/>
                <w:sz w:val="24"/>
                <w:highlight w:val="none"/>
              </w:rPr>
            </w:pPr>
          </w:p>
        </w:tc>
      </w:tr>
      <w:tr w14:paraId="55E2AEE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21" w:hRule="atLeast"/>
        </w:trPr>
        <w:tc>
          <w:tcPr>
            <w:tcW w:w="2548" w:type="dxa"/>
            <w:noWrap w:val="0"/>
            <w:vAlign w:val="center"/>
          </w:tcPr>
          <w:p w14:paraId="00ADE3B6">
            <w:pPr>
              <w:shd w:val="clear" w:color="auto" w:fill="auto"/>
              <w:spacing w:line="48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质量标准</w:t>
            </w:r>
          </w:p>
        </w:tc>
        <w:tc>
          <w:tcPr>
            <w:tcW w:w="6431" w:type="dxa"/>
            <w:noWrap w:val="0"/>
            <w:vAlign w:val="center"/>
          </w:tcPr>
          <w:p w14:paraId="21C12508">
            <w:pPr>
              <w:shd w:val="clear" w:color="auto" w:fill="auto"/>
              <w:spacing w:line="480" w:lineRule="auto"/>
              <w:jc w:val="center"/>
              <w:rPr>
                <w:rFonts w:hint="eastAsia" w:ascii="宋体" w:hAnsi="宋体" w:eastAsia="宋体" w:cs="宋体"/>
                <w:b/>
                <w:bCs/>
                <w:color w:val="auto"/>
                <w:sz w:val="24"/>
                <w:highlight w:val="none"/>
              </w:rPr>
            </w:pPr>
          </w:p>
        </w:tc>
      </w:tr>
      <w:tr w14:paraId="7E8483E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21" w:hRule="atLeast"/>
        </w:trPr>
        <w:tc>
          <w:tcPr>
            <w:tcW w:w="2548" w:type="dxa"/>
            <w:noWrap w:val="0"/>
            <w:vAlign w:val="center"/>
          </w:tcPr>
          <w:p w14:paraId="4FE614A4">
            <w:pPr>
              <w:shd w:val="clear" w:color="auto" w:fill="auto"/>
              <w:spacing w:line="480" w:lineRule="auto"/>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质保期</w:t>
            </w:r>
          </w:p>
        </w:tc>
        <w:tc>
          <w:tcPr>
            <w:tcW w:w="6431" w:type="dxa"/>
            <w:noWrap w:val="0"/>
            <w:vAlign w:val="center"/>
          </w:tcPr>
          <w:p w14:paraId="7A8CE61B">
            <w:pPr>
              <w:shd w:val="clear" w:color="auto" w:fill="auto"/>
              <w:spacing w:line="480" w:lineRule="auto"/>
              <w:jc w:val="center"/>
              <w:rPr>
                <w:rFonts w:hint="eastAsia" w:ascii="宋体" w:hAnsi="宋体" w:eastAsia="宋体" w:cs="宋体"/>
                <w:b/>
                <w:bCs/>
                <w:color w:val="auto"/>
                <w:sz w:val="24"/>
                <w:highlight w:val="none"/>
              </w:rPr>
            </w:pPr>
          </w:p>
        </w:tc>
      </w:tr>
      <w:tr w14:paraId="1DBF764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21" w:hRule="atLeast"/>
        </w:trPr>
        <w:tc>
          <w:tcPr>
            <w:tcW w:w="2548" w:type="dxa"/>
            <w:noWrap w:val="0"/>
            <w:vAlign w:val="center"/>
          </w:tcPr>
          <w:p w14:paraId="19D85D36">
            <w:pPr>
              <w:shd w:val="clear" w:color="auto" w:fill="auto"/>
              <w:spacing w:line="48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项目负责人（包括注册证书编号）</w:t>
            </w:r>
          </w:p>
        </w:tc>
        <w:tc>
          <w:tcPr>
            <w:tcW w:w="6431" w:type="dxa"/>
            <w:noWrap w:val="0"/>
            <w:vAlign w:val="center"/>
          </w:tcPr>
          <w:p w14:paraId="72176BC2">
            <w:pPr>
              <w:shd w:val="clear" w:color="auto" w:fill="auto"/>
              <w:spacing w:line="480" w:lineRule="auto"/>
              <w:jc w:val="center"/>
              <w:rPr>
                <w:rFonts w:hint="eastAsia" w:ascii="宋体" w:hAnsi="宋体" w:eastAsia="宋体" w:cs="宋体"/>
                <w:b/>
                <w:bCs/>
                <w:color w:val="auto"/>
                <w:sz w:val="24"/>
                <w:highlight w:val="none"/>
                <w:lang w:val="en-US" w:eastAsia="zh-CN"/>
              </w:rPr>
            </w:pPr>
          </w:p>
        </w:tc>
      </w:tr>
      <w:tr w14:paraId="3AD875A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47" w:hRule="atLeast"/>
        </w:trPr>
        <w:tc>
          <w:tcPr>
            <w:tcW w:w="2548" w:type="dxa"/>
            <w:noWrap w:val="0"/>
            <w:vAlign w:val="center"/>
          </w:tcPr>
          <w:p w14:paraId="4FD5CB3A">
            <w:pPr>
              <w:shd w:val="clear" w:color="auto" w:fill="auto"/>
              <w:spacing w:line="48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其他声明</w:t>
            </w:r>
          </w:p>
        </w:tc>
        <w:tc>
          <w:tcPr>
            <w:tcW w:w="6431" w:type="dxa"/>
            <w:noWrap w:val="0"/>
            <w:vAlign w:val="center"/>
          </w:tcPr>
          <w:p w14:paraId="768E771B">
            <w:pPr>
              <w:shd w:val="clear" w:color="auto" w:fill="auto"/>
              <w:spacing w:line="480" w:lineRule="auto"/>
              <w:jc w:val="center"/>
              <w:rPr>
                <w:rFonts w:hint="eastAsia" w:ascii="宋体" w:hAnsi="宋体" w:eastAsia="宋体" w:cs="宋体"/>
                <w:b/>
                <w:bCs/>
                <w:color w:val="auto"/>
                <w:sz w:val="24"/>
                <w:highlight w:val="none"/>
              </w:rPr>
            </w:pPr>
          </w:p>
        </w:tc>
      </w:tr>
    </w:tbl>
    <w:p w14:paraId="59128B58">
      <w:pPr>
        <w:widowControl w:val="0"/>
        <w:shd w:val="clear" w:color="auto" w:fill="auto"/>
        <w:spacing w:line="360" w:lineRule="auto"/>
        <w:rPr>
          <w:rFonts w:hint="eastAsia" w:ascii="宋体" w:hAnsi="宋体" w:eastAsia="宋体" w:cs="宋体"/>
          <w:color w:val="auto"/>
          <w:sz w:val="22"/>
          <w:szCs w:val="16"/>
          <w:highlight w:val="none"/>
        </w:rPr>
      </w:pPr>
    </w:p>
    <w:p w14:paraId="41E79406">
      <w:pPr>
        <w:widowControl w:val="0"/>
        <w:shd w:val="clear" w:color="auto" w:fill="auto"/>
        <w:spacing w:line="360" w:lineRule="auto"/>
        <w:ind w:right="-161"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p>
    <w:p w14:paraId="0E6E05B9">
      <w:pPr>
        <w:widowControl w:val="0"/>
        <w:shd w:val="clear" w:color="auto" w:fill="auto"/>
        <w:spacing w:line="360" w:lineRule="auto"/>
        <w:ind w:right="-161"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法定代表人或被授权代表签字：</w:t>
      </w:r>
      <w:r>
        <w:rPr>
          <w:rFonts w:hint="eastAsia" w:ascii="宋体" w:hAnsi="宋体" w:eastAsia="宋体" w:cs="宋体"/>
          <w:color w:val="auto"/>
          <w:sz w:val="24"/>
          <w:szCs w:val="24"/>
          <w:highlight w:val="none"/>
          <w:u w:val="single"/>
        </w:rPr>
        <w:t xml:space="preserve">                    </w:t>
      </w:r>
    </w:p>
    <w:p w14:paraId="2418498F">
      <w:pPr>
        <w:widowControl w:val="0"/>
        <w:shd w:val="clear" w:color="auto" w:fill="auto"/>
        <w:spacing w:line="360" w:lineRule="auto"/>
        <w:ind w:right="-161" w:firstLine="2640" w:firstLineChars="11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14:paraId="0ABA0B44">
      <w:pPr>
        <w:widowControl/>
        <w:shd w:val="clear" w:color="auto" w:fill="auto"/>
        <w:spacing w:line="500" w:lineRule="exact"/>
        <w:rPr>
          <w:rFonts w:hint="eastAsia" w:ascii="宋体" w:hAnsi="宋体" w:eastAsia="宋体" w:cs="宋体"/>
          <w:b/>
          <w:color w:val="auto"/>
          <w:sz w:val="28"/>
          <w:szCs w:val="28"/>
          <w:highlight w:val="none"/>
          <w:lang w:val="en-US" w:eastAsia="zh-CN"/>
        </w:rPr>
      </w:pPr>
    </w:p>
    <w:p w14:paraId="392F3FB9">
      <w:pPr>
        <w:pStyle w:val="8"/>
        <w:shd w:val="clear" w:color="auto" w:fill="auto"/>
        <w:rPr>
          <w:rFonts w:hint="eastAsia" w:ascii="宋体" w:hAnsi="宋体" w:eastAsia="宋体" w:cs="宋体"/>
          <w:b/>
          <w:color w:val="auto"/>
          <w:sz w:val="28"/>
          <w:szCs w:val="28"/>
          <w:highlight w:val="none"/>
          <w:lang w:val="en-US" w:eastAsia="zh-CN"/>
        </w:rPr>
      </w:pPr>
    </w:p>
    <w:p w14:paraId="70243232">
      <w:pPr>
        <w:shd w:val="clear" w:color="auto" w:fill="auto"/>
        <w:rPr>
          <w:rFonts w:hint="eastAsia" w:ascii="宋体" w:hAnsi="宋体" w:eastAsia="宋体" w:cs="宋体"/>
          <w:b/>
          <w:color w:val="auto"/>
          <w:sz w:val="28"/>
          <w:szCs w:val="28"/>
          <w:highlight w:val="none"/>
          <w:lang w:val="en-US" w:eastAsia="zh-CN"/>
        </w:rPr>
      </w:pPr>
    </w:p>
    <w:p w14:paraId="346ADF8F">
      <w:pPr>
        <w:pStyle w:val="8"/>
        <w:shd w:val="clear" w:color="auto" w:fill="auto"/>
        <w:rPr>
          <w:rFonts w:hint="eastAsia" w:ascii="宋体" w:hAnsi="宋体" w:eastAsia="宋体" w:cs="宋体"/>
          <w:b/>
          <w:color w:val="auto"/>
          <w:sz w:val="28"/>
          <w:szCs w:val="28"/>
          <w:highlight w:val="none"/>
          <w:lang w:val="en-US" w:eastAsia="zh-CN"/>
        </w:rPr>
      </w:pPr>
    </w:p>
    <w:p w14:paraId="3047AB57">
      <w:pPr>
        <w:shd w:val="clear" w:color="auto" w:fill="auto"/>
        <w:rPr>
          <w:rFonts w:hint="eastAsia" w:ascii="宋体" w:hAnsi="宋体" w:eastAsia="宋体" w:cs="宋体"/>
          <w:b/>
          <w:color w:val="auto"/>
          <w:sz w:val="28"/>
          <w:szCs w:val="28"/>
          <w:highlight w:val="none"/>
          <w:lang w:val="en-US" w:eastAsia="zh-CN"/>
        </w:rPr>
      </w:pPr>
    </w:p>
    <w:bookmarkEnd w:id="229"/>
    <w:bookmarkEnd w:id="230"/>
    <w:bookmarkEnd w:id="231"/>
    <w:bookmarkEnd w:id="232"/>
    <w:p w14:paraId="71F378AC">
      <w:pPr>
        <w:rPr>
          <w:rFonts w:hint="eastAsia" w:ascii="宋体" w:hAnsi="宋体" w:eastAsia="宋体" w:cs="宋体"/>
          <w:color w:val="auto"/>
          <w:highlight w:val="none"/>
          <w:lang w:val="en-US" w:eastAsia="zh-CN"/>
        </w:rPr>
      </w:pPr>
      <w:bookmarkStart w:id="234" w:name="_Toc6371"/>
      <w:bookmarkStart w:id="235" w:name="_Toc26109"/>
      <w:bookmarkStart w:id="236" w:name="_Toc2969"/>
      <w:bookmarkStart w:id="237" w:name="_Toc18084"/>
      <w:bookmarkStart w:id="238" w:name="_Toc8326"/>
      <w:bookmarkStart w:id="239" w:name="_Toc2902"/>
      <w:bookmarkStart w:id="240" w:name="_Toc8804"/>
      <w:bookmarkStart w:id="241" w:name="_Toc16816"/>
      <w:r>
        <w:rPr>
          <w:rFonts w:hint="eastAsia" w:ascii="宋体" w:hAnsi="宋体" w:eastAsia="宋体" w:cs="宋体"/>
          <w:color w:val="auto"/>
          <w:highlight w:val="none"/>
          <w:lang w:val="en-US" w:eastAsia="zh-CN"/>
        </w:rPr>
        <w:br w:type="page"/>
      </w:r>
    </w:p>
    <w:p w14:paraId="620331AC">
      <w:pPr>
        <w:pStyle w:val="3"/>
        <w:bidi w:val="0"/>
        <w:rPr>
          <w:rFonts w:hint="eastAsia" w:ascii="宋体" w:hAnsi="宋体" w:eastAsia="宋体" w:cs="宋体"/>
          <w:color w:val="auto"/>
          <w:highlight w:val="none"/>
          <w:lang w:val="en-US" w:eastAsia="zh-CN"/>
        </w:rPr>
      </w:pPr>
      <w:bookmarkStart w:id="242" w:name="_Toc18497"/>
      <w:r>
        <w:rPr>
          <w:rFonts w:hint="eastAsia" w:ascii="宋体" w:hAnsi="宋体" w:eastAsia="宋体" w:cs="宋体"/>
          <w:color w:val="auto"/>
          <w:highlight w:val="none"/>
          <w:lang w:val="en-US" w:eastAsia="zh-CN"/>
        </w:rPr>
        <w:t>三、</w:t>
      </w:r>
      <w:bookmarkEnd w:id="234"/>
      <w:bookmarkEnd w:id="235"/>
      <w:bookmarkEnd w:id="236"/>
      <w:r>
        <w:rPr>
          <w:rFonts w:hint="eastAsia" w:ascii="宋体" w:hAnsi="宋体" w:eastAsia="宋体" w:cs="宋体"/>
          <w:color w:val="auto"/>
          <w:highlight w:val="none"/>
          <w:lang w:val="en-US" w:eastAsia="zh-CN"/>
        </w:rPr>
        <w:t>已标价工程量清单</w:t>
      </w:r>
      <w:bookmarkEnd w:id="237"/>
      <w:bookmarkEnd w:id="238"/>
      <w:bookmarkEnd w:id="239"/>
      <w:bookmarkEnd w:id="240"/>
      <w:bookmarkEnd w:id="241"/>
      <w:bookmarkEnd w:id="242"/>
    </w:p>
    <w:p w14:paraId="1644FA0E">
      <w:pPr>
        <w:pStyle w:val="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eastAsia="zh-CN"/>
        </w:rPr>
        <w:t>一</w:t>
      </w:r>
      <w:r>
        <w:rPr>
          <w:rFonts w:hint="eastAsia" w:ascii="宋体" w:hAnsi="宋体" w:eastAsia="宋体" w:cs="宋体"/>
          <w:color w:val="auto"/>
          <w:sz w:val="22"/>
          <w:szCs w:val="22"/>
          <w:highlight w:val="none"/>
        </w:rPr>
        <w:t>）投标报价说明</w:t>
      </w:r>
    </w:p>
    <w:p w14:paraId="51DA6D9B">
      <w:pPr>
        <w:spacing w:line="360" w:lineRule="auto"/>
        <w:ind w:firstLine="460" w:firstLineChars="1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1、本报价依据本工程</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的投标须知、合同文件、工程建设标准、图纸、工程量清单和答疑纪要及其它有关文件进行编制。</w:t>
      </w:r>
    </w:p>
    <w:p w14:paraId="48EE8BA8">
      <w:pPr>
        <w:spacing w:line="360" w:lineRule="auto"/>
        <w:ind w:firstLine="460" w:firstLineChars="1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2、本工程量清单计价表中的工程量是按招标人所发的工程量清单中的数量计取的。若我方中标，施工中出现的工程量差异同意按</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规定的办法进行结算。</w:t>
      </w:r>
    </w:p>
    <w:p w14:paraId="773109D9">
      <w:pPr>
        <w:spacing w:line="360" w:lineRule="auto"/>
        <w:ind w:firstLine="460" w:firstLineChars="1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3、工程量清单计价表中所填入的单价和合价，为本工程所涉及的全部项目的价格，是按照《陕西省建设工程工程量清单计价规则》和</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要求及市场价格计算（有甲方暂定价的按暂定价计算）确定的直接费、管理费、风险、利润、措施项目费、其它项目费、规费、税金和</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规定，结合我公司实际情况和投标策略计算并列报的。</w:t>
      </w:r>
    </w:p>
    <w:p w14:paraId="7E3DC5D3">
      <w:pPr>
        <w:spacing w:line="360" w:lineRule="auto"/>
        <w:ind w:firstLine="460" w:firstLineChars="1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4、本报价中没有填写的项目的费用，视为已包括在其他项目之中。</w:t>
      </w:r>
    </w:p>
    <w:p w14:paraId="114385A4">
      <w:pPr>
        <w:spacing w:line="360" w:lineRule="auto"/>
        <w:ind w:firstLine="460" w:firstLineChars="1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5、本报价的币种为人民币。</w:t>
      </w:r>
    </w:p>
    <w:p w14:paraId="168B9D3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6、投标人投标价需要说明的其它事项。</w:t>
      </w:r>
    </w:p>
    <w:p w14:paraId="020BC219">
      <w:pPr>
        <w:pStyle w:val="8"/>
        <w:spacing w:line="360" w:lineRule="auto"/>
        <w:rPr>
          <w:rFonts w:hint="eastAsia" w:ascii="宋体" w:hAnsi="宋体" w:eastAsia="宋体" w:cs="宋体"/>
          <w:color w:val="auto"/>
          <w:sz w:val="24"/>
          <w:szCs w:val="24"/>
          <w:highlight w:val="none"/>
        </w:rPr>
      </w:pPr>
    </w:p>
    <w:p w14:paraId="73BB92A2">
      <w:pPr>
        <w:pStyle w:val="8"/>
        <w:spacing w:line="360" w:lineRule="auto"/>
        <w:rPr>
          <w:rFonts w:hint="eastAsia" w:ascii="宋体" w:hAnsi="宋体" w:eastAsia="宋体" w:cs="宋体"/>
          <w:color w:val="auto"/>
          <w:sz w:val="24"/>
          <w:szCs w:val="24"/>
          <w:highlight w:val="none"/>
        </w:rPr>
      </w:pPr>
    </w:p>
    <w:p w14:paraId="29B07D9C">
      <w:pPr>
        <w:pStyle w:val="8"/>
        <w:spacing w:line="360" w:lineRule="auto"/>
        <w:rPr>
          <w:rFonts w:hint="eastAsia" w:ascii="宋体" w:hAnsi="宋体" w:eastAsia="宋体" w:cs="宋体"/>
          <w:color w:val="auto"/>
          <w:sz w:val="24"/>
          <w:szCs w:val="24"/>
          <w:highlight w:val="none"/>
        </w:rPr>
      </w:pPr>
    </w:p>
    <w:p w14:paraId="2DAFAC3F">
      <w:pPr>
        <w:pStyle w:val="8"/>
        <w:spacing w:line="360" w:lineRule="auto"/>
        <w:rPr>
          <w:rFonts w:hint="eastAsia" w:ascii="宋体" w:hAnsi="宋体" w:eastAsia="宋体" w:cs="宋体"/>
          <w:color w:val="auto"/>
          <w:sz w:val="24"/>
          <w:szCs w:val="24"/>
          <w:highlight w:val="none"/>
        </w:rPr>
      </w:pPr>
    </w:p>
    <w:p w14:paraId="62E3082C">
      <w:pPr>
        <w:pStyle w:val="8"/>
        <w:spacing w:line="360" w:lineRule="auto"/>
        <w:rPr>
          <w:rFonts w:hint="eastAsia" w:ascii="宋体" w:hAnsi="宋体" w:eastAsia="宋体" w:cs="宋体"/>
          <w:color w:val="auto"/>
          <w:sz w:val="24"/>
          <w:szCs w:val="24"/>
          <w:highlight w:val="none"/>
        </w:rPr>
      </w:pPr>
    </w:p>
    <w:p w14:paraId="33F4D1E6">
      <w:pPr>
        <w:pStyle w:val="8"/>
        <w:spacing w:line="360" w:lineRule="auto"/>
        <w:rPr>
          <w:rFonts w:hint="eastAsia" w:ascii="宋体" w:hAnsi="宋体" w:eastAsia="宋体" w:cs="宋体"/>
          <w:color w:val="auto"/>
          <w:sz w:val="24"/>
          <w:szCs w:val="24"/>
          <w:highlight w:val="none"/>
        </w:rPr>
      </w:pPr>
    </w:p>
    <w:p w14:paraId="1EDA4788">
      <w:pPr>
        <w:pStyle w:val="8"/>
        <w:spacing w:line="360" w:lineRule="auto"/>
        <w:rPr>
          <w:rFonts w:hint="eastAsia" w:ascii="宋体" w:hAnsi="宋体" w:eastAsia="宋体" w:cs="宋体"/>
          <w:color w:val="auto"/>
          <w:sz w:val="24"/>
          <w:szCs w:val="24"/>
          <w:highlight w:val="none"/>
        </w:rPr>
      </w:pPr>
    </w:p>
    <w:p w14:paraId="1D5002C9">
      <w:pPr>
        <w:pStyle w:val="8"/>
        <w:spacing w:line="360" w:lineRule="auto"/>
        <w:rPr>
          <w:rFonts w:hint="eastAsia" w:ascii="宋体" w:hAnsi="宋体" w:eastAsia="宋体" w:cs="宋体"/>
          <w:color w:val="auto"/>
          <w:sz w:val="24"/>
          <w:szCs w:val="24"/>
          <w:highlight w:val="none"/>
        </w:rPr>
      </w:pPr>
    </w:p>
    <w:p w14:paraId="4C294DF3">
      <w:pPr>
        <w:rPr>
          <w:rFonts w:hint="eastAsia" w:ascii="宋体" w:hAnsi="宋体" w:eastAsia="宋体" w:cs="宋体"/>
          <w:color w:val="auto"/>
          <w:sz w:val="24"/>
          <w:szCs w:val="24"/>
          <w:highlight w:val="none"/>
        </w:rPr>
      </w:pPr>
    </w:p>
    <w:p w14:paraId="361D6B19">
      <w:pPr>
        <w:pStyle w:val="8"/>
        <w:rPr>
          <w:rFonts w:hint="eastAsia" w:ascii="宋体" w:hAnsi="宋体" w:eastAsia="宋体" w:cs="宋体"/>
          <w:color w:val="auto"/>
          <w:sz w:val="24"/>
          <w:szCs w:val="24"/>
          <w:highlight w:val="none"/>
        </w:rPr>
      </w:pPr>
    </w:p>
    <w:p w14:paraId="1AE76237">
      <w:pPr>
        <w:rPr>
          <w:rFonts w:hint="eastAsia" w:ascii="宋体" w:hAnsi="宋体" w:eastAsia="宋体" w:cs="宋体"/>
          <w:color w:val="auto"/>
          <w:sz w:val="24"/>
          <w:szCs w:val="24"/>
          <w:highlight w:val="none"/>
        </w:rPr>
      </w:pPr>
    </w:p>
    <w:p w14:paraId="07402F39">
      <w:pPr>
        <w:pStyle w:val="8"/>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 </w:t>
      </w:r>
    </w:p>
    <w:p w14:paraId="2D476807">
      <w:pPr>
        <w:pStyle w:val="40"/>
        <w:numPr>
          <w:ilvl w:val="0"/>
          <w:numId w:val="9"/>
        </w:numPr>
        <w:spacing w:line="360" w:lineRule="auto"/>
        <w:jc w:val="center"/>
        <w:rPr>
          <w:rFonts w:hint="eastAsia" w:ascii="宋体" w:hAnsi="宋体" w:eastAsia="宋体" w:cs="宋体"/>
          <w:color w:val="auto"/>
          <w:sz w:val="24"/>
          <w:szCs w:val="24"/>
          <w:highlight w:val="none"/>
        </w:rPr>
        <w:sectPr>
          <w:pgSz w:w="11900" w:h="16838"/>
          <w:pgMar w:top="1332" w:right="1196" w:bottom="1417" w:left="1672" w:header="680" w:footer="680" w:gutter="0"/>
          <w:pgNumType w:fmt="decimal"/>
          <w:cols w:space="0" w:num="1"/>
          <w:rtlGutter w:val="0"/>
          <w:docGrid w:linePitch="312" w:charSpace="0"/>
        </w:sectPr>
      </w:pPr>
    </w:p>
    <w:p w14:paraId="0FAEF1B0">
      <w:pPr>
        <w:pStyle w:val="40"/>
        <w:numPr>
          <w:ilvl w:val="0"/>
          <w:numId w:val="9"/>
        </w:num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报价表统一格式</w:t>
      </w:r>
    </w:p>
    <w:p w14:paraId="0F72506C">
      <w:pPr>
        <w:bidi w:val="0"/>
        <w:jc w:val="center"/>
        <w:rPr>
          <w:rFonts w:hint="eastAsia" w:ascii="宋体" w:hAnsi="宋体" w:eastAsia="宋体" w:cs="宋体"/>
          <w:color w:val="auto"/>
          <w:lang w:eastAsia="zh-CN"/>
        </w:rPr>
      </w:pPr>
      <w:bookmarkStart w:id="243" w:name="_Toc27210"/>
    </w:p>
    <w:p w14:paraId="7C24828F">
      <w:pPr>
        <w:bidi w:val="0"/>
        <w:jc w:val="center"/>
        <w:rPr>
          <w:rFonts w:hint="eastAsia" w:ascii="宋体" w:hAnsi="宋体" w:eastAsia="宋体" w:cs="宋体"/>
          <w:color w:val="auto"/>
          <w:lang w:eastAsia="zh-CN"/>
        </w:rPr>
        <w:sectPr>
          <w:pgSz w:w="11900" w:h="16838"/>
          <w:pgMar w:top="1332" w:right="1196" w:bottom="1417" w:left="1672" w:header="680" w:footer="680" w:gutter="0"/>
          <w:pgNumType w:fmt="decimal"/>
          <w:cols w:space="0" w:num="1"/>
          <w:rtlGutter w:val="0"/>
          <w:docGrid w:linePitch="312" w:charSpace="0"/>
        </w:sectPr>
      </w:pPr>
      <w:r>
        <w:rPr>
          <w:rFonts w:hint="eastAsia" w:ascii="宋体" w:hAnsi="宋体" w:eastAsia="宋体" w:cs="宋体"/>
          <w:color w:val="auto"/>
          <w:lang w:eastAsia="zh-CN"/>
        </w:rPr>
        <w:t>（软件自带格式报表）</w:t>
      </w:r>
      <w:bookmarkEnd w:id="243"/>
    </w:p>
    <w:p w14:paraId="1C8E192D">
      <w:pPr>
        <w:pStyle w:val="3"/>
        <w:bidi w:val="0"/>
        <w:rPr>
          <w:rFonts w:hint="eastAsia" w:ascii="宋体" w:hAnsi="宋体" w:eastAsia="宋体" w:cs="宋体"/>
          <w:color w:val="auto"/>
          <w:highlight w:val="none"/>
        </w:rPr>
      </w:pPr>
      <w:bookmarkStart w:id="244" w:name="_Toc25138"/>
      <w:bookmarkStart w:id="245" w:name="_Toc25679"/>
      <w:bookmarkStart w:id="246" w:name="_Toc32448"/>
      <w:bookmarkStart w:id="247" w:name="_Toc11606"/>
      <w:bookmarkStart w:id="248" w:name="_Toc23686"/>
      <w:bookmarkStart w:id="249" w:name="_Toc281"/>
      <w:bookmarkStart w:id="250" w:name="_Toc19094"/>
      <w:bookmarkStart w:id="251" w:name="_Toc7944"/>
      <w:bookmarkStart w:id="252" w:name="_Toc31404"/>
      <w:r>
        <w:rPr>
          <w:rFonts w:hint="eastAsia" w:ascii="宋体" w:hAnsi="宋体" w:eastAsia="宋体" w:cs="宋体"/>
          <w:color w:val="auto"/>
          <w:highlight w:val="none"/>
        </w:rPr>
        <w:t>四、供应商承诺书</w:t>
      </w:r>
      <w:bookmarkEnd w:id="244"/>
      <w:bookmarkEnd w:id="245"/>
      <w:bookmarkEnd w:id="246"/>
      <w:bookmarkEnd w:id="247"/>
      <w:bookmarkEnd w:id="248"/>
      <w:bookmarkEnd w:id="249"/>
      <w:bookmarkEnd w:id="250"/>
      <w:bookmarkEnd w:id="251"/>
      <w:bookmarkEnd w:id="252"/>
    </w:p>
    <w:p w14:paraId="43B54581">
      <w:pPr>
        <w:pStyle w:val="4"/>
        <w:bidi w:val="0"/>
        <w:jc w:val="center"/>
        <w:rPr>
          <w:rFonts w:hint="eastAsia" w:ascii="宋体" w:hAnsi="宋体" w:eastAsia="宋体" w:cs="宋体"/>
          <w:color w:val="auto"/>
          <w:lang w:val="en-US" w:eastAsia="zh-CN"/>
        </w:rPr>
      </w:pPr>
      <w:bookmarkStart w:id="253" w:name="_Toc7736"/>
      <w:bookmarkStart w:id="254" w:name="_Toc7473"/>
      <w:bookmarkStart w:id="255" w:name="_Toc19111"/>
      <w:bookmarkStart w:id="256" w:name="_Toc27482"/>
      <w:bookmarkStart w:id="257" w:name="_Toc18088"/>
      <w:bookmarkStart w:id="258" w:name="_Toc11459"/>
      <w:r>
        <w:rPr>
          <w:rFonts w:hint="eastAsia" w:ascii="宋体" w:hAnsi="宋体" w:eastAsia="宋体" w:cs="宋体"/>
          <w:color w:val="auto"/>
          <w:lang w:val="en-US" w:eastAsia="zh-CN"/>
        </w:rPr>
        <w:t>（一）质量安全责任承诺书</w:t>
      </w:r>
      <w:bookmarkEnd w:id="253"/>
      <w:bookmarkEnd w:id="254"/>
      <w:bookmarkEnd w:id="255"/>
      <w:bookmarkEnd w:id="256"/>
      <w:bookmarkEnd w:id="257"/>
      <w:bookmarkEnd w:id="258"/>
    </w:p>
    <w:p w14:paraId="1C7B4EF4">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为保证本采购项目顺利进行，作为投标供应商，现郑重承诺：</w:t>
      </w:r>
    </w:p>
    <w:p w14:paraId="6674D589">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1、我方投标投入使用的材料等均完全符合国家现行质量、安全、环保标准和要求。</w:t>
      </w:r>
    </w:p>
    <w:p w14:paraId="5A24F45A">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2、我方将严格按照国家现行相关储存、运输、安装调试技术标准及规范、服务标准及规范、施工标准及规范，在规定的时限内，保质、保量完成项目全部内容，并向采购人交付合格</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w:t>
      </w:r>
    </w:p>
    <w:p w14:paraId="5F0AAFDB">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3、对于因施工等过程中产生的任何安全事故，我方承担全部责任。</w:t>
      </w:r>
    </w:p>
    <w:p w14:paraId="20AA8DAE">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4、我方提供的工程等符合现行的国家、行业、地区、企业标准及要求，标准不一致的，以更为严格的为准，我方对提供的工程等的质量、安全、环保等承担全部责任。</w:t>
      </w:r>
    </w:p>
    <w:p w14:paraId="6D95D740">
      <w:pPr>
        <w:widowControl/>
        <w:shd w:val="clear" w:color="auto" w:fill="auto"/>
        <w:spacing w:line="360" w:lineRule="auto"/>
        <w:ind w:firstLine="480" w:firstLineChars="200"/>
        <w:rPr>
          <w:rFonts w:hint="eastAsia" w:ascii="宋体" w:hAnsi="宋体" w:eastAsia="宋体" w:cs="宋体"/>
          <w:color w:val="auto"/>
          <w:sz w:val="24"/>
          <w:szCs w:val="24"/>
          <w:highlight w:val="none"/>
        </w:rPr>
      </w:pPr>
    </w:p>
    <w:p w14:paraId="20DC9085">
      <w:pPr>
        <w:widowControl/>
        <w:shd w:val="clear" w:color="auto" w:fill="auto"/>
        <w:spacing w:line="360" w:lineRule="auto"/>
        <w:ind w:firstLine="480" w:firstLineChars="200"/>
        <w:rPr>
          <w:rFonts w:hint="eastAsia" w:ascii="宋体" w:hAnsi="宋体" w:eastAsia="宋体" w:cs="宋体"/>
          <w:color w:val="auto"/>
          <w:sz w:val="24"/>
          <w:szCs w:val="24"/>
          <w:highlight w:val="none"/>
        </w:rPr>
      </w:pPr>
    </w:p>
    <w:p w14:paraId="1D91E51F">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（加盖公章）</w:t>
      </w:r>
    </w:p>
    <w:p w14:paraId="22A90CE2">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p>
    <w:p w14:paraId="2874F6A1">
      <w:pPr>
        <w:widowControl/>
        <w:shd w:val="clear" w:color="auto" w:fill="auto"/>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499E626">
      <w:pPr>
        <w:pStyle w:val="23"/>
        <w:shd w:val="clear" w:color="auto" w:fill="auto"/>
        <w:spacing w:line="480" w:lineRule="auto"/>
        <w:rPr>
          <w:rFonts w:hint="eastAsia" w:ascii="宋体" w:hAnsi="宋体" w:eastAsia="宋体" w:cs="宋体"/>
          <w:color w:val="auto"/>
          <w:sz w:val="24"/>
          <w:szCs w:val="24"/>
          <w:highlight w:val="none"/>
        </w:rPr>
      </w:pPr>
    </w:p>
    <w:p w14:paraId="3A450385">
      <w:pPr>
        <w:pStyle w:val="23"/>
        <w:shd w:val="clear" w:color="auto" w:fill="auto"/>
        <w:rPr>
          <w:rFonts w:hint="eastAsia" w:ascii="宋体" w:hAnsi="宋体" w:eastAsia="宋体" w:cs="宋体"/>
          <w:color w:val="auto"/>
          <w:sz w:val="24"/>
          <w:szCs w:val="24"/>
          <w:highlight w:val="none"/>
        </w:rPr>
      </w:pPr>
    </w:p>
    <w:p w14:paraId="2EF8A5DA">
      <w:pPr>
        <w:pStyle w:val="23"/>
        <w:shd w:val="clear" w:color="auto" w:fill="auto"/>
        <w:rPr>
          <w:rFonts w:hint="eastAsia" w:ascii="宋体" w:hAnsi="宋体" w:eastAsia="宋体" w:cs="宋体"/>
          <w:color w:val="auto"/>
          <w:sz w:val="24"/>
          <w:szCs w:val="24"/>
          <w:highlight w:val="none"/>
        </w:rPr>
      </w:pPr>
    </w:p>
    <w:p w14:paraId="38D9F1EE">
      <w:pPr>
        <w:pStyle w:val="23"/>
        <w:shd w:val="clear" w:color="auto" w:fill="auto"/>
        <w:rPr>
          <w:rFonts w:hint="eastAsia" w:ascii="宋体" w:hAnsi="宋体" w:eastAsia="宋体" w:cs="宋体"/>
          <w:color w:val="auto"/>
          <w:sz w:val="24"/>
          <w:szCs w:val="24"/>
          <w:highlight w:val="none"/>
        </w:rPr>
      </w:pPr>
    </w:p>
    <w:p w14:paraId="6278E406">
      <w:pPr>
        <w:pStyle w:val="23"/>
        <w:shd w:val="clear" w:color="auto" w:fill="auto"/>
        <w:rPr>
          <w:rFonts w:hint="eastAsia" w:ascii="宋体" w:hAnsi="宋体" w:eastAsia="宋体" w:cs="宋体"/>
          <w:color w:val="auto"/>
          <w:sz w:val="24"/>
          <w:szCs w:val="24"/>
          <w:highlight w:val="none"/>
        </w:rPr>
      </w:pPr>
    </w:p>
    <w:p w14:paraId="165BEF82">
      <w:pPr>
        <w:pStyle w:val="23"/>
        <w:shd w:val="clear" w:color="auto" w:fill="auto"/>
        <w:rPr>
          <w:rFonts w:hint="eastAsia" w:ascii="宋体" w:hAnsi="宋体" w:eastAsia="宋体" w:cs="宋体"/>
          <w:color w:val="auto"/>
          <w:sz w:val="24"/>
          <w:szCs w:val="24"/>
          <w:highlight w:val="none"/>
        </w:rPr>
      </w:pPr>
    </w:p>
    <w:p w14:paraId="33886995">
      <w:pPr>
        <w:pStyle w:val="23"/>
        <w:shd w:val="clear" w:color="auto" w:fill="auto"/>
        <w:rPr>
          <w:rFonts w:hint="eastAsia" w:ascii="宋体" w:hAnsi="宋体" w:eastAsia="宋体" w:cs="宋体"/>
          <w:color w:val="auto"/>
          <w:sz w:val="24"/>
          <w:szCs w:val="24"/>
          <w:highlight w:val="none"/>
        </w:rPr>
      </w:pPr>
    </w:p>
    <w:p w14:paraId="19C1D257">
      <w:pPr>
        <w:pStyle w:val="3"/>
        <w:keepNext/>
        <w:keepLines/>
        <w:pageBreakBefore w:val="0"/>
        <w:widowControl/>
        <w:numPr>
          <w:ilvl w:val="0"/>
          <w:numId w:val="0"/>
        </w:numPr>
        <w:shd w:val="clear" w:color="auto" w:fill="auto"/>
        <w:kinsoku/>
        <w:wordWrap/>
        <w:overflowPunct/>
        <w:topLinePunct w:val="0"/>
        <w:autoSpaceDE/>
        <w:autoSpaceDN/>
        <w:bidi w:val="0"/>
        <w:adjustRightInd/>
        <w:snapToGrid/>
        <w:spacing w:before="0" w:after="0" w:line="360" w:lineRule="auto"/>
        <w:ind w:right="0" w:rightChars="0"/>
        <w:jc w:val="center"/>
        <w:textAlignment w:val="auto"/>
        <w:rPr>
          <w:rFonts w:hint="eastAsia" w:ascii="宋体" w:hAnsi="宋体" w:eastAsia="宋体" w:cs="宋体"/>
          <w:color w:val="auto"/>
          <w:highlight w:val="none"/>
          <w:lang w:eastAsia="zh-CN"/>
        </w:rPr>
        <w:sectPr>
          <w:headerReference r:id="rId16" w:type="first"/>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bookmarkStart w:id="259" w:name="_Toc47"/>
      <w:bookmarkStart w:id="260" w:name="_Toc30884"/>
      <w:bookmarkStart w:id="261" w:name="_Toc30387"/>
      <w:bookmarkStart w:id="262" w:name="_Toc31701"/>
    </w:p>
    <w:p w14:paraId="14E80A2D">
      <w:pPr>
        <w:pStyle w:val="4"/>
        <w:bidi w:val="0"/>
        <w:jc w:val="center"/>
        <w:rPr>
          <w:rFonts w:hint="eastAsia" w:ascii="宋体" w:hAnsi="宋体" w:eastAsia="宋体" w:cs="宋体"/>
          <w:color w:val="auto"/>
          <w:highlight w:val="none"/>
          <w:lang w:eastAsia="zh-CN"/>
        </w:rPr>
      </w:pPr>
      <w:bookmarkStart w:id="263" w:name="_Toc30029"/>
      <w:r>
        <w:rPr>
          <w:rFonts w:hint="eastAsia" w:ascii="宋体" w:hAnsi="宋体" w:eastAsia="宋体" w:cs="宋体"/>
          <w:color w:val="auto"/>
          <w:highlight w:val="none"/>
          <w:lang w:eastAsia="zh-CN"/>
        </w:rPr>
        <w:t>（二）陕西省政府采购供应商拒绝政府采购领域商业贿赂承诺书</w:t>
      </w:r>
      <w:bookmarkEnd w:id="259"/>
      <w:bookmarkEnd w:id="260"/>
      <w:bookmarkEnd w:id="261"/>
      <w:bookmarkEnd w:id="263"/>
    </w:p>
    <w:p w14:paraId="42C9255C">
      <w:pPr>
        <w:pStyle w:val="4"/>
        <w:bidi w:val="0"/>
        <w:jc w:val="center"/>
        <w:rPr>
          <w:rFonts w:hint="eastAsia" w:ascii="宋体" w:hAnsi="宋体" w:eastAsia="宋体" w:cs="宋体"/>
          <w:color w:val="auto"/>
          <w:lang w:val="en-US"/>
        </w:rPr>
      </w:pPr>
      <w:bookmarkStart w:id="264" w:name="_Toc5251"/>
      <w:bookmarkStart w:id="265" w:name="_Toc6579"/>
      <w:bookmarkStart w:id="266" w:name="_Toc28938"/>
      <w:bookmarkStart w:id="267" w:name="_Toc27943"/>
      <w:r>
        <w:rPr>
          <w:rFonts w:hint="eastAsia" w:ascii="宋体" w:hAnsi="宋体" w:eastAsia="宋体" w:cs="宋体"/>
          <w:color w:val="auto"/>
          <w:lang w:eastAsia="zh-CN"/>
        </w:rPr>
        <w:t>承诺书</w:t>
      </w:r>
      <w:r>
        <w:rPr>
          <w:rFonts w:hint="eastAsia" w:ascii="宋体" w:hAnsi="宋体" w:eastAsia="宋体" w:cs="宋体"/>
          <w:color w:val="auto"/>
          <w:lang w:val="en-US"/>
        </w:rPr>
        <w:t>I</w:t>
      </w:r>
      <w:bookmarkEnd w:id="262"/>
      <w:bookmarkEnd w:id="264"/>
      <w:bookmarkEnd w:id="265"/>
      <w:bookmarkEnd w:id="266"/>
      <w:bookmarkEnd w:id="267"/>
    </w:p>
    <w:p w14:paraId="42EE56C3">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为响应党中央、国务院关于治理政府采购领域商业贿赂行为的号召，我公司在此庄严承诺：</w:t>
      </w:r>
    </w:p>
    <w:p w14:paraId="20641355">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1、在参与政府采购活动中遵纪守法、诚信经营、公平竞标。</w:t>
      </w:r>
    </w:p>
    <w:p w14:paraId="452B5D7E">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2、不向政府采购人、采购代理机构和政府采购评审专家进行任何形式的商业贿赂以谋取交易机会。</w:t>
      </w:r>
    </w:p>
    <w:p w14:paraId="511C0919">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3、不向政府采购代理机构和采购人提供虚假资质文件或采用虚假应标方式参与政府采购市场竞争并谋取中标、成交。</w:t>
      </w:r>
    </w:p>
    <w:p w14:paraId="5BD252B8">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4、不采取“围标、陪标”等商业欺诈手段获得政府采购定单。</w:t>
      </w:r>
    </w:p>
    <w:p w14:paraId="0029AF39">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5、不采取不正当手段诋毁、排挤其他投标人。</w:t>
      </w:r>
    </w:p>
    <w:p w14:paraId="5BF070EC">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6、不在提供商品和服务时“偷梁换柱、以次充好”损害采购人的合法权益。</w:t>
      </w:r>
    </w:p>
    <w:p w14:paraId="7CE62D30">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7、不与采购人、采购代理机构政府采购评审专家或其它投标人恶意串通，进行质疑和投诉，维护政府采购市场秩序。</w:t>
      </w:r>
    </w:p>
    <w:p w14:paraId="0B73AAE9">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8、尊重和接受政府采购监督管理部门的监督和政府采购代理机构招标采购要求，承担因违约行为给采购人造成的损失。</w:t>
      </w:r>
    </w:p>
    <w:p w14:paraId="47D21061">
      <w:pPr>
        <w:keepNext w:val="0"/>
        <w:keepLines w:val="0"/>
        <w:widowControl/>
        <w:suppressLineNumbers w:val="0"/>
        <w:shd w:val="clear" w:color="auto" w:fill="auto"/>
        <w:spacing w:before="0" w:beforeAutospacing="0" w:after="0" w:afterAutospacing="0" w:line="408" w:lineRule="auto"/>
        <w:ind w:left="271" w:leftChars="113" w:right="0" w:firstLine="470" w:firstLineChars="196"/>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 xml:space="preserve">  9、不发生其他有悖于政府采购公开、公平、公正和诚信原则的行为。</w:t>
      </w:r>
    </w:p>
    <w:p w14:paraId="5BB96EF4">
      <w:pPr>
        <w:bidi w:val="0"/>
        <w:rPr>
          <w:rFonts w:hint="eastAsia" w:ascii="宋体" w:hAnsi="宋体" w:eastAsia="宋体" w:cs="宋体"/>
          <w:color w:val="auto"/>
          <w:lang w:val="en-US"/>
        </w:rPr>
      </w:pPr>
    </w:p>
    <w:p w14:paraId="33AD1E8C">
      <w:pPr>
        <w:keepNext w:val="0"/>
        <w:keepLines w:val="0"/>
        <w:widowControl/>
        <w:suppressLineNumbers w:val="0"/>
        <w:shd w:val="clear" w:color="auto" w:fill="auto"/>
        <w:spacing w:before="0" w:beforeAutospacing="0" w:after="0" w:afterAutospacing="0" w:line="408" w:lineRule="auto"/>
        <w:ind w:left="271" w:leftChars="113" w:right="0" w:firstLine="480" w:firstLineChars="200"/>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承诺单位：</w:t>
      </w:r>
      <w:r>
        <w:rPr>
          <w:rFonts w:hint="eastAsia" w:ascii="宋体" w:hAnsi="宋体" w:eastAsia="宋体" w:cs="宋体"/>
          <w:color w:val="auto"/>
          <w:kern w:val="0"/>
          <w:sz w:val="24"/>
          <w:szCs w:val="20"/>
          <w:highlight w:val="none"/>
          <w:u w:val="single"/>
          <w:lang w:val="en-US" w:eastAsia="zh-CN" w:bidi="ar"/>
        </w:rPr>
        <w:t xml:space="preserve">       </w:t>
      </w:r>
      <w:r>
        <w:rPr>
          <w:rFonts w:hint="eastAsia" w:ascii="宋体" w:hAnsi="宋体" w:eastAsia="宋体" w:cs="宋体"/>
          <w:color w:val="auto"/>
          <w:kern w:val="0"/>
          <w:sz w:val="24"/>
          <w:szCs w:val="20"/>
          <w:highlight w:val="none"/>
          <w:lang w:val="en-US" w:eastAsia="zh-CN" w:bidi="ar"/>
        </w:rPr>
        <w:t>（盖章）</w:t>
      </w:r>
    </w:p>
    <w:p w14:paraId="748D0F83">
      <w:pPr>
        <w:keepNext w:val="0"/>
        <w:keepLines w:val="0"/>
        <w:widowControl/>
        <w:suppressLineNumbers w:val="0"/>
        <w:shd w:val="clear" w:color="auto" w:fill="auto"/>
        <w:spacing w:before="0" w:beforeAutospacing="0" w:after="0" w:afterAutospacing="0" w:line="408" w:lineRule="auto"/>
        <w:ind w:left="271" w:leftChars="113" w:right="0" w:firstLine="480" w:firstLineChars="200"/>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全权代表：</w:t>
      </w:r>
      <w:r>
        <w:rPr>
          <w:rFonts w:hint="eastAsia" w:ascii="宋体" w:hAnsi="宋体" w:eastAsia="宋体" w:cs="宋体"/>
          <w:color w:val="auto"/>
          <w:kern w:val="0"/>
          <w:sz w:val="24"/>
          <w:szCs w:val="20"/>
          <w:highlight w:val="none"/>
          <w:u w:val="single"/>
          <w:lang w:val="en-US" w:eastAsia="zh-CN" w:bidi="ar"/>
        </w:rPr>
        <w:t xml:space="preserve">       </w:t>
      </w:r>
      <w:r>
        <w:rPr>
          <w:rFonts w:hint="eastAsia" w:ascii="宋体" w:hAnsi="宋体" w:eastAsia="宋体" w:cs="宋体"/>
          <w:color w:val="auto"/>
          <w:kern w:val="0"/>
          <w:sz w:val="24"/>
          <w:szCs w:val="20"/>
          <w:highlight w:val="none"/>
          <w:lang w:val="en-US" w:eastAsia="zh-CN" w:bidi="ar"/>
        </w:rPr>
        <w:t>（签字）</w:t>
      </w:r>
    </w:p>
    <w:p w14:paraId="2747CA5B">
      <w:pPr>
        <w:keepNext w:val="0"/>
        <w:keepLines w:val="0"/>
        <w:widowControl/>
        <w:suppressLineNumbers w:val="0"/>
        <w:shd w:val="clear" w:color="auto" w:fill="auto"/>
        <w:spacing w:before="0" w:beforeAutospacing="0" w:after="0" w:afterAutospacing="0" w:line="408" w:lineRule="auto"/>
        <w:ind w:left="271" w:leftChars="113" w:right="0" w:firstLine="480" w:firstLineChars="200"/>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地  址：</w:t>
      </w:r>
    </w:p>
    <w:p w14:paraId="55E4AC22">
      <w:pPr>
        <w:keepNext w:val="0"/>
        <w:keepLines w:val="0"/>
        <w:widowControl/>
        <w:suppressLineNumbers w:val="0"/>
        <w:shd w:val="clear" w:color="auto" w:fill="auto"/>
        <w:spacing w:before="0" w:beforeAutospacing="0" w:after="0" w:afterAutospacing="0" w:line="408" w:lineRule="auto"/>
        <w:ind w:left="271" w:leftChars="113" w:right="0" w:firstLine="480" w:firstLineChars="200"/>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邮  编：</w:t>
      </w:r>
    </w:p>
    <w:p w14:paraId="03A67C5E">
      <w:pPr>
        <w:keepNext w:val="0"/>
        <w:keepLines w:val="0"/>
        <w:widowControl/>
        <w:suppressLineNumbers w:val="0"/>
        <w:shd w:val="clear" w:color="auto" w:fill="auto"/>
        <w:spacing w:before="0" w:beforeAutospacing="0" w:after="0" w:afterAutospacing="0" w:line="408" w:lineRule="auto"/>
        <w:ind w:left="271" w:leftChars="113" w:right="0"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0"/>
          <w:highlight w:val="none"/>
          <w:lang w:val="en-US" w:eastAsia="zh-CN" w:bidi="ar"/>
        </w:rPr>
        <w:t xml:space="preserve">电  话：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7976BE7">
      <w:pPr>
        <w:pStyle w:val="4"/>
        <w:shd w:val="clear" w:color="auto" w:fill="auto"/>
        <w:bidi w:val="0"/>
        <w:jc w:val="center"/>
        <w:rPr>
          <w:rFonts w:hint="eastAsia" w:ascii="宋体" w:hAnsi="宋体" w:eastAsia="宋体" w:cs="宋体"/>
          <w:color w:val="auto"/>
          <w:highlight w:val="none"/>
          <w:lang w:val="en-US"/>
        </w:rPr>
      </w:pPr>
      <w:bookmarkStart w:id="268" w:name="_Toc31875"/>
      <w:bookmarkStart w:id="269" w:name="_Toc5517"/>
      <w:bookmarkStart w:id="270" w:name="_Toc3361"/>
      <w:bookmarkStart w:id="271" w:name="_Toc14040"/>
      <w:bookmarkStart w:id="272" w:name="_Toc7862"/>
      <w:r>
        <w:rPr>
          <w:rFonts w:hint="eastAsia" w:ascii="宋体" w:hAnsi="宋体" w:eastAsia="宋体" w:cs="宋体"/>
          <w:color w:val="auto"/>
          <w:highlight w:val="none"/>
          <w:lang w:eastAsia="zh-CN"/>
        </w:rPr>
        <w:t>承诺书Ⅱ</w:t>
      </w:r>
      <w:bookmarkEnd w:id="268"/>
      <w:bookmarkEnd w:id="269"/>
      <w:bookmarkEnd w:id="270"/>
      <w:bookmarkEnd w:id="271"/>
      <w:bookmarkEnd w:id="272"/>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7C4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noWrap w:val="0"/>
            <w:vAlign w:val="center"/>
          </w:tcPr>
          <w:p w14:paraId="2278C681">
            <w:pPr>
              <w:keepNext w:val="0"/>
              <w:keepLines w:val="0"/>
              <w:widowControl w:val="0"/>
              <w:suppressLineNumbers w:val="0"/>
              <w:shd w:val="clear" w:color="auto" w:fill="auto"/>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致：榆林腾达建诚信息咨询有限公司</w:t>
            </w:r>
          </w:p>
        </w:tc>
      </w:tr>
      <w:tr w14:paraId="3ED8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noWrap w:val="0"/>
            <w:vAlign w:val="center"/>
          </w:tcPr>
          <w:p w14:paraId="59BB195E">
            <w:pPr>
              <w:keepNext w:val="0"/>
              <w:keepLines w:val="0"/>
              <w:widowControl w:val="0"/>
              <w:suppressLineNumbers w:val="0"/>
              <w:shd w:val="clear" w:color="auto" w:fill="auto"/>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作为参加贵公司组织的招标采购项目的投标单位，本公司承诺：在参加本项目招标之前不存在被依法禁止经营行为、财产被接管或冻结的情况，如有隐瞒实情，愿承担一切责任及后果。</w:t>
            </w:r>
          </w:p>
        </w:tc>
      </w:tr>
      <w:tr w14:paraId="5D4DD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tcBorders>
              <w:top w:val="single" w:color="auto" w:sz="4" w:space="0"/>
              <w:left w:val="single" w:color="auto" w:sz="4" w:space="0"/>
              <w:bottom w:val="single" w:color="auto" w:sz="4" w:space="0"/>
              <w:right w:val="single" w:color="auto" w:sz="4" w:space="0"/>
            </w:tcBorders>
            <w:noWrap w:val="0"/>
            <w:vAlign w:val="center"/>
          </w:tcPr>
          <w:p w14:paraId="265FF734">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7E57B663">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6BF2C6B9">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36F0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noWrap w:val="0"/>
            <w:vAlign w:val="center"/>
          </w:tcPr>
          <w:p w14:paraId="739FD34F">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0CCD8D99">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3F6FABAA">
            <w:pPr>
              <w:keepNext w:val="0"/>
              <w:keepLines w:val="0"/>
              <w:widowControl w:val="0"/>
              <w:suppressLineNumbers w:val="0"/>
              <w:shd w:val="clear" w:color="auto" w:fill="auto"/>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3A656F6A">
      <w:pPr>
        <w:pStyle w:val="4"/>
        <w:shd w:val="clear" w:color="auto" w:fill="auto"/>
        <w:bidi w:val="0"/>
        <w:jc w:val="center"/>
        <w:rPr>
          <w:rFonts w:hint="eastAsia" w:ascii="宋体" w:hAnsi="宋体" w:eastAsia="宋体" w:cs="宋体"/>
          <w:color w:val="auto"/>
          <w:highlight w:val="none"/>
          <w:lang w:val="en-US"/>
        </w:rPr>
      </w:pPr>
      <w:bookmarkStart w:id="273" w:name="_Toc28839"/>
      <w:bookmarkStart w:id="274" w:name="_Toc16627"/>
      <w:bookmarkStart w:id="275" w:name="_Toc29532"/>
      <w:bookmarkStart w:id="276" w:name="_Toc5515"/>
      <w:bookmarkStart w:id="277" w:name="_Toc2315"/>
      <w:bookmarkStart w:id="278" w:name="_Toc1422"/>
      <w:r>
        <w:rPr>
          <w:rFonts w:hint="eastAsia" w:ascii="宋体" w:hAnsi="宋体" w:eastAsia="宋体" w:cs="宋体"/>
          <w:color w:val="auto"/>
          <w:highlight w:val="none"/>
          <w:lang w:eastAsia="zh-CN"/>
        </w:rPr>
        <w:t>承诺书Ⅲ</w:t>
      </w:r>
      <w:bookmarkEnd w:id="273"/>
      <w:bookmarkEnd w:id="274"/>
      <w:bookmarkEnd w:id="275"/>
      <w:bookmarkEnd w:id="276"/>
      <w:bookmarkEnd w:id="277"/>
      <w:bookmarkEnd w:id="278"/>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2088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noWrap w:val="0"/>
            <w:vAlign w:val="center"/>
          </w:tcPr>
          <w:p w14:paraId="4DC4F6E6">
            <w:pPr>
              <w:keepNext w:val="0"/>
              <w:keepLines w:val="0"/>
              <w:widowControl w:val="0"/>
              <w:suppressLineNumbers w:val="0"/>
              <w:shd w:val="clear" w:color="auto" w:fill="auto"/>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致：榆林腾达建诚信息咨询有限公司</w:t>
            </w:r>
          </w:p>
        </w:tc>
      </w:tr>
      <w:tr w14:paraId="2CC5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noWrap w:val="0"/>
            <w:vAlign w:val="center"/>
          </w:tcPr>
          <w:p w14:paraId="2F3E1AC3">
            <w:pPr>
              <w:keepNext w:val="0"/>
              <w:keepLines w:val="0"/>
              <w:widowControl w:val="0"/>
              <w:suppressLineNumbers w:val="0"/>
              <w:shd w:val="clear" w:color="auto" w:fill="auto"/>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作为参加贵公司组织的招标采购项目的投标单位，本公司郑重申告并承诺：近三年受到有关行政主管部门的行政处理、不良行为记录为次（没有填零），如有隐瞒实情，愿承担一切责任及后果。</w:t>
            </w:r>
          </w:p>
        </w:tc>
      </w:tr>
      <w:tr w14:paraId="6AFC6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3240" w:type="dxa"/>
            <w:tcBorders>
              <w:top w:val="single" w:color="auto" w:sz="4" w:space="0"/>
              <w:left w:val="single" w:color="auto" w:sz="4" w:space="0"/>
              <w:bottom w:val="single" w:color="auto" w:sz="4" w:space="0"/>
              <w:right w:val="single" w:color="auto" w:sz="4" w:space="0"/>
            </w:tcBorders>
            <w:noWrap w:val="0"/>
            <w:vAlign w:val="center"/>
          </w:tcPr>
          <w:p w14:paraId="1EF2F732">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46C20C7B">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26708B27">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35DF1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noWrap w:val="0"/>
            <w:vAlign w:val="center"/>
          </w:tcPr>
          <w:p w14:paraId="5862596B">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00BE3B72">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3BF79A1C">
            <w:pPr>
              <w:keepNext w:val="0"/>
              <w:keepLines w:val="0"/>
              <w:widowControl w:val="0"/>
              <w:suppressLineNumbers w:val="0"/>
              <w:shd w:val="clear" w:color="auto" w:fill="auto"/>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453F3389">
      <w:pPr>
        <w:keepNext w:val="0"/>
        <w:keepLines w:val="0"/>
        <w:widowControl w:val="0"/>
        <w:suppressLineNumbers w:val="0"/>
        <w:shd w:val="clear" w:color="auto" w:fill="auto"/>
        <w:spacing w:before="0" w:beforeAutospacing="0" w:after="0" w:afterAutospacing="0"/>
        <w:ind w:left="0" w:right="0"/>
        <w:jc w:val="both"/>
        <w:rPr>
          <w:rFonts w:hint="eastAsia" w:ascii="宋体" w:hAnsi="宋体" w:eastAsia="宋体" w:cs="宋体"/>
          <w:color w:val="auto"/>
          <w:highlight w:val="none"/>
          <w:lang w:val="en-US"/>
        </w:rPr>
      </w:pPr>
    </w:p>
    <w:p w14:paraId="71BFF9BE">
      <w:pPr>
        <w:keepNext w:val="0"/>
        <w:keepLines w:val="0"/>
        <w:widowControl w:val="0"/>
        <w:suppressLineNumbers w:val="0"/>
        <w:shd w:val="clear" w:color="auto" w:fill="auto"/>
        <w:spacing w:before="0" w:beforeAutospacing="0" w:after="0" w:afterAutospacing="0"/>
        <w:ind w:left="0" w:right="0"/>
        <w:jc w:val="both"/>
        <w:rPr>
          <w:rFonts w:hint="eastAsia" w:ascii="宋体" w:hAnsi="宋体" w:eastAsia="宋体" w:cs="宋体"/>
          <w:color w:val="auto"/>
          <w:highlight w:val="none"/>
          <w:lang w:val="en-US"/>
        </w:rPr>
      </w:pPr>
    </w:p>
    <w:p w14:paraId="25A9455B">
      <w:pPr>
        <w:keepNext w:val="0"/>
        <w:keepLines w:val="0"/>
        <w:widowControl w:val="0"/>
        <w:suppressLineNumbers w:val="0"/>
        <w:shd w:val="clear" w:color="auto" w:fill="auto"/>
        <w:spacing w:before="0" w:beforeAutospacing="0" w:after="0" w:afterAutospacing="0"/>
        <w:ind w:left="0" w:right="0"/>
        <w:jc w:val="both"/>
        <w:rPr>
          <w:rFonts w:hint="eastAsia" w:ascii="宋体" w:hAnsi="宋体" w:eastAsia="宋体" w:cs="宋体"/>
          <w:color w:val="auto"/>
          <w:highlight w:val="none"/>
          <w:lang w:val="en-US"/>
        </w:rPr>
      </w:pPr>
    </w:p>
    <w:p w14:paraId="7F96337A">
      <w:pPr>
        <w:keepNext w:val="0"/>
        <w:keepLines w:val="0"/>
        <w:widowControl w:val="0"/>
        <w:suppressLineNumbers w:val="0"/>
        <w:shd w:val="clear" w:color="auto" w:fill="auto"/>
        <w:spacing w:before="0" w:beforeAutospacing="0" w:after="0" w:afterAutospacing="0"/>
        <w:ind w:left="0" w:right="0"/>
        <w:jc w:val="both"/>
        <w:rPr>
          <w:rFonts w:hint="eastAsia" w:ascii="宋体" w:hAnsi="宋体" w:eastAsia="宋体" w:cs="宋体"/>
          <w:color w:val="auto"/>
          <w:highlight w:val="none"/>
          <w:lang w:val="en-US"/>
        </w:rPr>
      </w:pPr>
    </w:p>
    <w:p w14:paraId="66451492">
      <w:pPr>
        <w:pStyle w:val="4"/>
        <w:shd w:val="clear" w:color="auto" w:fill="auto"/>
        <w:bidi w:val="0"/>
        <w:jc w:val="center"/>
        <w:rPr>
          <w:rFonts w:hint="eastAsia" w:ascii="宋体" w:hAnsi="宋体" w:eastAsia="宋体" w:cs="宋体"/>
          <w:color w:val="auto"/>
          <w:highlight w:val="none"/>
          <w:lang w:val="en-US"/>
        </w:rPr>
      </w:pPr>
      <w:bookmarkStart w:id="279" w:name="_Toc1368"/>
      <w:bookmarkStart w:id="280" w:name="_Toc25735"/>
      <w:bookmarkStart w:id="281" w:name="_Toc11757"/>
      <w:bookmarkStart w:id="282" w:name="_Toc9758"/>
      <w:bookmarkStart w:id="283" w:name="_Toc17178"/>
      <w:bookmarkStart w:id="284" w:name="_Toc21519"/>
      <w:r>
        <w:rPr>
          <w:rFonts w:hint="eastAsia" w:ascii="宋体" w:hAnsi="宋体" w:eastAsia="宋体" w:cs="宋体"/>
          <w:color w:val="auto"/>
          <w:highlight w:val="none"/>
          <w:lang w:val="en-US" w:eastAsia="zh-CN"/>
        </w:rPr>
        <w:t>承诺书Ⅳ</w:t>
      </w:r>
      <w:bookmarkEnd w:id="279"/>
      <w:bookmarkEnd w:id="280"/>
      <w:bookmarkEnd w:id="281"/>
      <w:bookmarkEnd w:id="282"/>
      <w:bookmarkEnd w:id="283"/>
    </w:p>
    <w:bookmarkEnd w:id="284"/>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1B7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noWrap w:val="0"/>
            <w:vAlign w:val="center"/>
          </w:tcPr>
          <w:p w14:paraId="236C88BE">
            <w:pPr>
              <w:keepNext w:val="0"/>
              <w:keepLines w:val="0"/>
              <w:widowControl w:val="0"/>
              <w:suppressLineNumbers w:val="0"/>
              <w:shd w:val="clear" w:color="auto" w:fill="auto"/>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致：榆林腾达建诚信息咨询有限公司</w:t>
            </w:r>
          </w:p>
        </w:tc>
      </w:tr>
      <w:tr w14:paraId="0803E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noWrap w:val="0"/>
            <w:vAlign w:val="center"/>
          </w:tcPr>
          <w:p w14:paraId="7C7C1B42">
            <w:pPr>
              <w:keepNext w:val="0"/>
              <w:keepLines w:val="0"/>
              <w:widowControl w:val="0"/>
              <w:suppressLineNumbers w:val="0"/>
              <w:shd w:val="clear" w:color="auto" w:fill="auto"/>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作为参加贵公司组织的招标采购项目的投标单位，本公司郑重申告：近三年因项目产品质量问题的不法行为记录为次（没有填零），如有隐瞒实情，愿承担一切责任及后果。</w:t>
            </w:r>
          </w:p>
        </w:tc>
      </w:tr>
      <w:tr w14:paraId="497A3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40" w:type="dxa"/>
            <w:tcBorders>
              <w:top w:val="single" w:color="auto" w:sz="4" w:space="0"/>
              <w:left w:val="single" w:color="auto" w:sz="4" w:space="0"/>
              <w:bottom w:val="single" w:color="auto" w:sz="4" w:space="0"/>
              <w:right w:val="single" w:color="auto" w:sz="4" w:space="0"/>
            </w:tcBorders>
            <w:noWrap w:val="0"/>
            <w:vAlign w:val="center"/>
          </w:tcPr>
          <w:p w14:paraId="4248D14A">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57EDEB79">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76DEAFA3">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42FB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noWrap w:val="0"/>
            <w:vAlign w:val="center"/>
          </w:tcPr>
          <w:p w14:paraId="0A252D45">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6A520FC3">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7C4967B7">
            <w:pPr>
              <w:keepNext w:val="0"/>
              <w:keepLines w:val="0"/>
              <w:widowControl w:val="0"/>
              <w:suppressLineNumbers w:val="0"/>
              <w:shd w:val="clear" w:color="auto" w:fill="auto"/>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7C14F4CB">
      <w:pPr>
        <w:pStyle w:val="4"/>
        <w:shd w:val="clear" w:color="auto" w:fill="auto"/>
        <w:bidi w:val="0"/>
        <w:jc w:val="center"/>
        <w:rPr>
          <w:rFonts w:hint="eastAsia" w:ascii="宋体" w:hAnsi="宋体" w:eastAsia="宋体" w:cs="宋体"/>
          <w:color w:val="auto"/>
          <w:highlight w:val="none"/>
          <w:lang w:val="en-US"/>
        </w:rPr>
      </w:pPr>
      <w:bookmarkStart w:id="285" w:name="_Toc24250"/>
      <w:bookmarkStart w:id="286" w:name="_Toc22422"/>
      <w:bookmarkStart w:id="287" w:name="_Toc13103"/>
      <w:bookmarkStart w:id="288" w:name="_Toc14860"/>
      <w:bookmarkStart w:id="289" w:name="_Toc21148"/>
      <w:bookmarkStart w:id="290" w:name="_Toc11995"/>
      <w:r>
        <w:rPr>
          <w:rFonts w:hint="eastAsia" w:ascii="宋体" w:hAnsi="宋体" w:eastAsia="宋体" w:cs="宋体"/>
          <w:color w:val="auto"/>
          <w:highlight w:val="none"/>
          <w:lang w:val="en-US" w:eastAsia="zh-CN"/>
        </w:rPr>
        <w:t>承诺书</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 5 \* ROMAN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V</w:t>
      </w:r>
      <w:r>
        <w:rPr>
          <w:rFonts w:hint="eastAsia" w:ascii="宋体" w:hAnsi="宋体" w:eastAsia="宋体" w:cs="宋体"/>
          <w:color w:val="auto"/>
          <w:highlight w:val="none"/>
          <w:lang w:val="en-US" w:eastAsia="zh-CN"/>
        </w:rPr>
        <w:fldChar w:fldCharType="end"/>
      </w:r>
      <w:bookmarkEnd w:id="285"/>
      <w:bookmarkEnd w:id="286"/>
      <w:bookmarkEnd w:id="287"/>
      <w:bookmarkEnd w:id="288"/>
      <w:bookmarkEnd w:id="289"/>
    </w:p>
    <w:bookmarkEnd w:id="290"/>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871D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noWrap w:val="0"/>
            <w:vAlign w:val="center"/>
          </w:tcPr>
          <w:p w14:paraId="67FBC44E">
            <w:pPr>
              <w:keepNext w:val="0"/>
              <w:keepLines w:val="0"/>
              <w:widowControl w:val="0"/>
              <w:suppressLineNumbers w:val="0"/>
              <w:shd w:val="clear" w:color="auto" w:fill="auto"/>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致：榆林腾达建诚信息咨询有限公司</w:t>
            </w:r>
          </w:p>
        </w:tc>
      </w:tr>
      <w:tr w14:paraId="2B0EB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noWrap w:val="0"/>
            <w:vAlign w:val="center"/>
          </w:tcPr>
          <w:p w14:paraId="5E031A3C">
            <w:pPr>
              <w:keepNext w:val="0"/>
              <w:keepLines w:val="0"/>
              <w:widowControl w:val="0"/>
              <w:suppressLineNumbers w:val="0"/>
              <w:shd w:val="clear" w:color="auto" w:fill="auto"/>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作为参加贵公司组织的招标采购项目的投标单位，本公司承诺：参加本次投标递交的所有资质证明文件及业绩证明是真实的、有效的，如有隐瞒实情，愿承担一切责任及后果。</w:t>
            </w:r>
          </w:p>
        </w:tc>
      </w:tr>
      <w:tr w14:paraId="1ABD5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240" w:type="dxa"/>
            <w:tcBorders>
              <w:top w:val="single" w:color="auto" w:sz="4" w:space="0"/>
              <w:left w:val="single" w:color="auto" w:sz="4" w:space="0"/>
              <w:bottom w:val="single" w:color="auto" w:sz="4" w:space="0"/>
              <w:right w:val="single" w:color="auto" w:sz="4" w:space="0"/>
            </w:tcBorders>
            <w:noWrap w:val="0"/>
            <w:vAlign w:val="center"/>
          </w:tcPr>
          <w:p w14:paraId="058B9F6B">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05EE5EB">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72E324B3">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54D65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noWrap w:val="0"/>
            <w:vAlign w:val="center"/>
          </w:tcPr>
          <w:p w14:paraId="0352D2CC">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5679C2AF">
            <w:pPr>
              <w:keepNext w:val="0"/>
              <w:keepLines w:val="0"/>
              <w:widowControl w:val="0"/>
              <w:suppressLineNumbers w:val="0"/>
              <w:shd w:val="clear" w:color="auto" w:fill="auto"/>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noWrap w:val="0"/>
            <w:vAlign w:val="center"/>
          </w:tcPr>
          <w:p w14:paraId="24D60CD6">
            <w:pPr>
              <w:keepNext w:val="0"/>
              <w:keepLines w:val="0"/>
              <w:widowControl w:val="0"/>
              <w:suppressLineNumbers w:val="0"/>
              <w:shd w:val="clear" w:color="auto" w:fill="auto"/>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6EC13815">
      <w:pPr>
        <w:keepNext w:val="0"/>
        <w:keepLines w:val="0"/>
        <w:widowControl/>
        <w:suppressLineNumbers w:val="0"/>
        <w:shd w:val="clear" w:color="auto" w:fill="auto"/>
        <w:spacing w:before="0" w:beforeAutospacing="0" w:after="0" w:afterAutospacing="0" w:line="408" w:lineRule="auto"/>
        <w:ind w:left="271" w:leftChars="113" w:right="0" w:firstLine="480" w:firstLineChars="200"/>
        <w:jc w:val="left"/>
        <w:rPr>
          <w:rFonts w:hint="eastAsia" w:ascii="宋体" w:hAnsi="宋体" w:eastAsia="宋体" w:cs="宋体"/>
          <w:color w:val="auto"/>
          <w:sz w:val="24"/>
          <w:szCs w:val="24"/>
          <w:highlight w:val="none"/>
          <w:lang w:val="en-US"/>
        </w:rPr>
      </w:pPr>
    </w:p>
    <w:p w14:paraId="5E63F01C">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highlight w:val="none"/>
          <w:lang w:eastAsia="zh-CN"/>
        </w:rPr>
        <w:sect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p>
    <w:p w14:paraId="5A82ECE8">
      <w:pPr>
        <w:pStyle w:val="3"/>
        <w:bidi w:val="0"/>
        <w:rPr>
          <w:rFonts w:hint="eastAsia" w:ascii="宋体" w:hAnsi="宋体" w:eastAsia="宋体" w:cs="宋体"/>
          <w:color w:val="auto"/>
          <w:highlight w:val="none"/>
          <w:lang w:val="en-US" w:eastAsia="zh-CN"/>
        </w:rPr>
      </w:pPr>
      <w:bookmarkStart w:id="291" w:name="_Toc25126"/>
      <w:bookmarkStart w:id="292" w:name="_Toc9876"/>
      <w:bookmarkStart w:id="293" w:name="_Toc19597"/>
      <w:bookmarkStart w:id="294" w:name="_Toc14112"/>
      <w:bookmarkStart w:id="295" w:name="_Toc30742"/>
      <w:bookmarkStart w:id="296" w:name="_Toc1503"/>
      <w:bookmarkStart w:id="297" w:name="_Toc11983"/>
      <w:bookmarkStart w:id="298" w:name="_Toc30424"/>
      <w:bookmarkStart w:id="299" w:name="_Toc6365"/>
      <w:r>
        <w:rPr>
          <w:rFonts w:hint="eastAsia" w:ascii="宋体" w:hAnsi="宋体" w:eastAsia="宋体" w:cs="宋体"/>
          <w:color w:val="auto"/>
          <w:highlight w:val="none"/>
          <w:lang w:val="en-US" w:eastAsia="zh-CN"/>
        </w:rPr>
        <w:t>五、</w:t>
      </w:r>
      <w:bookmarkEnd w:id="291"/>
      <w:bookmarkEnd w:id="292"/>
      <w:bookmarkStart w:id="300" w:name="_Toc22907"/>
      <w:bookmarkStart w:id="301" w:name="_Toc6744"/>
      <w:r>
        <w:rPr>
          <w:rFonts w:hint="eastAsia" w:ascii="宋体" w:hAnsi="宋体" w:eastAsia="宋体" w:cs="宋体"/>
          <w:color w:val="auto"/>
          <w:highlight w:val="none"/>
          <w:lang w:val="en-US" w:eastAsia="zh-CN"/>
        </w:rPr>
        <w:t>商务偏离表</w:t>
      </w:r>
      <w:bookmarkEnd w:id="293"/>
      <w:bookmarkEnd w:id="294"/>
      <w:bookmarkEnd w:id="295"/>
      <w:bookmarkEnd w:id="296"/>
      <w:bookmarkEnd w:id="297"/>
      <w:bookmarkEnd w:id="298"/>
      <w:bookmarkEnd w:id="299"/>
      <w:bookmarkEnd w:id="300"/>
      <w:bookmarkEnd w:id="301"/>
    </w:p>
    <w:p w14:paraId="46DA83B5">
      <w:pPr>
        <w:pageBreakBefore w:val="0"/>
        <w:shd w:val="clear" w:color="auto" w:fill="auto"/>
        <w:kinsoku/>
        <w:wordWrap/>
        <w:overflowPunct/>
        <w:topLinePunct w:val="0"/>
        <w:autoSpaceDE/>
        <w:autoSpaceDN/>
        <w:bidi w:val="0"/>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lang w:eastAsia="zh-CN"/>
        </w:rPr>
        <w:t>采购项目</w:t>
      </w:r>
      <w:r>
        <w:rPr>
          <w:rFonts w:hint="eastAsia" w:ascii="宋体" w:hAnsi="宋体" w:eastAsia="宋体" w:cs="宋体"/>
          <w:b/>
          <w:bCs/>
          <w:color w:val="auto"/>
          <w:sz w:val="24"/>
          <w:highlight w:val="none"/>
        </w:rPr>
        <w:t>名称：</w:t>
      </w:r>
      <w:r>
        <w:rPr>
          <w:rFonts w:hint="eastAsia" w:ascii="宋体" w:hAnsi="宋体" w:eastAsia="宋体" w:cs="宋体"/>
          <w:b/>
          <w:bCs/>
          <w:color w:val="auto"/>
          <w:sz w:val="24"/>
          <w:highlight w:val="none"/>
          <w:u w:val="single"/>
        </w:rPr>
        <w:t xml:space="preserve">                     </w:t>
      </w:r>
    </w:p>
    <w:p w14:paraId="48E3FC48">
      <w:pPr>
        <w:pageBreakBefore w:val="0"/>
        <w:shd w:val="clear" w:color="auto" w:fill="auto"/>
        <w:kinsoku/>
        <w:wordWrap/>
        <w:overflowPunct/>
        <w:topLinePunct w:val="0"/>
        <w:autoSpaceDE/>
        <w:autoSpaceDN/>
        <w:bidi w:val="0"/>
        <w:spacing w:line="360" w:lineRule="auto"/>
        <w:rPr>
          <w:rFonts w:hint="eastAsia" w:ascii="宋体" w:hAnsi="宋体" w:eastAsia="宋体" w:cs="宋体"/>
          <w:b/>
          <w:bCs/>
          <w:color w:val="auto"/>
          <w:sz w:val="24"/>
          <w:highlight w:val="none"/>
          <w:u w:val="none"/>
          <w:lang w:val="en-US" w:eastAsia="zh-CN"/>
        </w:rPr>
      </w:pPr>
      <w:r>
        <w:rPr>
          <w:rFonts w:hint="eastAsia" w:ascii="宋体" w:hAnsi="宋体" w:eastAsia="宋体" w:cs="宋体"/>
          <w:b/>
          <w:bCs/>
          <w:color w:val="auto"/>
          <w:sz w:val="24"/>
          <w:highlight w:val="none"/>
        </w:rPr>
        <w:t>采购项目编号：</w:t>
      </w:r>
      <w:r>
        <w:rPr>
          <w:rFonts w:hint="eastAsia" w:ascii="宋体" w:hAnsi="宋体" w:eastAsia="宋体" w:cs="宋体"/>
          <w:b/>
          <w:bCs/>
          <w:color w:val="auto"/>
          <w:sz w:val="24"/>
          <w:highlight w:val="none"/>
          <w:u w:val="single"/>
        </w:rPr>
        <w:t>          </w:t>
      </w:r>
      <w:r>
        <w:rPr>
          <w:rFonts w:hint="eastAsia" w:ascii="宋体" w:hAnsi="宋体" w:eastAsia="宋体" w:cs="宋体"/>
          <w:b/>
          <w:bCs/>
          <w:color w:val="auto"/>
          <w:sz w:val="24"/>
          <w:highlight w:val="none"/>
          <w:u w:val="single"/>
          <w:lang w:val="en-US" w:eastAsia="zh-CN"/>
        </w:rPr>
        <w:t xml:space="preserve"> </w:t>
      </w:r>
    </w:p>
    <w:tbl>
      <w:tblPr>
        <w:tblStyle w:val="24"/>
        <w:tblW w:w="91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8"/>
        <w:gridCol w:w="2918"/>
        <w:gridCol w:w="3383"/>
        <w:gridCol w:w="1091"/>
        <w:gridCol w:w="948"/>
      </w:tblGrid>
      <w:tr w14:paraId="15E9E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3" w:hRule="atLeast"/>
          <w:jc w:val="center"/>
        </w:trPr>
        <w:tc>
          <w:tcPr>
            <w:tcW w:w="798" w:type="dxa"/>
            <w:noWrap w:val="0"/>
            <w:vAlign w:val="center"/>
          </w:tcPr>
          <w:p w14:paraId="6CF76BB0">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918" w:type="dxa"/>
            <w:noWrap w:val="0"/>
            <w:vAlign w:val="center"/>
          </w:tcPr>
          <w:p w14:paraId="545B0258">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竞争性磋商文件</w:t>
            </w:r>
            <w:r>
              <w:rPr>
                <w:rFonts w:hint="eastAsia" w:ascii="宋体" w:hAnsi="宋体" w:eastAsia="宋体" w:cs="宋体"/>
                <w:b/>
                <w:color w:val="auto"/>
                <w:sz w:val="24"/>
                <w:highlight w:val="none"/>
              </w:rPr>
              <w:t>商务要求</w:t>
            </w:r>
          </w:p>
        </w:tc>
        <w:tc>
          <w:tcPr>
            <w:tcW w:w="3383" w:type="dxa"/>
            <w:noWrap w:val="0"/>
            <w:vAlign w:val="center"/>
          </w:tcPr>
          <w:p w14:paraId="46886C66">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竞争性磋商响应文件</w:t>
            </w:r>
            <w:r>
              <w:rPr>
                <w:rFonts w:hint="eastAsia" w:ascii="宋体" w:hAnsi="宋体" w:eastAsia="宋体" w:cs="宋体"/>
                <w:b/>
                <w:color w:val="auto"/>
                <w:sz w:val="24"/>
                <w:highlight w:val="none"/>
              </w:rPr>
              <w:t>商务响应</w:t>
            </w:r>
          </w:p>
        </w:tc>
        <w:tc>
          <w:tcPr>
            <w:tcW w:w="1091" w:type="dxa"/>
            <w:noWrap w:val="0"/>
            <w:vAlign w:val="center"/>
          </w:tcPr>
          <w:p w14:paraId="4E02B272">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偏离</w:t>
            </w:r>
          </w:p>
        </w:tc>
        <w:tc>
          <w:tcPr>
            <w:tcW w:w="948" w:type="dxa"/>
            <w:noWrap w:val="0"/>
            <w:vAlign w:val="center"/>
          </w:tcPr>
          <w:p w14:paraId="096033D1">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说明</w:t>
            </w:r>
          </w:p>
        </w:tc>
      </w:tr>
      <w:tr w14:paraId="06AD9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4408D455">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290CFEC1">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3026C84D">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65FB5112">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027E1514">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0FB6E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75EC3C30">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3436F03F">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23697060">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607CC65F">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5FB72C73">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1B47D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6275DF70">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586D64AA">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340BA077">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26ECD9D5">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2CF356AA">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391FE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6F3FEF15">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5CF116CA">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08DD2D67">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5C018F47">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0CCBC11B">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3493E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61A88391">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1B4960B3">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1D97BB0C">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032E7B7C">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5B8E915B">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64AA0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56F6FA44">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461C1816">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1F79FD0F">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04FA90D1">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3EE79EFC">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293BB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091C4DBF">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36295E2C">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6A0F5E52">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5BC30E6E">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20F1CF43">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0E952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350C4F86">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30DCF11B">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1774620B">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4322EDB8">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3CFF1B0F">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015F3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64C5A660">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78CF9C63">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44588985">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6EBD1319">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58A801FB">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07997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5EF3DC79">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6B27D38E">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7E6C8213">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1A94486B">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6BCEB63C">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1F856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6" w:hRule="atLeast"/>
          <w:jc w:val="center"/>
        </w:trPr>
        <w:tc>
          <w:tcPr>
            <w:tcW w:w="798" w:type="dxa"/>
            <w:noWrap w:val="0"/>
            <w:vAlign w:val="top"/>
          </w:tcPr>
          <w:p w14:paraId="156AF5DB">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427FDE6F">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59C618AE">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7AB6A422">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2FCD51B7">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r w14:paraId="649A3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79" w:hRule="atLeast"/>
          <w:jc w:val="center"/>
        </w:trPr>
        <w:tc>
          <w:tcPr>
            <w:tcW w:w="798" w:type="dxa"/>
            <w:noWrap w:val="0"/>
            <w:vAlign w:val="top"/>
          </w:tcPr>
          <w:p w14:paraId="541982CE">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2918" w:type="dxa"/>
            <w:noWrap w:val="0"/>
            <w:vAlign w:val="top"/>
          </w:tcPr>
          <w:p w14:paraId="160C3D2C">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3383" w:type="dxa"/>
            <w:noWrap w:val="0"/>
            <w:vAlign w:val="top"/>
          </w:tcPr>
          <w:p w14:paraId="67DB0849">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1091" w:type="dxa"/>
            <w:noWrap w:val="0"/>
            <w:vAlign w:val="top"/>
          </w:tcPr>
          <w:p w14:paraId="6E29E846">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c>
          <w:tcPr>
            <w:tcW w:w="948" w:type="dxa"/>
            <w:noWrap w:val="0"/>
            <w:vAlign w:val="top"/>
          </w:tcPr>
          <w:p w14:paraId="63C4AFDB">
            <w:pPr>
              <w:pageBreakBefore w:val="0"/>
              <w:shd w:val="clear" w:color="auto" w:fill="auto"/>
              <w:kinsoku/>
              <w:wordWrap/>
              <w:overflowPunct/>
              <w:topLinePunct w:val="0"/>
              <w:autoSpaceDE/>
              <w:autoSpaceDN/>
              <w:bidi w:val="0"/>
              <w:spacing w:line="360" w:lineRule="auto"/>
              <w:jc w:val="center"/>
              <w:rPr>
                <w:rFonts w:hint="eastAsia" w:ascii="宋体" w:hAnsi="宋体" w:eastAsia="宋体" w:cs="宋体"/>
                <w:color w:val="auto"/>
                <w:sz w:val="24"/>
                <w:highlight w:val="none"/>
              </w:rPr>
            </w:pPr>
          </w:p>
        </w:tc>
      </w:tr>
    </w:tbl>
    <w:p w14:paraId="6BC442D0">
      <w:pPr>
        <w:pageBreakBefore w:val="0"/>
        <w:shd w:val="clear" w:color="auto" w:fill="auto"/>
        <w:kinsoku/>
        <w:wordWrap/>
        <w:overflowPunct/>
        <w:topLinePunct w:val="0"/>
        <w:autoSpaceDE/>
        <w:autoSpaceDN/>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声明：供应商应按照</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中的</w:t>
      </w:r>
      <w:r>
        <w:rPr>
          <w:rFonts w:hint="eastAsia" w:ascii="宋体" w:hAnsi="宋体" w:eastAsia="宋体" w:cs="宋体"/>
          <w:color w:val="auto"/>
          <w:sz w:val="24"/>
          <w:highlight w:val="none"/>
          <w:lang w:eastAsia="zh-CN"/>
        </w:rPr>
        <w:t>商务要求</w:t>
      </w:r>
      <w:r>
        <w:rPr>
          <w:rFonts w:hint="eastAsia" w:ascii="宋体" w:hAnsi="宋体" w:eastAsia="宋体" w:cs="宋体"/>
          <w:color w:val="auto"/>
          <w:sz w:val="24"/>
          <w:highlight w:val="none"/>
        </w:rPr>
        <w:t>逐项响应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偏离说明填写：优于、等于或低于。</w:t>
      </w:r>
    </w:p>
    <w:p w14:paraId="32E9A043">
      <w:pPr>
        <w:pageBreakBefore w:val="0"/>
        <w:shd w:val="clear" w:color="auto" w:fill="auto"/>
        <w:kinsoku/>
        <w:wordWrap/>
        <w:overflowPunct/>
        <w:topLinePunct w:val="0"/>
        <w:autoSpaceDE/>
        <w:autoSpaceDN/>
        <w:bidi w:val="0"/>
        <w:spacing w:line="360" w:lineRule="auto"/>
        <w:ind w:right="-161"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p>
    <w:p w14:paraId="4FDC1506">
      <w:pPr>
        <w:pageBreakBefore w:val="0"/>
        <w:shd w:val="clear" w:color="auto" w:fill="auto"/>
        <w:kinsoku/>
        <w:wordWrap/>
        <w:overflowPunct/>
        <w:topLinePunct w:val="0"/>
        <w:autoSpaceDE/>
        <w:autoSpaceDN/>
        <w:bidi w:val="0"/>
        <w:spacing w:line="360" w:lineRule="auto"/>
        <w:ind w:right="-161"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法定代表人或被授权代表签字：</w:t>
      </w:r>
      <w:r>
        <w:rPr>
          <w:rFonts w:hint="eastAsia" w:ascii="宋体" w:hAnsi="宋体" w:eastAsia="宋体" w:cs="宋体"/>
          <w:color w:val="auto"/>
          <w:sz w:val="24"/>
          <w:szCs w:val="24"/>
          <w:highlight w:val="none"/>
          <w:u w:val="single"/>
        </w:rPr>
        <w:t xml:space="preserve">                 </w:t>
      </w:r>
    </w:p>
    <w:p w14:paraId="22CFBD7C">
      <w:pPr>
        <w:pageBreakBefore w:val="0"/>
        <w:shd w:val="clear" w:color="auto" w:fill="auto"/>
        <w:kinsoku/>
        <w:wordWrap/>
        <w:overflowPunct/>
        <w:topLinePunct w:val="0"/>
        <w:autoSpaceDE/>
        <w:autoSpaceDN/>
        <w:bidi w:val="0"/>
        <w:spacing w:line="360" w:lineRule="auto"/>
        <w:ind w:right="-161" w:firstLine="2640" w:firstLineChars="1100"/>
        <w:rPr>
          <w:rFonts w:hint="eastAsia" w:ascii="宋体" w:hAnsi="宋体" w:eastAsia="宋体" w:cs="宋体"/>
          <w:color w:val="auto"/>
          <w:sz w:val="24"/>
          <w:szCs w:val="22"/>
          <w:highlight w:val="none"/>
          <w:u w:val="single"/>
          <w:lang w:val="en-US" w:eastAsia="zh-CN"/>
        </w:rPr>
      </w:pPr>
      <w:r>
        <w:rPr>
          <w:rFonts w:hint="eastAsia" w:ascii="宋体" w:hAnsi="宋体" w:eastAsia="宋体" w:cs="宋体"/>
          <w:color w:val="auto"/>
          <w:sz w:val="24"/>
          <w:szCs w:val="22"/>
          <w:highlight w:val="none"/>
        </w:rPr>
        <w:t>日</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期：</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u w:val="single"/>
          <w:lang w:val="en-US" w:eastAsia="zh-CN"/>
        </w:rPr>
        <w:t xml:space="preserve">                    </w:t>
      </w:r>
    </w:p>
    <w:p w14:paraId="34AC60E7">
      <w:pPr>
        <w:shd w:val="clear" w:color="auto" w:fill="auto"/>
        <w:spacing w:line="360" w:lineRule="auto"/>
        <w:rPr>
          <w:rFonts w:hint="eastAsia" w:ascii="宋体" w:hAnsi="宋体" w:eastAsia="宋体" w:cs="宋体"/>
          <w:color w:val="auto"/>
          <w:sz w:val="24"/>
          <w:szCs w:val="22"/>
          <w:highlight w:val="none"/>
          <w:u w:val="single"/>
          <w:lang w:val="en-US" w:eastAsia="zh-CN"/>
        </w:rPr>
      </w:pPr>
    </w:p>
    <w:p w14:paraId="7AAE3FD8">
      <w:pPr>
        <w:pStyle w:val="8"/>
        <w:shd w:val="clear" w:color="auto" w:fill="auto"/>
        <w:rPr>
          <w:rFonts w:hint="eastAsia" w:ascii="宋体" w:hAnsi="宋体" w:eastAsia="宋体" w:cs="宋体"/>
          <w:b/>
          <w:color w:val="auto"/>
          <w:sz w:val="24"/>
          <w:szCs w:val="22"/>
          <w:highlight w:val="none"/>
          <w:u w:val="single"/>
          <w:lang w:val="en-US" w:eastAsia="zh-CN"/>
        </w:rPr>
      </w:pPr>
    </w:p>
    <w:p w14:paraId="68E83991">
      <w:pPr>
        <w:shd w:val="clear" w:color="auto" w:fill="auto"/>
        <w:rPr>
          <w:rFonts w:hint="eastAsia" w:ascii="宋体" w:hAnsi="宋体" w:eastAsia="宋体" w:cs="宋体"/>
          <w:color w:val="auto"/>
          <w:highlight w:val="none"/>
          <w:lang w:val="en-US" w:eastAsia="zh-CN"/>
        </w:rPr>
      </w:pPr>
    </w:p>
    <w:p w14:paraId="2CA46935">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highlight w:val="none"/>
          <w:lang w:val="en-US" w:eastAsia="zh-CN"/>
        </w:rPr>
      </w:pPr>
      <w:bookmarkStart w:id="302" w:name="_Toc26722"/>
      <w:bookmarkStart w:id="303" w:name="_Toc6671"/>
      <w:bookmarkStart w:id="304" w:name="_Toc23725"/>
      <w:bookmarkStart w:id="305" w:name="_Toc8520"/>
      <w:bookmarkStart w:id="306" w:name="_Toc11585"/>
      <w:bookmarkStart w:id="307" w:name="_Toc11456"/>
      <w:bookmarkStart w:id="308" w:name="_Toc28279"/>
      <w:r>
        <w:rPr>
          <w:rFonts w:hint="eastAsia" w:ascii="宋体" w:hAnsi="宋体" w:eastAsia="宋体" w:cs="宋体"/>
          <w:color w:val="auto"/>
          <w:highlight w:val="none"/>
          <w:lang w:val="en-US" w:eastAsia="zh-CN"/>
        </w:rPr>
        <w:t>第三部分 响应方案</w:t>
      </w:r>
      <w:bookmarkEnd w:id="302"/>
      <w:bookmarkEnd w:id="303"/>
      <w:bookmarkEnd w:id="304"/>
      <w:bookmarkEnd w:id="305"/>
      <w:bookmarkEnd w:id="306"/>
      <w:bookmarkEnd w:id="307"/>
      <w:bookmarkEnd w:id="308"/>
    </w:p>
    <w:p w14:paraId="4B5194F5">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color w:val="auto"/>
          <w:highlight w:val="none"/>
        </w:rPr>
      </w:pPr>
      <w:bookmarkStart w:id="309" w:name="_Toc21524"/>
      <w:bookmarkStart w:id="310" w:name="_Toc18363"/>
      <w:bookmarkStart w:id="311" w:name="_Toc16884"/>
      <w:bookmarkStart w:id="312" w:name="_Toc3886"/>
      <w:bookmarkStart w:id="313" w:name="_Toc17202"/>
      <w:bookmarkStart w:id="314" w:name="_Toc4878"/>
      <w:bookmarkStart w:id="315" w:name="_Toc25301"/>
      <w:bookmarkStart w:id="316" w:name="_Toc11112"/>
      <w:bookmarkStart w:id="317" w:name="_Toc18677"/>
      <w:r>
        <w:rPr>
          <w:rFonts w:hint="eastAsia" w:ascii="宋体" w:hAnsi="宋体" w:eastAsia="宋体" w:cs="宋体"/>
          <w:color w:val="auto"/>
          <w:highlight w:val="none"/>
        </w:rPr>
        <w:t>一、供应商性质及其概况</w:t>
      </w:r>
      <w:bookmarkEnd w:id="309"/>
      <w:bookmarkEnd w:id="310"/>
      <w:bookmarkEnd w:id="311"/>
      <w:bookmarkEnd w:id="312"/>
      <w:bookmarkEnd w:id="313"/>
      <w:bookmarkEnd w:id="314"/>
      <w:bookmarkEnd w:id="315"/>
      <w:bookmarkEnd w:id="316"/>
      <w:bookmarkEnd w:id="317"/>
    </w:p>
    <w:p w14:paraId="31384DC0">
      <w:pPr>
        <w:widowControl/>
        <w:shd w:val="clear" w:color="auto" w:fill="auto"/>
        <w:spacing w:before="156" w:beforeLines="50"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（一）供应商基本信息</w:t>
      </w:r>
    </w:p>
    <w:tbl>
      <w:tblPr>
        <w:tblStyle w:val="35"/>
        <w:tblpPr w:leftFromText="180" w:rightFromText="180" w:vertAnchor="text" w:horzAnchor="page" w:tblpX="1764" w:tblpY="369"/>
        <w:tblOverlap w:val="never"/>
        <w:tblW w:w="87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29"/>
        <w:gridCol w:w="1041"/>
        <w:gridCol w:w="1379"/>
        <w:gridCol w:w="1110"/>
        <w:gridCol w:w="1119"/>
        <w:gridCol w:w="2161"/>
      </w:tblGrid>
      <w:tr w14:paraId="35538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929" w:type="dxa"/>
            <w:noWrap w:val="0"/>
            <w:vAlign w:val="center"/>
          </w:tcPr>
          <w:p w14:paraId="6ACE0E8E">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投标人名称</w:t>
            </w:r>
          </w:p>
        </w:tc>
        <w:tc>
          <w:tcPr>
            <w:tcW w:w="6810" w:type="dxa"/>
            <w:gridSpan w:val="5"/>
            <w:noWrap w:val="0"/>
            <w:vAlign w:val="center"/>
          </w:tcPr>
          <w:p w14:paraId="5B39B70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4D8E45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1929" w:type="dxa"/>
            <w:noWrap w:val="0"/>
            <w:vAlign w:val="center"/>
          </w:tcPr>
          <w:p w14:paraId="74985B11">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注册地址</w:t>
            </w:r>
          </w:p>
        </w:tc>
        <w:tc>
          <w:tcPr>
            <w:tcW w:w="3530" w:type="dxa"/>
            <w:gridSpan w:val="3"/>
            <w:noWrap w:val="0"/>
            <w:vAlign w:val="center"/>
          </w:tcPr>
          <w:p w14:paraId="0D5595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119" w:type="dxa"/>
            <w:noWrap w:val="0"/>
            <w:vAlign w:val="center"/>
          </w:tcPr>
          <w:p w14:paraId="0F3FCBAB">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邮政编码</w:t>
            </w:r>
          </w:p>
        </w:tc>
        <w:tc>
          <w:tcPr>
            <w:tcW w:w="2161" w:type="dxa"/>
            <w:noWrap w:val="0"/>
            <w:vAlign w:val="center"/>
          </w:tcPr>
          <w:p w14:paraId="0867510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0296B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1929" w:type="dxa"/>
            <w:vMerge w:val="restart"/>
            <w:tcBorders>
              <w:bottom w:val="nil"/>
            </w:tcBorders>
            <w:noWrap w:val="0"/>
            <w:vAlign w:val="center"/>
          </w:tcPr>
          <w:p w14:paraId="54DA858E">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联系方式</w:t>
            </w:r>
          </w:p>
        </w:tc>
        <w:tc>
          <w:tcPr>
            <w:tcW w:w="1041" w:type="dxa"/>
            <w:noWrap w:val="0"/>
            <w:vAlign w:val="center"/>
          </w:tcPr>
          <w:p w14:paraId="77650A27">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联系人</w:t>
            </w:r>
          </w:p>
        </w:tc>
        <w:tc>
          <w:tcPr>
            <w:tcW w:w="2489" w:type="dxa"/>
            <w:gridSpan w:val="2"/>
            <w:noWrap w:val="0"/>
            <w:vAlign w:val="center"/>
          </w:tcPr>
          <w:p w14:paraId="138FFC0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119" w:type="dxa"/>
            <w:noWrap w:val="0"/>
            <w:vAlign w:val="center"/>
          </w:tcPr>
          <w:p w14:paraId="4C3EA4C8">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电话</w:t>
            </w:r>
          </w:p>
        </w:tc>
        <w:tc>
          <w:tcPr>
            <w:tcW w:w="2161" w:type="dxa"/>
            <w:noWrap w:val="0"/>
            <w:vAlign w:val="center"/>
          </w:tcPr>
          <w:p w14:paraId="52D5CA4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544C8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1929" w:type="dxa"/>
            <w:vMerge w:val="continue"/>
            <w:tcBorders>
              <w:top w:val="nil"/>
            </w:tcBorders>
            <w:noWrap w:val="0"/>
            <w:vAlign w:val="center"/>
          </w:tcPr>
          <w:p w14:paraId="4607173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041" w:type="dxa"/>
            <w:noWrap w:val="0"/>
            <w:vAlign w:val="center"/>
          </w:tcPr>
          <w:p w14:paraId="7F4BAC8E">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传真</w:t>
            </w:r>
          </w:p>
        </w:tc>
        <w:tc>
          <w:tcPr>
            <w:tcW w:w="2489" w:type="dxa"/>
            <w:gridSpan w:val="2"/>
            <w:noWrap w:val="0"/>
            <w:vAlign w:val="center"/>
          </w:tcPr>
          <w:p w14:paraId="4DBD2BE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119" w:type="dxa"/>
            <w:noWrap w:val="0"/>
            <w:vAlign w:val="center"/>
          </w:tcPr>
          <w:p w14:paraId="61018575">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网址</w:t>
            </w:r>
          </w:p>
        </w:tc>
        <w:tc>
          <w:tcPr>
            <w:tcW w:w="2161" w:type="dxa"/>
            <w:noWrap w:val="0"/>
            <w:vAlign w:val="center"/>
          </w:tcPr>
          <w:p w14:paraId="6CA61E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13958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1929" w:type="dxa"/>
            <w:noWrap w:val="0"/>
            <w:vAlign w:val="center"/>
          </w:tcPr>
          <w:p w14:paraId="60CA5588">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法定代表人</w:t>
            </w:r>
          </w:p>
        </w:tc>
        <w:tc>
          <w:tcPr>
            <w:tcW w:w="1041" w:type="dxa"/>
            <w:noWrap w:val="0"/>
            <w:vAlign w:val="center"/>
          </w:tcPr>
          <w:p w14:paraId="295CC117">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姓名</w:t>
            </w:r>
          </w:p>
        </w:tc>
        <w:tc>
          <w:tcPr>
            <w:tcW w:w="2489" w:type="dxa"/>
            <w:gridSpan w:val="2"/>
            <w:noWrap w:val="0"/>
            <w:vAlign w:val="center"/>
          </w:tcPr>
          <w:p w14:paraId="7A32901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119" w:type="dxa"/>
            <w:noWrap w:val="0"/>
            <w:vAlign w:val="center"/>
          </w:tcPr>
          <w:p w14:paraId="039A370A">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联系方式</w:t>
            </w:r>
          </w:p>
        </w:tc>
        <w:tc>
          <w:tcPr>
            <w:tcW w:w="2161" w:type="dxa"/>
            <w:noWrap w:val="0"/>
            <w:vAlign w:val="center"/>
          </w:tcPr>
          <w:p w14:paraId="46F8B9C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4903A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1929" w:type="dxa"/>
            <w:noWrap w:val="0"/>
            <w:vAlign w:val="center"/>
          </w:tcPr>
          <w:p w14:paraId="7C497A73">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成立时间</w:t>
            </w:r>
          </w:p>
        </w:tc>
        <w:tc>
          <w:tcPr>
            <w:tcW w:w="2420" w:type="dxa"/>
            <w:gridSpan w:val="2"/>
            <w:noWrap w:val="0"/>
            <w:vAlign w:val="center"/>
          </w:tcPr>
          <w:p w14:paraId="3638617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110" w:type="dxa"/>
            <w:noWrap w:val="0"/>
            <w:vAlign w:val="center"/>
          </w:tcPr>
          <w:p w14:paraId="723992E5">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注册资金</w:t>
            </w:r>
          </w:p>
        </w:tc>
        <w:tc>
          <w:tcPr>
            <w:tcW w:w="3280" w:type="dxa"/>
            <w:gridSpan w:val="2"/>
            <w:noWrap w:val="0"/>
            <w:vAlign w:val="center"/>
          </w:tcPr>
          <w:p w14:paraId="44A7AD9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64440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1929" w:type="dxa"/>
            <w:noWrap w:val="0"/>
            <w:vAlign w:val="center"/>
          </w:tcPr>
          <w:p w14:paraId="43EBC517">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firstLineChars="0"/>
              <w:jc w:val="center"/>
              <w:textAlignment w:val="baseline"/>
              <w:rPr>
                <w:spacing w:val="0"/>
              </w:rPr>
            </w:pPr>
            <w:r>
              <w:rPr>
                <w:spacing w:val="0"/>
              </w:rPr>
              <w:t>统一社会信用代码</w:t>
            </w:r>
          </w:p>
        </w:tc>
        <w:tc>
          <w:tcPr>
            <w:tcW w:w="2420" w:type="dxa"/>
            <w:gridSpan w:val="2"/>
            <w:noWrap w:val="0"/>
            <w:vAlign w:val="center"/>
          </w:tcPr>
          <w:p w14:paraId="7302C73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110" w:type="dxa"/>
            <w:noWrap w:val="0"/>
            <w:vAlign w:val="center"/>
          </w:tcPr>
          <w:p w14:paraId="69FE5CD5">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员工人数</w:t>
            </w:r>
          </w:p>
        </w:tc>
        <w:tc>
          <w:tcPr>
            <w:tcW w:w="3280" w:type="dxa"/>
            <w:gridSpan w:val="2"/>
            <w:noWrap w:val="0"/>
            <w:vAlign w:val="center"/>
          </w:tcPr>
          <w:p w14:paraId="6885C0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19264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1929" w:type="dxa"/>
            <w:noWrap w:val="0"/>
            <w:vAlign w:val="center"/>
          </w:tcPr>
          <w:p w14:paraId="599CBE74">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开户银行</w:t>
            </w:r>
          </w:p>
        </w:tc>
        <w:tc>
          <w:tcPr>
            <w:tcW w:w="2420" w:type="dxa"/>
            <w:gridSpan w:val="2"/>
            <w:noWrap w:val="0"/>
            <w:vAlign w:val="center"/>
          </w:tcPr>
          <w:p w14:paraId="279E4E7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110" w:type="dxa"/>
            <w:vMerge w:val="restart"/>
            <w:tcBorders>
              <w:bottom w:val="nil"/>
            </w:tcBorders>
            <w:noWrap w:val="0"/>
            <w:vAlign w:val="center"/>
          </w:tcPr>
          <w:p w14:paraId="02515BEF">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企业性质</w:t>
            </w:r>
          </w:p>
        </w:tc>
        <w:tc>
          <w:tcPr>
            <w:tcW w:w="3280" w:type="dxa"/>
            <w:gridSpan w:val="2"/>
            <w:vMerge w:val="restart"/>
            <w:tcBorders>
              <w:bottom w:val="nil"/>
            </w:tcBorders>
            <w:noWrap w:val="0"/>
            <w:vAlign w:val="center"/>
          </w:tcPr>
          <w:p w14:paraId="0F284E8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75B9D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1929" w:type="dxa"/>
            <w:noWrap w:val="0"/>
            <w:vAlign w:val="center"/>
          </w:tcPr>
          <w:p w14:paraId="495C3682">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账号</w:t>
            </w:r>
          </w:p>
        </w:tc>
        <w:tc>
          <w:tcPr>
            <w:tcW w:w="2420" w:type="dxa"/>
            <w:gridSpan w:val="2"/>
            <w:noWrap w:val="0"/>
            <w:vAlign w:val="center"/>
          </w:tcPr>
          <w:p w14:paraId="0CF68BF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1110" w:type="dxa"/>
            <w:vMerge w:val="continue"/>
            <w:tcBorders>
              <w:top w:val="nil"/>
            </w:tcBorders>
            <w:noWrap w:val="0"/>
            <w:vAlign w:val="center"/>
          </w:tcPr>
          <w:p w14:paraId="72BC5B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c>
          <w:tcPr>
            <w:tcW w:w="3280" w:type="dxa"/>
            <w:gridSpan w:val="2"/>
            <w:vMerge w:val="continue"/>
            <w:tcBorders>
              <w:top w:val="nil"/>
            </w:tcBorders>
            <w:noWrap w:val="0"/>
            <w:vAlign w:val="center"/>
          </w:tcPr>
          <w:p w14:paraId="2902F4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282A8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2" w:hRule="atLeast"/>
        </w:trPr>
        <w:tc>
          <w:tcPr>
            <w:tcW w:w="1929" w:type="dxa"/>
            <w:noWrap w:val="0"/>
            <w:vAlign w:val="center"/>
          </w:tcPr>
          <w:p w14:paraId="0B9A4064">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经营范围</w:t>
            </w:r>
          </w:p>
        </w:tc>
        <w:tc>
          <w:tcPr>
            <w:tcW w:w="6810" w:type="dxa"/>
            <w:gridSpan w:val="5"/>
            <w:noWrap w:val="0"/>
            <w:vAlign w:val="center"/>
          </w:tcPr>
          <w:p w14:paraId="1CCE61C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r w14:paraId="2E344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 w:hRule="atLeast"/>
        </w:trPr>
        <w:tc>
          <w:tcPr>
            <w:tcW w:w="1929" w:type="dxa"/>
            <w:noWrap w:val="0"/>
            <w:vAlign w:val="center"/>
          </w:tcPr>
          <w:p w14:paraId="254C15AE">
            <w:pPr>
              <w:pStyle w:val="37"/>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spacing w:val="0"/>
              </w:rPr>
            </w:pPr>
            <w:r>
              <w:rPr>
                <w:spacing w:val="0"/>
              </w:rPr>
              <w:t>备注</w:t>
            </w:r>
          </w:p>
        </w:tc>
        <w:tc>
          <w:tcPr>
            <w:tcW w:w="6810" w:type="dxa"/>
            <w:gridSpan w:val="5"/>
            <w:noWrap w:val="0"/>
            <w:vAlign w:val="center"/>
          </w:tcPr>
          <w:p w14:paraId="5C03D20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center"/>
              <w:textAlignment w:val="baseline"/>
              <w:rPr>
                <w:rFonts w:ascii="Arial"/>
                <w:spacing w:val="0"/>
                <w:sz w:val="21"/>
              </w:rPr>
            </w:pPr>
          </w:p>
        </w:tc>
      </w:tr>
    </w:tbl>
    <w:p w14:paraId="10418D0B">
      <w:pPr>
        <w:widowControl/>
        <w:shd w:val="clear" w:color="auto" w:fill="auto"/>
        <w:spacing w:before="156" w:beforeLines="50"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（二）供应商性质</w:t>
      </w:r>
    </w:p>
    <w:p w14:paraId="4ED7ADDD">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中小企业、残疾人福利性单位投标时，应提供声明函（按下文给定格式）。未提供或未按给定格式提供</w:t>
      </w:r>
      <w:r>
        <w:rPr>
          <w:rFonts w:hint="eastAsia" w:ascii="宋体" w:hAnsi="宋体" w:eastAsia="宋体" w:cs="宋体"/>
          <w:b/>
          <w:bCs/>
          <w:color w:val="auto"/>
          <w:sz w:val="24"/>
          <w:szCs w:val="24"/>
          <w:highlight w:val="none"/>
        </w:rPr>
        <w:t>声明函</w:t>
      </w:r>
      <w:r>
        <w:rPr>
          <w:rFonts w:hint="eastAsia" w:ascii="宋体" w:hAnsi="宋体" w:eastAsia="宋体" w:cs="宋体"/>
          <w:color w:val="auto"/>
          <w:sz w:val="24"/>
          <w:szCs w:val="24"/>
          <w:highlight w:val="none"/>
        </w:rPr>
        <w:t>的，其投标产品中的小型、微型企业产品、残疾人福利性单位生产的产品将不能享受</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规定的价格扣除，但不影响</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的有效性。</w:t>
      </w:r>
    </w:p>
    <w:p w14:paraId="6D87B0DB">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highlight w:val="none"/>
        </w:rPr>
        <w:t>证明文件</w:t>
      </w:r>
      <w:r>
        <w:rPr>
          <w:rFonts w:hint="eastAsia" w:ascii="宋体" w:hAnsi="宋体" w:eastAsia="宋体" w:cs="宋体"/>
          <w:color w:val="auto"/>
          <w:sz w:val="24"/>
          <w:szCs w:val="24"/>
          <w:highlight w:val="none"/>
        </w:rPr>
        <w:t>（格式不做要求）。未提供证明文件的不能享受</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规定的价格扣除，但不影响</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的有效性。</w:t>
      </w:r>
    </w:p>
    <w:p w14:paraId="0AFA7EEE">
      <w:pPr>
        <w:widowControl/>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允许联合体投标的，联合体成员应分别提供上述声明函或证明文件，此外，还须按下文给定格式提供联合体协议书。投标联合体未提供联合体协议书的，其响应文件无效。</w:t>
      </w:r>
    </w:p>
    <w:p w14:paraId="2681DA94">
      <w:pPr>
        <w:widowControl/>
        <w:shd w:val="clear" w:color="auto" w:fill="auto"/>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特别提醒：供应商性质（声明函或证明文件）将随成交公告一同公布。</w:t>
      </w:r>
    </w:p>
    <w:p w14:paraId="69C54F48">
      <w:pPr>
        <w:keepNext w:val="0"/>
        <w:keepLines w:val="0"/>
        <w:widowControl/>
        <w:suppressLineNumbers w:val="0"/>
        <w:shd w:val="clear" w:color="auto" w:fill="auto"/>
        <w:spacing w:line="360" w:lineRule="auto"/>
        <w:jc w:val="left"/>
        <w:rPr>
          <w:rFonts w:hint="eastAsia" w:ascii="宋体" w:hAnsi="宋体" w:eastAsia="宋体" w:cs="宋体"/>
          <w:b/>
          <w:bCs/>
          <w:color w:val="auto"/>
          <w:sz w:val="24"/>
          <w:szCs w:val="24"/>
          <w:highlight w:val="none"/>
        </w:rPr>
      </w:pPr>
    </w:p>
    <w:p w14:paraId="7BA3882F">
      <w:pPr>
        <w:keepNext w:val="0"/>
        <w:keepLines w:val="0"/>
        <w:widowControl/>
        <w:suppressLineNumbers w:val="0"/>
        <w:shd w:val="clear" w:color="auto" w:fill="auto"/>
        <w:spacing w:line="480" w:lineRule="auto"/>
        <w:jc w:val="left"/>
        <w:rPr>
          <w:rFonts w:hint="eastAsia" w:ascii="宋体" w:hAnsi="宋体" w:eastAsia="宋体" w:cs="宋体"/>
          <w:b/>
          <w:bCs/>
          <w:color w:val="auto"/>
          <w:sz w:val="24"/>
          <w:szCs w:val="16"/>
          <w:highlight w:val="none"/>
        </w:rPr>
      </w:pPr>
    </w:p>
    <w:p w14:paraId="1BDCA0B0">
      <w:pPr>
        <w:keepNext w:val="0"/>
        <w:keepLines w:val="0"/>
        <w:widowControl/>
        <w:suppressLineNumbers w:val="0"/>
        <w:shd w:val="clear" w:color="auto" w:fill="auto"/>
        <w:spacing w:line="480" w:lineRule="auto"/>
        <w:jc w:val="left"/>
        <w:rPr>
          <w:rFonts w:hint="eastAsia" w:ascii="宋体" w:hAnsi="宋体" w:eastAsia="宋体" w:cs="宋体"/>
          <w:b/>
          <w:bCs/>
          <w:color w:val="auto"/>
          <w:sz w:val="24"/>
          <w:szCs w:val="16"/>
          <w:highlight w:val="none"/>
        </w:rPr>
      </w:pPr>
    </w:p>
    <w:p w14:paraId="371FB5AC">
      <w:pPr>
        <w:keepNext w:val="0"/>
        <w:keepLines w:val="0"/>
        <w:widowControl/>
        <w:suppressLineNumbers w:val="0"/>
        <w:shd w:val="clear" w:color="auto" w:fill="auto"/>
        <w:spacing w:line="480" w:lineRule="auto"/>
        <w:jc w:val="left"/>
        <w:rPr>
          <w:rFonts w:hint="eastAsia" w:ascii="宋体" w:hAnsi="宋体" w:eastAsia="宋体" w:cs="宋体"/>
          <w:b/>
          <w:bCs/>
          <w:color w:val="auto"/>
          <w:sz w:val="24"/>
          <w:szCs w:val="16"/>
          <w:highlight w:val="none"/>
        </w:rPr>
      </w:pPr>
    </w:p>
    <w:p w14:paraId="39323E94">
      <w:pPr>
        <w:keepNext w:val="0"/>
        <w:keepLines w:val="0"/>
        <w:widowControl/>
        <w:suppressLineNumbers w:val="0"/>
        <w:shd w:val="clear" w:color="auto" w:fill="auto"/>
        <w:spacing w:line="480" w:lineRule="auto"/>
        <w:jc w:val="left"/>
        <w:rPr>
          <w:rFonts w:hint="eastAsia" w:ascii="宋体" w:hAnsi="宋体" w:eastAsia="宋体" w:cs="宋体"/>
          <w:b/>
          <w:bCs/>
          <w:color w:val="auto"/>
          <w:sz w:val="24"/>
          <w:szCs w:val="16"/>
          <w:highlight w:val="none"/>
        </w:rPr>
      </w:pPr>
    </w:p>
    <w:p w14:paraId="658FB100">
      <w:pPr>
        <w:pStyle w:val="4"/>
        <w:shd w:val="clear" w:color="auto" w:fill="auto"/>
        <w:spacing w:beforeLines="0" w:line="360" w:lineRule="auto"/>
        <w:jc w:val="both"/>
        <w:rPr>
          <w:rFonts w:hint="eastAsia" w:ascii="宋体" w:hAnsi="宋体" w:eastAsia="宋体" w:cs="宋体"/>
          <w:b/>
          <w:color w:val="auto"/>
          <w:sz w:val="24"/>
          <w:szCs w:val="24"/>
          <w:highlight w:val="none"/>
        </w:rPr>
      </w:pPr>
      <w:bookmarkStart w:id="318" w:name="_Toc9929"/>
      <w:bookmarkStart w:id="319" w:name="_Toc20125"/>
      <w:bookmarkStart w:id="320" w:name="_Toc6683"/>
      <w:bookmarkStart w:id="321" w:name="_Toc4346"/>
      <w:bookmarkStart w:id="322" w:name="_Toc29230"/>
      <w:bookmarkStart w:id="323" w:name="_Toc32624"/>
      <w:bookmarkStart w:id="324" w:name="_Toc31600"/>
      <w:r>
        <w:rPr>
          <w:rFonts w:hint="eastAsia" w:ascii="宋体" w:hAnsi="宋体" w:eastAsia="宋体" w:cs="宋体"/>
          <w:b/>
          <w:bCs/>
          <w:color w:val="auto"/>
          <w:sz w:val="24"/>
          <w:szCs w:val="24"/>
          <w:highlight w:val="none"/>
        </w:rPr>
        <w:br w:type="page"/>
      </w:r>
      <w:bookmarkStart w:id="325" w:name="_Toc12531"/>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w:t>
      </w:r>
      <w:r>
        <w:rPr>
          <w:rStyle w:val="41"/>
          <w:rFonts w:hint="eastAsia" w:ascii="宋体" w:hAnsi="宋体" w:cs="宋体"/>
          <w:b/>
          <w:bCs/>
          <w:color w:val="auto"/>
          <w:sz w:val="24"/>
          <w:szCs w:val="24"/>
          <w:highlight w:val="none"/>
          <w:lang w:val="en-US" w:eastAsia="zh-CN"/>
        </w:rPr>
        <w:t>中小</w:t>
      </w:r>
      <w:r>
        <w:rPr>
          <w:rStyle w:val="41"/>
          <w:rFonts w:hint="eastAsia" w:ascii="宋体" w:hAnsi="宋体" w:eastAsia="宋体" w:cs="宋体"/>
          <w:b/>
          <w:bCs/>
          <w:color w:val="auto"/>
          <w:sz w:val="24"/>
          <w:szCs w:val="24"/>
          <w:highlight w:val="none"/>
        </w:rPr>
        <w:t>企业声明函</w:t>
      </w:r>
      <w:bookmarkEnd w:id="318"/>
      <w:bookmarkEnd w:id="319"/>
      <w:bookmarkEnd w:id="320"/>
      <w:bookmarkEnd w:id="321"/>
      <w:bookmarkEnd w:id="322"/>
      <w:bookmarkEnd w:id="323"/>
      <w:bookmarkEnd w:id="324"/>
      <w:bookmarkEnd w:id="325"/>
    </w:p>
    <w:p w14:paraId="55363291">
      <w:pPr>
        <w:pStyle w:val="4"/>
        <w:shd w:val="clear" w:color="auto" w:fill="auto"/>
        <w:jc w:val="center"/>
        <w:rPr>
          <w:rFonts w:hint="eastAsia" w:ascii="宋体" w:hAnsi="宋体" w:eastAsia="宋体" w:cs="宋体"/>
          <w:b/>
          <w:color w:val="auto"/>
          <w:sz w:val="24"/>
          <w:szCs w:val="16"/>
          <w:highlight w:val="none"/>
        </w:rPr>
      </w:pPr>
      <w:bookmarkStart w:id="326" w:name="_Toc13744"/>
      <w:bookmarkStart w:id="327" w:name="_Toc18664"/>
      <w:bookmarkStart w:id="328" w:name="_Toc8295"/>
      <w:bookmarkStart w:id="329" w:name="_Toc25242"/>
      <w:bookmarkStart w:id="330" w:name="_Toc19190"/>
      <w:bookmarkStart w:id="331" w:name="_Toc13732"/>
      <w:bookmarkStart w:id="332" w:name="_Toc13218"/>
      <w:bookmarkStart w:id="333" w:name="_Toc24391"/>
      <w:r>
        <w:rPr>
          <w:rStyle w:val="41"/>
          <w:rFonts w:hint="eastAsia" w:ascii="宋体" w:hAnsi="宋体" w:cs="宋体"/>
          <w:b/>
          <w:bCs/>
          <w:color w:val="auto"/>
          <w:sz w:val="24"/>
          <w:szCs w:val="24"/>
          <w:highlight w:val="none"/>
          <w:lang w:val="en-US" w:eastAsia="zh-CN"/>
        </w:rPr>
        <w:t>中小</w:t>
      </w:r>
      <w:r>
        <w:rPr>
          <w:rFonts w:hint="eastAsia" w:ascii="宋体" w:hAnsi="宋体" w:eastAsia="宋体" w:cs="宋体"/>
          <w:b/>
          <w:color w:val="auto"/>
          <w:sz w:val="24"/>
          <w:szCs w:val="16"/>
          <w:highlight w:val="none"/>
        </w:rPr>
        <w:t>企业声明函（工程）</w:t>
      </w:r>
      <w:bookmarkEnd w:id="326"/>
      <w:bookmarkEnd w:id="327"/>
      <w:bookmarkEnd w:id="328"/>
      <w:bookmarkEnd w:id="329"/>
      <w:bookmarkEnd w:id="330"/>
      <w:bookmarkEnd w:id="331"/>
      <w:bookmarkEnd w:id="332"/>
      <w:bookmarkEnd w:id="333"/>
    </w:p>
    <w:p w14:paraId="2431C80A">
      <w:pPr>
        <w:widowControl/>
        <w:shd w:val="clear" w:color="auto" w:fill="auto"/>
        <w:spacing w:line="360" w:lineRule="auto"/>
        <w:ind w:firstLine="480" w:firstLineChars="200"/>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本公司郑重声明，根据《政府采购促进中小企业发展管理办法》（财库﹝2020﹞46 号）的规定，本公司 参加</w:t>
      </w:r>
      <w:r>
        <w:rPr>
          <w:rFonts w:hint="eastAsia" w:ascii="宋体" w:hAnsi="宋体" w:eastAsia="宋体" w:cs="宋体"/>
          <w:color w:val="auto"/>
          <w:kern w:val="0"/>
          <w:sz w:val="24"/>
          <w:szCs w:val="24"/>
          <w:highlight w:val="none"/>
          <w:u w:val="single"/>
          <w:lang w:bidi="ar"/>
        </w:rPr>
        <w:t>（单位名称）</w:t>
      </w:r>
      <w:r>
        <w:rPr>
          <w:rFonts w:hint="eastAsia" w:ascii="宋体" w:hAnsi="宋体" w:eastAsia="宋体" w:cs="宋体"/>
          <w:color w:val="auto"/>
          <w:kern w:val="0"/>
          <w:sz w:val="24"/>
          <w:szCs w:val="24"/>
          <w:highlight w:val="none"/>
          <w:lang w:bidi="ar"/>
        </w:rPr>
        <w:t>的</w:t>
      </w:r>
      <w:r>
        <w:rPr>
          <w:rFonts w:hint="eastAsia" w:ascii="宋体" w:hAnsi="宋体" w:eastAsia="宋体" w:cs="宋体"/>
          <w:color w:val="auto"/>
          <w:kern w:val="0"/>
          <w:sz w:val="24"/>
          <w:szCs w:val="24"/>
          <w:highlight w:val="none"/>
          <w:u w:val="single"/>
          <w:lang w:bidi="ar"/>
        </w:rPr>
        <w:t>（项目名称）</w:t>
      </w:r>
      <w:r>
        <w:rPr>
          <w:rFonts w:hint="eastAsia" w:ascii="宋体" w:hAnsi="宋体" w:eastAsia="宋体" w:cs="宋体"/>
          <w:color w:val="auto"/>
          <w:kern w:val="0"/>
          <w:sz w:val="24"/>
          <w:szCs w:val="24"/>
          <w:highlight w:val="none"/>
          <w:lang w:bidi="ar"/>
        </w:rPr>
        <w:t>采购活动，工程的施工单位全部为符合政策要求的中小企业。相关企业的具体情况如下：</w:t>
      </w:r>
    </w:p>
    <w:p w14:paraId="578D8ECE">
      <w:pPr>
        <w:pStyle w:val="8"/>
        <w:rPr>
          <w:rFonts w:hint="eastAsia" w:ascii="宋体" w:hAnsi="宋体" w:eastAsia="宋体" w:cs="宋体"/>
          <w:color w:val="auto"/>
          <w:highlight w:val="none"/>
        </w:rPr>
      </w:pPr>
    </w:p>
    <w:p w14:paraId="1DAD5839">
      <w:pPr>
        <w:widowControl/>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 </w:t>
      </w:r>
      <w:r>
        <w:rPr>
          <w:rFonts w:hint="eastAsia" w:ascii="宋体" w:hAnsi="宋体" w:eastAsia="宋体" w:cs="宋体"/>
          <w:color w:val="auto"/>
          <w:kern w:val="0"/>
          <w:sz w:val="24"/>
          <w:szCs w:val="24"/>
          <w:highlight w:val="none"/>
          <w:u w:val="single"/>
          <w:lang w:bidi="ar"/>
        </w:rPr>
        <w:t xml:space="preserve">（标的名称） </w:t>
      </w:r>
      <w:r>
        <w:rPr>
          <w:rFonts w:hint="eastAsia" w:ascii="宋体" w:hAnsi="宋体" w:eastAsia="宋体" w:cs="宋体"/>
          <w:color w:val="auto"/>
          <w:kern w:val="0"/>
          <w:sz w:val="24"/>
          <w:szCs w:val="24"/>
          <w:highlight w:val="none"/>
          <w:lang w:bidi="ar"/>
        </w:rPr>
        <w:t>，属于</w:t>
      </w:r>
      <w:r>
        <w:rPr>
          <w:rFonts w:hint="eastAsia" w:ascii="宋体" w:hAnsi="宋体" w:eastAsia="宋体" w:cs="宋体"/>
          <w:color w:val="auto"/>
          <w:kern w:val="0"/>
          <w:sz w:val="24"/>
          <w:szCs w:val="24"/>
          <w:highlight w:val="none"/>
          <w:u w:val="single"/>
          <w:lang w:bidi="ar"/>
        </w:rPr>
        <w:t>（采购文件中明确的所属行业）</w:t>
      </w:r>
      <w:r>
        <w:rPr>
          <w:rFonts w:hint="eastAsia" w:ascii="宋体" w:hAnsi="宋体" w:eastAsia="宋体" w:cs="宋体"/>
          <w:color w:val="auto"/>
          <w:kern w:val="0"/>
          <w:sz w:val="24"/>
          <w:szCs w:val="24"/>
          <w:highlight w:val="none"/>
          <w:lang w:bidi="ar"/>
        </w:rPr>
        <w:t>； 承建（承接）企业为</w:t>
      </w:r>
      <w:r>
        <w:rPr>
          <w:rFonts w:hint="eastAsia" w:ascii="宋体" w:hAnsi="宋体" w:eastAsia="宋体" w:cs="宋体"/>
          <w:color w:val="auto"/>
          <w:kern w:val="0"/>
          <w:sz w:val="24"/>
          <w:szCs w:val="24"/>
          <w:highlight w:val="none"/>
          <w:u w:val="single"/>
          <w:lang w:bidi="ar"/>
        </w:rPr>
        <w:t>（企业名称）</w:t>
      </w:r>
      <w:r>
        <w:rPr>
          <w:rFonts w:hint="eastAsia" w:ascii="宋体" w:hAnsi="宋体" w:eastAsia="宋体" w:cs="宋体"/>
          <w:color w:val="auto"/>
          <w:kern w:val="0"/>
          <w:sz w:val="24"/>
          <w:szCs w:val="24"/>
          <w:highlight w:val="none"/>
          <w:lang w:bidi="ar"/>
        </w:rPr>
        <w:t>，从业人员</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人，营业收入为</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万元，资产总额为</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万元，属于</w:t>
      </w:r>
      <w:r>
        <w:rPr>
          <w:rFonts w:hint="eastAsia" w:ascii="宋体" w:hAnsi="宋体" w:eastAsia="宋体" w:cs="宋体"/>
          <w:color w:val="auto"/>
          <w:kern w:val="0"/>
          <w:sz w:val="24"/>
          <w:szCs w:val="24"/>
          <w:highlight w:val="none"/>
          <w:u w:val="single"/>
          <w:lang w:bidi="ar"/>
        </w:rPr>
        <w:t>（</w:t>
      </w:r>
      <w:r>
        <w:rPr>
          <w:rFonts w:hint="eastAsia" w:ascii="宋体" w:hAnsi="宋体" w:cs="宋体"/>
          <w:color w:val="auto"/>
          <w:kern w:val="0"/>
          <w:sz w:val="24"/>
          <w:szCs w:val="24"/>
          <w:highlight w:val="none"/>
          <w:u w:val="single"/>
          <w:lang w:val="en-US" w:eastAsia="zh-CN" w:bidi="ar"/>
        </w:rPr>
        <w:t>中型企业、</w:t>
      </w:r>
      <w:r>
        <w:rPr>
          <w:rFonts w:hint="eastAsia" w:ascii="宋体" w:hAnsi="宋体" w:eastAsia="宋体" w:cs="宋体"/>
          <w:color w:val="auto"/>
          <w:kern w:val="0"/>
          <w:sz w:val="24"/>
          <w:szCs w:val="24"/>
          <w:highlight w:val="none"/>
          <w:u w:val="single"/>
          <w:lang w:bidi="ar"/>
        </w:rPr>
        <w:t>小型企业、微型企业）</w:t>
      </w:r>
      <w:r>
        <w:rPr>
          <w:rFonts w:hint="eastAsia" w:ascii="宋体" w:hAnsi="宋体" w:eastAsia="宋体" w:cs="宋体"/>
          <w:color w:val="auto"/>
          <w:kern w:val="0"/>
          <w:sz w:val="24"/>
          <w:szCs w:val="24"/>
          <w:highlight w:val="none"/>
          <w:lang w:bidi="ar"/>
        </w:rPr>
        <w:t xml:space="preserve">； </w:t>
      </w:r>
    </w:p>
    <w:p w14:paraId="6EFEAC2F">
      <w:pPr>
        <w:widowControl/>
        <w:shd w:val="clear" w:color="auto" w:fill="auto"/>
        <w:spacing w:line="360" w:lineRule="auto"/>
        <w:ind w:firstLine="480" w:firstLineChars="200"/>
        <w:jc w:val="left"/>
        <w:rPr>
          <w:rFonts w:hint="eastAsia" w:ascii="宋体" w:hAnsi="宋体" w:eastAsia="宋体" w:cs="宋体"/>
          <w:color w:val="auto"/>
          <w:kern w:val="0"/>
          <w:sz w:val="24"/>
          <w:szCs w:val="24"/>
          <w:highlight w:val="none"/>
          <w:lang w:bidi="ar"/>
        </w:rPr>
      </w:pPr>
    </w:p>
    <w:p w14:paraId="7DF74AFF">
      <w:pPr>
        <w:widowControl/>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以上企业，不属于大企业的分支机构，不存在控股股东为大企业的情形，也不存在与大企业的负责人为同一人的情形。</w:t>
      </w:r>
    </w:p>
    <w:p w14:paraId="2F0EEB8F">
      <w:pPr>
        <w:widowControl/>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本企业对上述声明内容的真实性负责。如有虚假，将依法承担相应责任。 </w:t>
      </w:r>
    </w:p>
    <w:p w14:paraId="17F03B95">
      <w:pPr>
        <w:widowControl/>
        <w:shd w:val="clear" w:color="auto" w:fill="auto"/>
        <w:spacing w:line="360" w:lineRule="auto"/>
        <w:jc w:val="left"/>
        <w:rPr>
          <w:rFonts w:hint="eastAsia" w:ascii="宋体" w:hAnsi="宋体" w:eastAsia="宋体" w:cs="宋体"/>
          <w:color w:val="auto"/>
          <w:kern w:val="0"/>
          <w:sz w:val="24"/>
          <w:szCs w:val="24"/>
          <w:highlight w:val="none"/>
          <w:lang w:bidi="ar"/>
        </w:rPr>
      </w:pPr>
    </w:p>
    <w:p w14:paraId="73E8461B">
      <w:pPr>
        <w:widowControl/>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企业名称（盖章）： </w:t>
      </w:r>
    </w:p>
    <w:p w14:paraId="40378A26">
      <w:pPr>
        <w:widowControl/>
        <w:shd w:val="clear" w:color="auto" w:fill="auto"/>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日 期： </w:t>
      </w:r>
    </w:p>
    <w:p w14:paraId="0A2125B9">
      <w:pPr>
        <w:widowControl/>
        <w:shd w:val="clear" w:color="auto" w:fill="auto"/>
        <w:spacing w:line="360" w:lineRule="auto"/>
        <w:jc w:val="left"/>
        <w:rPr>
          <w:rFonts w:hint="eastAsia" w:ascii="宋体" w:hAnsi="宋体" w:eastAsia="宋体" w:cs="宋体"/>
          <w:color w:val="auto"/>
          <w:kern w:val="0"/>
          <w:sz w:val="32"/>
          <w:szCs w:val="32"/>
          <w:highlight w:val="none"/>
          <w:vertAlign w:val="superscript"/>
          <w:lang w:bidi="ar"/>
        </w:rPr>
      </w:pPr>
    </w:p>
    <w:p w14:paraId="70338609">
      <w:pPr>
        <w:widowControl/>
        <w:shd w:val="clear" w:color="auto" w:fill="auto"/>
        <w:spacing w:line="360" w:lineRule="auto"/>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 xml:space="preserve"> 从业人员、营业收入、资产总额填报上一年度数据，无上一年度数据的新成立企业可不填报。</w:t>
      </w:r>
    </w:p>
    <w:p w14:paraId="533A4502">
      <w:pPr>
        <w:widowControl/>
        <w:shd w:val="clear" w:color="auto" w:fill="auto"/>
        <w:spacing w:line="360" w:lineRule="auto"/>
        <w:jc w:val="left"/>
        <w:rPr>
          <w:rFonts w:hint="eastAsia" w:ascii="宋体" w:hAnsi="宋体" w:eastAsia="宋体" w:cs="宋体"/>
          <w:color w:val="auto"/>
          <w:kern w:val="0"/>
          <w:sz w:val="24"/>
          <w:szCs w:val="24"/>
          <w:highlight w:val="none"/>
          <w:lang w:bidi="ar"/>
        </w:rPr>
      </w:pPr>
    </w:p>
    <w:p w14:paraId="42E78360">
      <w:pPr>
        <w:widowControl/>
        <w:shd w:val="clear" w:color="auto" w:fill="auto"/>
        <w:spacing w:before="100" w:beforeLines="0" w:beforeAutospacing="1" w:after="100" w:afterLines="0" w:afterAutospacing="1" w:line="432" w:lineRule="auto"/>
        <w:ind w:firstLine="480"/>
        <w:jc w:val="left"/>
        <w:rPr>
          <w:rFonts w:hint="eastAsia" w:ascii="宋体" w:hAnsi="宋体" w:eastAsia="宋体" w:cs="宋体"/>
          <w:color w:val="auto"/>
          <w:kern w:val="0"/>
          <w:sz w:val="24"/>
          <w:highlight w:val="none"/>
          <w:lang w:val="en-US" w:eastAsia="zh-CN" w:bidi="ar-SA"/>
        </w:rPr>
      </w:pPr>
    </w:p>
    <w:p w14:paraId="6B371D74">
      <w:pPr>
        <w:pStyle w:val="4"/>
        <w:shd w:val="clear" w:color="auto" w:fill="auto"/>
        <w:bidi w:val="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z w:val="28"/>
          <w:szCs w:val="28"/>
          <w:highlight w:val="none"/>
        </w:rPr>
        <w:br w:type="page"/>
      </w:r>
      <w:bookmarkStart w:id="334" w:name="_Toc22490"/>
      <w:bookmarkStart w:id="335" w:name="_Toc12682"/>
      <w:bookmarkStart w:id="336" w:name="_Toc14146"/>
      <w:bookmarkStart w:id="337" w:name="_Toc15199"/>
      <w:bookmarkStart w:id="338" w:name="_Toc17287"/>
      <w:bookmarkStart w:id="339" w:name="_Toc29891"/>
      <w:bookmarkStart w:id="340" w:name="_Toc26096"/>
      <w:bookmarkStart w:id="341" w:name="_Toc26626"/>
      <w:r>
        <w:rPr>
          <w:rFonts w:hint="eastAsia" w:ascii="宋体" w:hAnsi="宋体" w:eastAsia="宋体" w:cs="宋体"/>
          <w:b/>
          <w:color w:val="auto"/>
          <w:sz w:val="24"/>
          <w:szCs w:val="16"/>
          <w:highlight w:val="none"/>
          <w:lang w:eastAsia="zh-CN"/>
        </w:rPr>
        <w:t>附件</w:t>
      </w:r>
      <w:r>
        <w:rPr>
          <w:rFonts w:hint="eastAsia" w:ascii="宋体" w:hAnsi="宋体" w:eastAsia="宋体" w:cs="宋体"/>
          <w:b/>
          <w:color w:val="auto"/>
          <w:sz w:val="24"/>
          <w:szCs w:val="16"/>
          <w:highlight w:val="none"/>
          <w:lang w:val="en-US" w:eastAsia="zh-CN"/>
        </w:rPr>
        <w:t>2:</w:t>
      </w:r>
      <w:bookmarkEnd w:id="334"/>
      <w:bookmarkEnd w:id="335"/>
      <w:bookmarkEnd w:id="336"/>
      <w:bookmarkEnd w:id="337"/>
      <w:bookmarkEnd w:id="338"/>
      <w:bookmarkEnd w:id="339"/>
      <w:bookmarkEnd w:id="340"/>
      <w:bookmarkStart w:id="342" w:name="_Toc4460"/>
      <w:bookmarkStart w:id="343" w:name="_Toc12979"/>
      <w:bookmarkStart w:id="344" w:name="_Toc21015"/>
      <w:bookmarkStart w:id="345" w:name="_Toc4161"/>
      <w:bookmarkStart w:id="346" w:name="_Toc8268"/>
      <w:bookmarkStart w:id="347" w:name="_Toc10381"/>
      <w:bookmarkStart w:id="348" w:name="_Toc25801"/>
      <w:bookmarkStart w:id="349" w:name="_Toc30861"/>
      <w:r>
        <w:rPr>
          <w:rFonts w:hint="eastAsia" w:ascii="宋体" w:hAnsi="宋体" w:eastAsia="宋体" w:cs="宋体"/>
          <w:b/>
          <w:color w:val="auto"/>
          <w:sz w:val="24"/>
          <w:szCs w:val="16"/>
          <w:highlight w:val="none"/>
        </w:rPr>
        <w:t>（如用）残疾人福利性单位声明函</w:t>
      </w:r>
      <w:bookmarkEnd w:id="341"/>
      <w:bookmarkEnd w:id="342"/>
      <w:bookmarkEnd w:id="343"/>
      <w:bookmarkEnd w:id="344"/>
      <w:bookmarkEnd w:id="345"/>
      <w:bookmarkEnd w:id="346"/>
      <w:bookmarkEnd w:id="347"/>
      <w:bookmarkEnd w:id="348"/>
      <w:bookmarkEnd w:id="349"/>
    </w:p>
    <w:p w14:paraId="491C0A29">
      <w:pPr>
        <w:shd w:val="clear" w:color="auto" w:fill="auto"/>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 141</w:t>
      </w:r>
      <w:r>
        <w:rPr>
          <w:rFonts w:hint="eastAsia" w:ascii="宋体" w:hAnsi="宋体" w:eastAsia="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97A9CF">
      <w:pPr>
        <w:shd w:val="clear" w:color="auto" w:fill="auto"/>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209A8CD1">
      <w:pPr>
        <w:shd w:val="clear" w:color="auto" w:fill="auto"/>
        <w:spacing w:line="360" w:lineRule="auto"/>
        <w:ind w:firstLine="504" w:firstLineChars="200"/>
        <w:rPr>
          <w:rFonts w:hint="eastAsia" w:ascii="宋体" w:hAnsi="宋体" w:eastAsia="宋体" w:cs="宋体"/>
          <w:color w:val="auto"/>
          <w:spacing w:val="6"/>
          <w:sz w:val="24"/>
          <w:szCs w:val="24"/>
          <w:highlight w:val="none"/>
        </w:rPr>
      </w:pPr>
    </w:p>
    <w:p w14:paraId="657112E7">
      <w:pPr>
        <w:shd w:val="clear" w:color="auto" w:fill="auto"/>
        <w:spacing w:line="360" w:lineRule="auto"/>
        <w:ind w:firstLine="504" w:firstLineChars="200"/>
        <w:rPr>
          <w:rFonts w:hint="eastAsia" w:ascii="宋体" w:hAnsi="宋体" w:eastAsia="宋体" w:cs="宋体"/>
          <w:color w:val="auto"/>
          <w:spacing w:val="6"/>
          <w:sz w:val="24"/>
          <w:szCs w:val="24"/>
          <w:highlight w:val="none"/>
        </w:rPr>
      </w:pPr>
    </w:p>
    <w:p w14:paraId="47643B45">
      <w:pPr>
        <w:shd w:val="clear" w:color="auto" w:fill="auto"/>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单位名称（盖章）：</w:t>
      </w:r>
    </w:p>
    <w:p w14:paraId="49C896C0">
      <w:pPr>
        <w:shd w:val="clear" w:color="auto" w:fill="auto"/>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rPr>
        <w:sect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color w:val="auto"/>
          <w:spacing w:val="6"/>
          <w:sz w:val="24"/>
          <w:szCs w:val="24"/>
          <w:highlight w:val="none"/>
        </w:rPr>
        <w:t xml:space="preserve">       日  期：</w:t>
      </w:r>
    </w:p>
    <w:p w14:paraId="3F7B4D0B">
      <w:pPr>
        <w:pStyle w:val="4"/>
        <w:shd w:val="clear" w:color="auto" w:fill="auto"/>
        <w:bidi w:val="0"/>
        <w:spacing w:line="360" w:lineRule="auto"/>
        <w:jc w:val="left"/>
        <w:rPr>
          <w:rFonts w:hint="eastAsia" w:ascii="宋体" w:hAnsi="宋体" w:eastAsia="宋体" w:cs="宋体"/>
          <w:color w:val="auto"/>
          <w:sz w:val="24"/>
          <w:szCs w:val="24"/>
          <w:highlight w:val="none"/>
        </w:rPr>
        <w:sect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bookmarkStart w:id="350" w:name="_Toc5556"/>
      <w:bookmarkStart w:id="351" w:name="_Toc3855"/>
      <w:bookmarkStart w:id="352" w:name="_Toc888"/>
      <w:bookmarkStart w:id="353" w:name="_Toc31387"/>
      <w:bookmarkStart w:id="354" w:name="_Toc14435"/>
      <w:bookmarkStart w:id="355" w:name="_Toc11893"/>
      <w:bookmarkStart w:id="356" w:name="_Toc25995"/>
      <w:bookmarkStart w:id="357" w:name="_Toc25435"/>
      <w:bookmarkStart w:id="358" w:name="_Toc27723"/>
      <w:r>
        <w:rPr>
          <w:rFonts w:hint="eastAsia" w:ascii="宋体" w:hAnsi="宋体" w:eastAsia="宋体" w:cs="宋体"/>
          <w:b/>
          <w:color w:val="auto"/>
          <w:sz w:val="24"/>
          <w:szCs w:val="16"/>
          <w:highlight w:val="none"/>
          <w:lang w:val="en-US" w:eastAsia="zh-CN"/>
        </w:rPr>
        <w:t>附件3：</w:t>
      </w:r>
      <w:bookmarkEnd w:id="350"/>
      <w:bookmarkEnd w:id="351"/>
      <w:bookmarkEnd w:id="352"/>
      <w:bookmarkEnd w:id="353"/>
      <w:bookmarkEnd w:id="354"/>
      <w:bookmarkEnd w:id="355"/>
      <w:bookmarkEnd w:id="356"/>
      <w:bookmarkStart w:id="359" w:name="_Toc14303"/>
      <w:bookmarkStart w:id="360" w:name="_Toc21481"/>
      <w:bookmarkStart w:id="361" w:name="_Toc2269"/>
      <w:bookmarkStart w:id="362" w:name="_Toc27387"/>
      <w:bookmarkStart w:id="363" w:name="_Toc8888"/>
      <w:bookmarkStart w:id="364" w:name="_Toc30508"/>
      <w:bookmarkStart w:id="365" w:name="_Toc18221"/>
      <w:r>
        <w:rPr>
          <w:rFonts w:hint="eastAsia" w:ascii="宋体" w:hAnsi="宋体" w:eastAsia="宋体" w:cs="宋体"/>
          <w:b/>
          <w:color w:val="auto"/>
          <w:sz w:val="24"/>
          <w:szCs w:val="16"/>
          <w:highlight w:val="none"/>
          <w:lang w:val="en-US" w:eastAsia="zh-CN"/>
        </w:rPr>
        <w:t>监狱企业、福利企业相关资格证明材料</w:t>
      </w:r>
      <w:r>
        <w:rPr>
          <w:rFonts w:hint="eastAsia" w:ascii="宋体" w:hAnsi="宋体" w:eastAsia="宋体" w:cs="宋体"/>
          <w:b/>
          <w:color w:val="auto"/>
          <w:sz w:val="24"/>
          <w:szCs w:val="16"/>
          <w:highlight w:val="none"/>
        </w:rPr>
        <w:t>（如有）</w:t>
      </w:r>
      <w:bookmarkEnd w:id="357"/>
      <w:bookmarkEnd w:id="358"/>
      <w:bookmarkEnd w:id="359"/>
      <w:bookmarkEnd w:id="360"/>
      <w:bookmarkEnd w:id="361"/>
      <w:bookmarkEnd w:id="362"/>
      <w:bookmarkEnd w:id="363"/>
      <w:bookmarkEnd w:id="364"/>
      <w:bookmarkEnd w:id="365"/>
    </w:p>
    <w:p w14:paraId="55088821">
      <w:pPr>
        <w:pStyle w:val="3"/>
        <w:bidi w:val="0"/>
        <w:rPr>
          <w:rFonts w:hint="eastAsia" w:ascii="宋体" w:hAnsi="宋体" w:eastAsia="宋体" w:cs="宋体"/>
          <w:color w:val="auto"/>
          <w:highlight w:val="none"/>
        </w:rPr>
      </w:pPr>
      <w:bookmarkStart w:id="366" w:name="_Toc442"/>
      <w:bookmarkStart w:id="367" w:name="_Toc15719"/>
      <w:bookmarkStart w:id="368" w:name="_Toc5364"/>
      <w:bookmarkStart w:id="369" w:name="_Toc7507"/>
      <w:bookmarkStart w:id="370" w:name="_Toc9802"/>
      <w:bookmarkStart w:id="371" w:name="_Toc7755"/>
      <w:bookmarkStart w:id="372" w:name="_Toc11581"/>
      <w:bookmarkStart w:id="373" w:name="_Toc21933"/>
      <w:bookmarkStart w:id="374" w:name="_Toc14138"/>
      <w:r>
        <w:rPr>
          <w:rFonts w:hint="eastAsia" w:ascii="宋体" w:hAnsi="宋体" w:eastAsia="宋体" w:cs="宋体"/>
          <w:color w:val="auto"/>
          <w:highlight w:val="none"/>
        </w:rPr>
        <w:t>二、</w:t>
      </w:r>
      <w:bookmarkEnd w:id="366"/>
      <w:bookmarkEnd w:id="367"/>
      <w:bookmarkEnd w:id="368"/>
      <w:bookmarkEnd w:id="369"/>
      <w:bookmarkEnd w:id="370"/>
      <w:bookmarkEnd w:id="371"/>
      <w:bookmarkEnd w:id="372"/>
      <w:bookmarkEnd w:id="373"/>
      <w:r>
        <w:rPr>
          <w:rFonts w:hint="eastAsia" w:ascii="宋体" w:hAnsi="宋体" w:eastAsia="宋体" w:cs="宋体"/>
          <w:color w:val="auto"/>
          <w:highlight w:val="none"/>
        </w:rPr>
        <w:t>项目实施方案</w:t>
      </w:r>
      <w:bookmarkEnd w:id="374"/>
    </w:p>
    <w:p w14:paraId="3499F3C8">
      <w:pPr>
        <w:shd w:val="clear" w:color="auto" w:fill="auto"/>
        <w:spacing w:line="480" w:lineRule="auto"/>
        <w:ind w:right="-161" w:firstLine="241" w:firstLineChars="10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rPr>
        <w:t>按照</w:t>
      </w:r>
      <w:r>
        <w:rPr>
          <w:rFonts w:hint="eastAsia" w:ascii="宋体" w:hAnsi="宋体" w:eastAsia="宋体" w:cs="宋体"/>
          <w:b/>
          <w:bCs/>
          <w:color w:val="auto"/>
          <w:kern w:val="0"/>
          <w:sz w:val="24"/>
          <w:szCs w:val="24"/>
          <w:highlight w:val="none"/>
          <w:lang w:eastAsia="zh-CN"/>
        </w:rPr>
        <w:t>竞争性磋商文件</w:t>
      </w:r>
      <w:r>
        <w:rPr>
          <w:rFonts w:hint="eastAsia" w:ascii="宋体" w:hAnsi="宋体" w:eastAsia="宋体" w:cs="宋体"/>
          <w:b/>
          <w:bCs/>
          <w:color w:val="auto"/>
          <w:kern w:val="0"/>
          <w:sz w:val="24"/>
          <w:szCs w:val="24"/>
          <w:highlight w:val="none"/>
        </w:rPr>
        <w:t>的要求编制的响应方案说明书，结合采购内容及</w:t>
      </w:r>
      <w:r>
        <w:rPr>
          <w:rFonts w:hint="eastAsia" w:ascii="宋体" w:hAnsi="宋体" w:eastAsia="宋体" w:cs="宋体"/>
          <w:b/>
          <w:bCs/>
          <w:color w:val="auto"/>
          <w:kern w:val="0"/>
          <w:sz w:val="24"/>
          <w:szCs w:val="24"/>
          <w:highlight w:val="none"/>
          <w:lang w:eastAsia="zh-CN"/>
        </w:rPr>
        <w:t>竞争性磋商文件中的</w:t>
      </w:r>
      <w:r>
        <w:rPr>
          <w:rFonts w:hint="eastAsia" w:ascii="宋体" w:hAnsi="宋体" w:eastAsia="宋体" w:cs="宋体"/>
          <w:b/>
          <w:bCs/>
          <w:color w:val="auto"/>
          <w:kern w:val="0"/>
          <w:sz w:val="24"/>
          <w:szCs w:val="24"/>
          <w:highlight w:val="none"/>
        </w:rPr>
        <w:t>《评标方法》要求编制</w:t>
      </w:r>
      <w:r>
        <w:rPr>
          <w:rFonts w:hint="eastAsia" w:ascii="宋体" w:hAnsi="宋体" w:eastAsia="宋体" w:cs="宋体"/>
          <w:b/>
          <w:bCs/>
          <w:color w:val="auto"/>
          <w:kern w:val="0"/>
          <w:sz w:val="24"/>
          <w:szCs w:val="24"/>
          <w:highlight w:val="none"/>
          <w:lang w:eastAsia="zh-CN"/>
        </w:rPr>
        <w:t>投标</w:t>
      </w:r>
      <w:r>
        <w:rPr>
          <w:rFonts w:hint="eastAsia" w:ascii="宋体" w:hAnsi="宋体" w:eastAsia="宋体" w:cs="宋体"/>
          <w:b/>
          <w:bCs/>
          <w:color w:val="auto"/>
          <w:kern w:val="0"/>
          <w:sz w:val="24"/>
          <w:szCs w:val="24"/>
          <w:highlight w:val="none"/>
        </w:rPr>
        <w:t>响应方案。</w:t>
      </w:r>
    </w:p>
    <w:p w14:paraId="684876D1">
      <w:pPr>
        <w:pStyle w:val="5"/>
        <w:spacing w:line="360" w:lineRule="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br w:type="page"/>
      </w:r>
      <w:r>
        <w:rPr>
          <w:rFonts w:hint="eastAsia" w:ascii="宋体" w:hAnsi="宋体" w:eastAsia="宋体" w:cs="宋体"/>
          <w:b/>
          <w:bCs w:val="0"/>
          <w:color w:val="auto"/>
          <w:sz w:val="24"/>
          <w:szCs w:val="24"/>
          <w:highlight w:val="none"/>
        </w:rPr>
        <w:t>附表一：拟投入本招标项目的主要施工设备表</w:t>
      </w:r>
    </w:p>
    <w:tbl>
      <w:tblPr>
        <w:tblStyle w:val="24"/>
        <w:tblW w:w="86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041"/>
        <w:gridCol w:w="698"/>
        <w:gridCol w:w="717"/>
        <w:gridCol w:w="717"/>
        <w:gridCol w:w="856"/>
        <w:gridCol w:w="1200"/>
        <w:gridCol w:w="855"/>
        <w:gridCol w:w="1185"/>
        <w:gridCol w:w="713"/>
      </w:tblGrid>
      <w:tr w14:paraId="7B05D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632" w:type="dxa"/>
            <w:noWrap w:val="0"/>
            <w:vAlign w:val="center"/>
          </w:tcPr>
          <w:p w14:paraId="660A1D9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41" w:type="dxa"/>
            <w:noWrap w:val="0"/>
            <w:vAlign w:val="center"/>
          </w:tcPr>
          <w:p w14:paraId="303CF2E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698" w:type="dxa"/>
            <w:noWrap w:val="0"/>
            <w:vAlign w:val="center"/>
          </w:tcPr>
          <w:p w14:paraId="5C57BD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p w14:paraId="6DCA306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tc>
        <w:tc>
          <w:tcPr>
            <w:tcW w:w="717" w:type="dxa"/>
            <w:noWrap w:val="0"/>
            <w:vAlign w:val="center"/>
          </w:tcPr>
          <w:p w14:paraId="0C6719A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17" w:type="dxa"/>
            <w:noWrap w:val="0"/>
            <w:vAlign w:val="center"/>
          </w:tcPr>
          <w:p w14:paraId="317618C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国别</w:t>
            </w:r>
          </w:p>
          <w:p w14:paraId="17E7E67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856" w:type="dxa"/>
            <w:noWrap w:val="0"/>
            <w:vAlign w:val="center"/>
          </w:tcPr>
          <w:p w14:paraId="552A08D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w:t>
            </w:r>
          </w:p>
          <w:p w14:paraId="1A92606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年份</w:t>
            </w:r>
          </w:p>
        </w:tc>
        <w:tc>
          <w:tcPr>
            <w:tcW w:w="1200" w:type="dxa"/>
            <w:noWrap w:val="0"/>
            <w:vAlign w:val="center"/>
          </w:tcPr>
          <w:p w14:paraId="74740B6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额定功率</w:t>
            </w:r>
          </w:p>
          <w:p w14:paraId="6F07866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KW )</w:t>
            </w:r>
          </w:p>
        </w:tc>
        <w:tc>
          <w:tcPr>
            <w:tcW w:w="855" w:type="dxa"/>
            <w:noWrap w:val="0"/>
            <w:vAlign w:val="center"/>
          </w:tcPr>
          <w:p w14:paraId="2D11122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w:t>
            </w:r>
          </w:p>
          <w:p w14:paraId="4A2A3C3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能力</w:t>
            </w:r>
          </w:p>
        </w:tc>
        <w:tc>
          <w:tcPr>
            <w:tcW w:w="1185" w:type="dxa"/>
            <w:noWrap w:val="0"/>
            <w:vAlign w:val="center"/>
          </w:tcPr>
          <w:p w14:paraId="6D11548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用于施</w:t>
            </w:r>
          </w:p>
          <w:p w14:paraId="1EF7894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工部位</w:t>
            </w:r>
          </w:p>
        </w:tc>
        <w:tc>
          <w:tcPr>
            <w:tcW w:w="713" w:type="dxa"/>
            <w:noWrap w:val="0"/>
            <w:vAlign w:val="center"/>
          </w:tcPr>
          <w:p w14:paraId="2C95984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D78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47E8DCAD">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198257F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698" w:type="dxa"/>
            <w:noWrap w:val="0"/>
            <w:vAlign w:val="top"/>
          </w:tcPr>
          <w:p w14:paraId="18F2208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29C4004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549BDA5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04B907B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6ABF0D5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3DEBE8F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3E7BA00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6034472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17B8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7DA9174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2E4AA90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3DD54B1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3B898DC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4142057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473F78F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2DCF58E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29467A0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1706E25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075BFB1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0BA3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5122967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0FD9919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651CAB6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75B7B05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52D8956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04B66FF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622006D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41DE210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5414732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008D4B2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44B5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33BE27F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5434762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793F989D">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4A13E87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74AFEC0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04AC893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346CAE4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7E95806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42FFCBB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00006B8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2B30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7C887D5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7A7F139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6CE019F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2695E39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439729D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58A42F0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6985E70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0D42872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4B6BCB9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10A166B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483C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5F8533E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4FEC27E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4CCFC43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1ECEC1B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5CC977F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6896C9F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76A03B6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48E631A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489AA8F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5AAA08C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7E9C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3E5AA5F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16934E3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2756BEE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7763E28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047225B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4454D43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43DDF31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2048DDF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0A24427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64C2C20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7D15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5E3C6AC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1535212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17229B7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51EDA7D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211AE5C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2B6C333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2C945F8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2796F22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3C26914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14D81C3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1F9DE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0ECAE3A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21FEFE0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0FF49CA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47942BC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09362C8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30B84AB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4A1E461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467001E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7BA2B9F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27B6D34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5941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2A50E33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225F06D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1462AD8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484C4DE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63BF5AF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543D106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1C0D560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7883564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5879B4A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41EEE90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75B98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05752B8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71D779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7430355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3813524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0654758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6CEA3F7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6DA17E9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1A3F06F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48B5E55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698EC0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2067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40068CD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490E800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203FF56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4EC573B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53C6A5C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355CC77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51AC8E2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167CF09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1379F18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2504C6A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3037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1E7EA88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23C6EEF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50F6D9F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7B5B516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3127335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27600F7D">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3A2EB558">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5E2162D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0F04801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26A3557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009A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32" w:type="dxa"/>
            <w:noWrap w:val="0"/>
            <w:vAlign w:val="top"/>
          </w:tcPr>
          <w:p w14:paraId="71C61AD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315143E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0D1D40B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1E420DF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10CAD81A">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42C4D6C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6D69298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210F1A4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07637B8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0CAE0E1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28D5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32" w:type="dxa"/>
            <w:noWrap w:val="0"/>
            <w:vAlign w:val="top"/>
          </w:tcPr>
          <w:p w14:paraId="415B5FD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041" w:type="dxa"/>
            <w:noWrap w:val="0"/>
            <w:vAlign w:val="top"/>
          </w:tcPr>
          <w:p w14:paraId="0BF7A0A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98" w:type="dxa"/>
            <w:noWrap w:val="0"/>
            <w:vAlign w:val="top"/>
          </w:tcPr>
          <w:p w14:paraId="12283BAE">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1A779CB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7" w:type="dxa"/>
            <w:noWrap w:val="0"/>
            <w:vAlign w:val="top"/>
          </w:tcPr>
          <w:p w14:paraId="39F7E8A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6" w:type="dxa"/>
            <w:noWrap w:val="0"/>
            <w:vAlign w:val="top"/>
          </w:tcPr>
          <w:p w14:paraId="518FA33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200" w:type="dxa"/>
            <w:noWrap w:val="0"/>
            <w:vAlign w:val="top"/>
          </w:tcPr>
          <w:p w14:paraId="56C6FA4C">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855" w:type="dxa"/>
            <w:noWrap w:val="0"/>
            <w:vAlign w:val="top"/>
          </w:tcPr>
          <w:p w14:paraId="1705D6ED">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185" w:type="dxa"/>
            <w:noWrap w:val="0"/>
            <w:vAlign w:val="top"/>
          </w:tcPr>
          <w:p w14:paraId="5018EDED">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713" w:type="dxa"/>
            <w:noWrap w:val="0"/>
            <w:vAlign w:val="top"/>
          </w:tcPr>
          <w:p w14:paraId="62C2ED7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p>
        </w:tc>
      </w:tr>
    </w:tbl>
    <w:p w14:paraId="5437DEAD">
      <w:pPr>
        <w:spacing w:line="360" w:lineRule="auto"/>
        <w:rPr>
          <w:rFonts w:hint="eastAsia" w:ascii="宋体" w:hAnsi="宋体" w:eastAsia="宋体" w:cs="宋体"/>
          <w:color w:val="auto"/>
          <w:sz w:val="24"/>
          <w:szCs w:val="24"/>
          <w:highlight w:val="none"/>
        </w:rPr>
      </w:pPr>
    </w:p>
    <w:p w14:paraId="662AF77B">
      <w:pPr>
        <w:spacing w:line="360" w:lineRule="auto"/>
        <w:ind w:firstLine="480" w:firstLineChars="200"/>
        <w:rPr>
          <w:rFonts w:hint="eastAsia" w:ascii="宋体" w:hAnsi="宋体" w:eastAsia="宋体" w:cs="宋体"/>
          <w:color w:val="auto"/>
          <w:sz w:val="24"/>
          <w:szCs w:val="24"/>
          <w:highlight w:val="none"/>
        </w:rPr>
        <w:sect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p>
    <w:p w14:paraId="314506C3">
      <w:pPr>
        <w:pStyle w:val="5"/>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附表二：拟投入本招标项目的试验和检测仪器设备</w:t>
      </w:r>
      <w:r>
        <w:rPr>
          <w:rFonts w:hint="eastAsia" w:ascii="宋体" w:hAnsi="宋体" w:eastAsia="宋体" w:cs="宋体"/>
          <w:b/>
          <w:bCs w:val="0"/>
          <w:color w:val="auto"/>
          <w:sz w:val="24"/>
          <w:szCs w:val="24"/>
          <w:highlight w:val="none"/>
          <w:lang w:val="en-US" w:eastAsia="zh-CN"/>
        </w:rPr>
        <w:t>表</w:t>
      </w:r>
    </w:p>
    <w:tbl>
      <w:tblPr>
        <w:tblStyle w:val="3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7"/>
        <w:gridCol w:w="1777"/>
        <w:gridCol w:w="1677"/>
        <w:gridCol w:w="1017"/>
        <w:gridCol w:w="1068"/>
        <w:gridCol w:w="914"/>
        <w:gridCol w:w="1042"/>
        <w:gridCol w:w="851"/>
      </w:tblGrid>
      <w:tr w14:paraId="10E92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085E390B">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序号</w:t>
            </w:r>
          </w:p>
        </w:tc>
        <w:tc>
          <w:tcPr>
            <w:tcW w:w="1675" w:type="dxa"/>
            <w:noWrap w:val="0"/>
            <w:vAlign w:val="center"/>
          </w:tcPr>
          <w:p w14:paraId="0400F612">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仪器设备</w:t>
            </w:r>
          </w:p>
          <w:p w14:paraId="6B6E2151">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名称</w:t>
            </w:r>
          </w:p>
        </w:tc>
        <w:tc>
          <w:tcPr>
            <w:tcW w:w="1580" w:type="dxa"/>
            <w:noWrap w:val="0"/>
            <w:vAlign w:val="center"/>
          </w:tcPr>
          <w:p w14:paraId="0E281E8C">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型号规格</w:t>
            </w:r>
          </w:p>
        </w:tc>
        <w:tc>
          <w:tcPr>
            <w:tcW w:w="958" w:type="dxa"/>
            <w:noWrap w:val="0"/>
            <w:vAlign w:val="center"/>
          </w:tcPr>
          <w:p w14:paraId="4F028426">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数量</w:t>
            </w:r>
          </w:p>
        </w:tc>
        <w:tc>
          <w:tcPr>
            <w:tcW w:w="1006" w:type="dxa"/>
            <w:noWrap w:val="0"/>
            <w:vAlign w:val="center"/>
          </w:tcPr>
          <w:p w14:paraId="1C02A182">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国别产</w:t>
            </w:r>
          </w:p>
          <w:p w14:paraId="2EDBFED6">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地</w:t>
            </w:r>
          </w:p>
        </w:tc>
        <w:tc>
          <w:tcPr>
            <w:tcW w:w="862" w:type="dxa"/>
            <w:noWrap w:val="0"/>
            <w:vAlign w:val="center"/>
          </w:tcPr>
          <w:p w14:paraId="5C8EC9CB">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制造年份</w:t>
            </w:r>
          </w:p>
        </w:tc>
        <w:tc>
          <w:tcPr>
            <w:tcW w:w="982" w:type="dxa"/>
            <w:noWrap w:val="0"/>
            <w:vAlign w:val="center"/>
          </w:tcPr>
          <w:p w14:paraId="19B8D335">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已使用</w:t>
            </w:r>
          </w:p>
          <w:p w14:paraId="3BB5A208">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台时数</w:t>
            </w:r>
          </w:p>
        </w:tc>
        <w:tc>
          <w:tcPr>
            <w:tcW w:w="802" w:type="dxa"/>
            <w:noWrap w:val="0"/>
            <w:vAlign w:val="center"/>
          </w:tcPr>
          <w:p w14:paraId="3203215E">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备注</w:t>
            </w:r>
          </w:p>
        </w:tc>
      </w:tr>
      <w:tr w14:paraId="46C44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374553BF">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1</w:t>
            </w:r>
          </w:p>
        </w:tc>
        <w:tc>
          <w:tcPr>
            <w:tcW w:w="1675" w:type="dxa"/>
            <w:noWrap w:val="0"/>
            <w:vAlign w:val="center"/>
          </w:tcPr>
          <w:p w14:paraId="3D79CA14">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67A6FD7C">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0D449DA5">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1842600D">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6CC01BB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5A9D5996">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31A78A0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3BF1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34787BD9">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2</w:t>
            </w:r>
          </w:p>
        </w:tc>
        <w:tc>
          <w:tcPr>
            <w:tcW w:w="1675" w:type="dxa"/>
            <w:noWrap w:val="0"/>
            <w:vAlign w:val="center"/>
          </w:tcPr>
          <w:p w14:paraId="24B2C7C2">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2AB895A5">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40EB697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02DFCA0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644E86F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00BFB161">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2FCA812C">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50E18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0B5A8069">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3</w:t>
            </w:r>
          </w:p>
        </w:tc>
        <w:tc>
          <w:tcPr>
            <w:tcW w:w="1675" w:type="dxa"/>
            <w:noWrap w:val="0"/>
            <w:vAlign w:val="center"/>
          </w:tcPr>
          <w:p w14:paraId="672D4BA0">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22B405DD">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2489FB4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45C6C4F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02BF4FF5">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2AFC7ED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328244DF">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73957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750F6341">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4</w:t>
            </w:r>
          </w:p>
        </w:tc>
        <w:tc>
          <w:tcPr>
            <w:tcW w:w="1675" w:type="dxa"/>
            <w:noWrap w:val="0"/>
            <w:vAlign w:val="center"/>
          </w:tcPr>
          <w:p w14:paraId="0BCE0504">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0B90C2A1">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7416DC1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005618EB">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19FBACF0">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6A2B0C69">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1349553D">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58DFB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110BD3C1">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5</w:t>
            </w:r>
          </w:p>
        </w:tc>
        <w:tc>
          <w:tcPr>
            <w:tcW w:w="1675" w:type="dxa"/>
            <w:noWrap w:val="0"/>
            <w:vAlign w:val="center"/>
          </w:tcPr>
          <w:p w14:paraId="786A4E7D">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17A38611">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48760772">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7350A2F1">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3440D21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146B0340">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4E1F5310">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2F530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7A2AE097">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6</w:t>
            </w:r>
          </w:p>
        </w:tc>
        <w:tc>
          <w:tcPr>
            <w:tcW w:w="1675" w:type="dxa"/>
            <w:noWrap w:val="0"/>
            <w:vAlign w:val="center"/>
          </w:tcPr>
          <w:p w14:paraId="6BD0702C">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6AB513E6">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3A54F7D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408CF42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60F9EDE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3E8FDDB7">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1142583A">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37D65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292D4B14">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7</w:t>
            </w:r>
          </w:p>
        </w:tc>
        <w:tc>
          <w:tcPr>
            <w:tcW w:w="1675" w:type="dxa"/>
            <w:noWrap w:val="0"/>
            <w:vAlign w:val="center"/>
          </w:tcPr>
          <w:p w14:paraId="3755AF35">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28872F47">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5BF9C94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439897A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01B8728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12D1833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62461592">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45F61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277703A8">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8</w:t>
            </w:r>
          </w:p>
        </w:tc>
        <w:tc>
          <w:tcPr>
            <w:tcW w:w="1675" w:type="dxa"/>
            <w:noWrap w:val="0"/>
            <w:vAlign w:val="center"/>
          </w:tcPr>
          <w:p w14:paraId="0933070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719A4149">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6AA6001D">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1725BE69">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31F17DC9">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0FC9413D">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44D65242">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54949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7852FFB9">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9</w:t>
            </w:r>
          </w:p>
        </w:tc>
        <w:tc>
          <w:tcPr>
            <w:tcW w:w="1675" w:type="dxa"/>
            <w:noWrap w:val="0"/>
            <w:vAlign w:val="center"/>
          </w:tcPr>
          <w:p w14:paraId="0194CBBA">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7F59CD27">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64970DC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7A5584AD">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3D66AA4A">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4DA2DD8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6A889B0F">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3E1DB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44DE3DC2">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10</w:t>
            </w:r>
          </w:p>
        </w:tc>
        <w:tc>
          <w:tcPr>
            <w:tcW w:w="1675" w:type="dxa"/>
            <w:noWrap w:val="0"/>
            <w:vAlign w:val="center"/>
          </w:tcPr>
          <w:p w14:paraId="6C547FC4">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40E6896F">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2E968C4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55BF084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32D3531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739CFFA4">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4EFBB08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6882C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1A4C2B74">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11</w:t>
            </w:r>
          </w:p>
        </w:tc>
        <w:tc>
          <w:tcPr>
            <w:tcW w:w="1675" w:type="dxa"/>
            <w:noWrap w:val="0"/>
            <w:vAlign w:val="center"/>
          </w:tcPr>
          <w:p w14:paraId="55E13E67">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71D04876">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394F64AD">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75928666">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2ACEC741">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00A7C714">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72FF206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53EDB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03E6BE94">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12</w:t>
            </w:r>
          </w:p>
        </w:tc>
        <w:tc>
          <w:tcPr>
            <w:tcW w:w="1675" w:type="dxa"/>
            <w:noWrap w:val="0"/>
            <w:vAlign w:val="center"/>
          </w:tcPr>
          <w:p w14:paraId="21BB54B5">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3BA24BDA">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1E569A3B">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40511AC9">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2CA51FE9">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44661BC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6FCC78EE">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r w14:paraId="6A24B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57" w:type="dxa"/>
            <w:noWrap w:val="0"/>
            <w:vAlign w:val="center"/>
          </w:tcPr>
          <w:p w14:paraId="2AA3B910">
            <w:pPr>
              <w:widowControl w:val="0"/>
              <w:bidi w:val="0"/>
              <w:snapToGrid/>
              <w:spacing w:after="0" w:line="360" w:lineRule="auto"/>
              <w:jc w:val="center"/>
              <w:rPr>
                <w:rFonts w:hint="eastAsia" w:ascii="宋体" w:hAnsi="宋体" w:eastAsia="宋体" w:cs="宋体"/>
                <w:color w:val="auto"/>
                <w:kern w:val="2"/>
                <w:sz w:val="24"/>
                <w:szCs w:val="24"/>
                <w:lang w:val="en-US" w:eastAsia="en-US"/>
              </w:rPr>
            </w:pPr>
            <w:r>
              <w:rPr>
                <w:rFonts w:hint="eastAsia" w:ascii="宋体" w:hAnsi="宋体" w:eastAsia="宋体" w:cs="宋体"/>
                <w:color w:val="auto"/>
                <w:kern w:val="2"/>
                <w:sz w:val="24"/>
                <w:szCs w:val="24"/>
                <w:lang w:val="en-US" w:eastAsia="en-US"/>
              </w:rPr>
              <w:t>13</w:t>
            </w:r>
          </w:p>
        </w:tc>
        <w:tc>
          <w:tcPr>
            <w:tcW w:w="1675" w:type="dxa"/>
            <w:noWrap w:val="0"/>
            <w:vAlign w:val="center"/>
          </w:tcPr>
          <w:p w14:paraId="5E6DF70B">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580" w:type="dxa"/>
            <w:noWrap w:val="0"/>
            <w:vAlign w:val="center"/>
          </w:tcPr>
          <w:p w14:paraId="49D2FD9A">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58" w:type="dxa"/>
            <w:noWrap w:val="0"/>
            <w:vAlign w:val="center"/>
          </w:tcPr>
          <w:p w14:paraId="13EC9036">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1006" w:type="dxa"/>
            <w:noWrap w:val="0"/>
            <w:vAlign w:val="center"/>
          </w:tcPr>
          <w:p w14:paraId="479C2BE2">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62" w:type="dxa"/>
            <w:noWrap w:val="0"/>
            <w:vAlign w:val="center"/>
          </w:tcPr>
          <w:p w14:paraId="214A5CF8">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982" w:type="dxa"/>
            <w:noWrap w:val="0"/>
            <w:vAlign w:val="center"/>
          </w:tcPr>
          <w:p w14:paraId="59C8DAB5">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c>
          <w:tcPr>
            <w:tcW w:w="802" w:type="dxa"/>
            <w:noWrap w:val="0"/>
            <w:vAlign w:val="center"/>
          </w:tcPr>
          <w:p w14:paraId="586F7913">
            <w:pPr>
              <w:widowControl w:val="0"/>
              <w:bidi w:val="0"/>
              <w:snapToGrid/>
              <w:spacing w:after="0" w:line="360" w:lineRule="auto"/>
              <w:jc w:val="center"/>
              <w:rPr>
                <w:rFonts w:hint="eastAsia" w:ascii="宋体" w:hAnsi="宋体" w:eastAsia="宋体" w:cs="宋体"/>
                <w:color w:val="auto"/>
                <w:kern w:val="2"/>
                <w:sz w:val="24"/>
                <w:szCs w:val="24"/>
                <w:lang w:val="en-US" w:eastAsia="en-US"/>
              </w:rPr>
            </w:pPr>
          </w:p>
        </w:tc>
      </w:tr>
    </w:tbl>
    <w:p w14:paraId="0743DA5B">
      <w:pPr>
        <w:bidi w:val="0"/>
        <w:rPr>
          <w:rFonts w:hint="eastAsia" w:ascii="宋体" w:hAnsi="宋体" w:eastAsia="宋体" w:cs="宋体"/>
          <w:color w:val="auto"/>
        </w:rPr>
      </w:pPr>
    </w:p>
    <w:p w14:paraId="78D5DA0E">
      <w:pPr>
        <w:pStyle w:val="5"/>
        <w:spacing w:line="360" w:lineRule="auto"/>
        <w:rPr>
          <w:rFonts w:hint="eastAsia" w:ascii="宋体" w:hAnsi="宋体" w:eastAsia="宋体" w:cs="宋体"/>
          <w:b/>
          <w:bCs w:val="0"/>
          <w:color w:val="auto"/>
          <w:sz w:val="24"/>
          <w:szCs w:val="24"/>
          <w:highlight w:val="none"/>
        </w:rPr>
        <w:sect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p>
    <w:p w14:paraId="395DEE0C">
      <w:pPr>
        <w:pStyle w:val="5"/>
        <w:spacing w:line="360" w:lineRule="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附表</w:t>
      </w: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rPr>
        <w:t>：劳动力计划表</w:t>
      </w:r>
    </w:p>
    <w:p w14:paraId="662FEFE7">
      <w:pPr>
        <w:spacing w:line="360" w:lineRule="auto"/>
        <w:ind w:firstLine="3120" w:firstLineChars="13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单位：人</w:t>
      </w:r>
    </w:p>
    <w:tbl>
      <w:tblPr>
        <w:tblStyle w:val="24"/>
        <w:tblW w:w="84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107"/>
        <w:gridCol w:w="1107"/>
        <w:gridCol w:w="1108"/>
        <w:gridCol w:w="1107"/>
        <w:gridCol w:w="1108"/>
        <w:gridCol w:w="1107"/>
        <w:gridCol w:w="1110"/>
      </w:tblGrid>
      <w:tr w14:paraId="33FC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0A4AEEA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工种</w:t>
            </w:r>
          </w:p>
        </w:tc>
        <w:tc>
          <w:tcPr>
            <w:tcW w:w="7754" w:type="dxa"/>
            <w:gridSpan w:val="7"/>
            <w:noWrap w:val="0"/>
            <w:vAlign w:val="center"/>
          </w:tcPr>
          <w:p w14:paraId="1E9815E6">
            <w:pPr>
              <w:keepNext w:val="0"/>
              <w:keepLines w:val="0"/>
              <w:suppressLineNumbers w:val="0"/>
              <w:spacing w:before="0" w:beforeAutospacing="0" w:after="0" w:afterAutospacing="0" w:line="360" w:lineRule="auto"/>
              <w:ind w:left="0" w:right="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按工程施工阶段投入劳动力情况</w:t>
            </w:r>
          </w:p>
        </w:tc>
      </w:tr>
      <w:tr w14:paraId="3CE96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598D683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99B126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437C16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790F8EA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2888E2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2CD43CF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FB5925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7F8973F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53A7F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3EE4EB3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42067B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3AF207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5C525CA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157358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515C650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2D0D6A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7B083E8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1400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0BEF3BA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19413E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240A8E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0F7EC8C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22845D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3E1C3D81">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29AB2C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1D9F8A0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72DA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4496DC6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B07F98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3A5198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42C7B5A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CC744B1">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49439AC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F534B6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22AB738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75B80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751B3E6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F0A70F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6B5EE8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3234725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9BF4A6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3520359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93266D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0B8CF88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62FB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54FF236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99FA31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341814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478ADCD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822C68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20A1FA6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41F0AD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3A1B750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4B8D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67260F6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ED1BC6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9D91CF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571B38E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21AF961">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049888D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5B5A6DC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7D87F77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18AFA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30C17C7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6142BF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E0B445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79F1263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5E6B08E1">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528363F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2F78CC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0AB4309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2177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770CDB4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568D2CC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50C76FB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0999B71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5367F7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45092C3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53AAA8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58ECCD8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1150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40C92391">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860AC1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FA42FA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2A1B5DC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445B31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27181F3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F7F393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4BA4DCF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096E2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6600BF4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82B674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8478C6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2D9875B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2C76F3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4D0AB97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BCD0CC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465885A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45B0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4ED3515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127A4B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9B77AE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07A01501">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771EA6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6CCB550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DF9E80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36CEB5B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1EADD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7A5B90E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556565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57572E5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4317E1F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635B3D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35C4F24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E5DB71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48BECD6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13FC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3457EDC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605193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13E29C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079CC33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FF44A7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2EEC59A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FC07E4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334E5F4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6894A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5C2E22B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123AAEB">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18C66C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1B1C718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5FBA4E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1ADE6A0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3692E3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50DB5F0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3AA73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135A0C6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BF3106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586E2B0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7BB627C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226549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0058E1F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C0A3FE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29DFC71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633C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230CAF1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F5C883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285D491">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1A9D34A4">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3F34EE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0854D68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EF0092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2CCB0F5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75BF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0153C81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4D2008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6C5D88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7F3B8ED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CE4B95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6EB558D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952190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6149C3C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6904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1CBFBCA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EDA4A7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C81B6E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374E627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8231B5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7FC0A35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5582D2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458315E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3B19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793F7F39">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476D2976">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02DCB7B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5EA85D9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FBCEFEC">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5444D80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2BE1CA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7E95F11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1EDA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5" w:type="dxa"/>
            <w:noWrap w:val="0"/>
            <w:vAlign w:val="center"/>
          </w:tcPr>
          <w:p w14:paraId="3975AE6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509C5C3">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7CDB401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28E5DA6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5161010">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5B073337">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650D446F">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1613192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r w14:paraId="3E5A8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5" w:type="dxa"/>
            <w:noWrap w:val="0"/>
            <w:vAlign w:val="center"/>
          </w:tcPr>
          <w:p w14:paraId="2D0AFEFE">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532AF35">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1DE2272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050A5E28">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37CC1D8D">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8" w:type="dxa"/>
            <w:noWrap w:val="0"/>
            <w:vAlign w:val="center"/>
          </w:tcPr>
          <w:p w14:paraId="6C05D4E2">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07" w:type="dxa"/>
            <w:noWrap w:val="0"/>
            <w:vAlign w:val="center"/>
          </w:tcPr>
          <w:p w14:paraId="2D52427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c>
          <w:tcPr>
            <w:tcW w:w="1110" w:type="dxa"/>
            <w:noWrap w:val="0"/>
            <w:vAlign w:val="center"/>
          </w:tcPr>
          <w:p w14:paraId="5FF1451A">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highlight w:val="none"/>
              </w:rPr>
            </w:pPr>
          </w:p>
        </w:tc>
      </w:tr>
    </w:tbl>
    <w:p w14:paraId="40C8B31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9ACD6E6">
      <w:pPr>
        <w:spacing w:line="360" w:lineRule="auto"/>
        <w:ind w:firstLine="480" w:firstLineChars="200"/>
        <w:rPr>
          <w:rFonts w:hint="eastAsia" w:ascii="宋体" w:hAnsi="宋体" w:eastAsia="宋体" w:cs="宋体"/>
          <w:color w:val="auto"/>
          <w:sz w:val="24"/>
          <w:szCs w:val="24"/>
          <w:highlight w:val="none"/>
        </w:rPr>
        <w:sect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p>
    <w:p w14:paraId="1FB5E5A2">
      <w:pPr>
        <w:pStyle w:val="5"/>
        <w:spacing w:line="360" w:lineRule="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附表</w:t>
      </w:r>
      <w:r>
        <w:rPr>
          <w:rFonts w:hint="eastAsia" w:ascii="宋体" w:hAnsi="宋体" w:eastAsia="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rPr>
        <w:t>：计划开、竣工日期和施工进度网络图</w:t>
      </w:r>
    </w:p>
    <w:p w14:paraId="2F641066">
      <w:pPr>
        <w:spacing w:line="360" w:lineRule="auto"/>
        <w:rPr>
          <w:rFonts w:hint="eastAsia" w:ascii="宋体" w:hAnsi="宋体" w:eastAsia="宋体" w:cs="宋体"/>
          <w:color w:val="auto"/>
          <w:sz w:val="24"/>
          <w:szCs w:val="24"/>
          <w:highlight w:val="none"/>
        </w:rPr>
      </w:pPr>
    </w:p>
    <w:p w14:paraId="1CAE85D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1．投标人应递交施工进度网络图或施工进度表，说明按</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要求的计划工期进行施工的各个关键日期。</w:t>
      </w:r>
    </w:p>
    <w:p w14:paraId="0D1339A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2．施工进度表可采用网络图（或横道图）表示。</w:t>
      </w:r>
    </w:p>
    <w:p w14:paraId="44EFF4E3">
      <w:pPr>
        <w:spacing w:line="360" w:lineRule="auto"/>
        <w:ind w:firstLine="480" w:firstLineChars="200"/>
        <w:rPr>
          <w:rFonts w:hint="eastAsia" w:ascii="宋体" w:hAnsi="宋体" w:eastAsia="宋体" w:cs="宋体"/>
          <w:color w:val="auto"/>
          <w:sz w:val="24"/>
          <w:szCs w:val="24"/>
          <w:highlight w:val="none"/>
        </w:rPr>
      </w:pPr>
    </w:p>
    <w:p w14:paraId="0EAB03A5">
      <w:pPr>
        <w:pStyle w:val="32"/>
        <w:rPr>
          <w:rFonts w:hint="eastAsia" w:ascii="宋体" w:hAnsi="宋体" w:eastAsia="宋体" w:cs="宋体"/>
          <w:color w:val="auto"/>
          <w:sz w:val="24"/>
          <w:szCs w:val="24"/>
          <w:highlight w:val="none"/>
        </w:rPr>
      </w:pPr>
    </w:p>
    <w:p w14:paraId="19CC9CB7">
      <w:pPr>
        <w:pStyle w:val="32"/>
        <w:rPr>
          <w:rFonts w:hint="eastAsia" w:ascii="宋体" w:hAnsi="宋体" w:eastAsia="宋体" w:cs="宋体"/>
          <w:color w:val="auto"/>
          <w:sz w:val="24"/>
          <w:szCs w:val="24"/>
          <w:highlight w:val="none"/>
        </w:rPr>
      </w:pPr>
    </w:p>
    <w:p w14:paraId="771CC91C">
      <w:pPr>
        <w:pStyle w:val="32"/>
        <w:rPr>
          <w:rFonts w:hint="eastAsia" w:ascii="宋体" w:hAnsi="宋体" w:eastAsia="宋体" w:cs="宋体"/>
          <w:color w:val="auto"/>
          <w:sz w:val="24"/>
          <w:szCs w:val="24"/>
          <w:highlight w:val="none"/>
        </w:rPr>
      </w:pPr>
    </w:p>
    <w:p w14:paraId="06D794FA">
      <w:pPr>
        <w:pStyle w:val="32"/>
        <w:rPr>
          <w:rFonts w:hint="eastAsia" w:ascii="宋体" w:hAnsi="宋体" w:eastAsia="宋体" w:cs="宋体"/>
          <w:color w:val="auto"/>
          <w:sz w:val="24"/>
          <w:szCs w:val="24"/>
          <w:highlight w:val="none"/>
        </w:rPr>
      </w:pPr>
    </w:p>
    <w:p w14:paraId="46C09302">
      <w:pPr>
        <w:pStyle w:val="32"/>
        <w:rPr>
          <w:rFonts w:hint="eastAsia" w:ascii="宋体" w:hAnsi="宋体" w:eastAsia="宋体" w:cs="宋体"/>
          <w:color w:val="auto"/>
          <w:sz w:val="24"/>
          <w:szCs w:val="24"/>
          <w:highlight w:val="none"/>
        </w:rPr>
      </w:pPr>
    </w:p>
    <w:p w14:paraId="312169D9">
      <w:pPr>
        <w:pStyle w:val="32"/>
        <w:rPr>
          <w:rFonts w:hint="eastAsia" w:ascii="宋体" w:hAnsi="宋体" w:eastAsia="宋体" w:cs="宋体"/>
          <w:color w:val="auto"/>
          <w:sz w:val="24"/>
          <w:szCs w:val="24"/>
          <w:highlight w:val="none"/>
        </w:rPr>
      </w:pPr>
    </w:p>
    <w:p w14:paraId="4C971F0B">
      <w:pPr>
        <w:pStyle w:val="32"/>
        <w:rPr>
          <w:rFonts w:hint="eastAsia" w:ascii="宋体" w:hAnsi="宋体" w:eastAsia="宋体" w:cs="宋体"/>
          <w:color w:val="auto"/>
          <w:sz w:val="24"/>
          <w:szCs w:val="24"/>
          <w:highlight w:val="none"/>
        </w:rPr>
      </w:pPr>
    </w:p>
    <w:p w14:paraId="270862BE">
      <w:pPr>
        <w:pStyle w:val="32"/>
        <w:rPr>
          <w:rFonts w:hint="eastAsia" w:ascii="宋体" w:hAnsi="宋体" w:eastAsia="宋体" w:cs="宋体"/>
          <w:color w:val="auto"/>
          <w:sz w:val="24"/>
          <w:szCs w:val="24"/>
          <w:highlight w:val="none"/>
        </w:rPr>
      </w:pPr>
    </w:p>
    <w:p w14:paraId="6BA05159">
      <w:pPr>
        <w:pStyle w:val="32"/>
        <w:rPr>
          <w:rFonts w:hint="eastAsia" w:ascii="宋体" w:hAnsi="宋体" w:eastAsia="宋体" w:cs="宋体"/>
          <w:color w:val="auto"/>
          <w:sz w:val="24"/>
          <w:szCs w:val="24"/>
          <w:highlight w:val="none"/>
        </w:rPr>
      </w:pPr>
    </w:p>
    <w:p w14:paraId="16AC43AD">
      <w:pPr>
        <w:pStyle w:val="32"/>
        <w:rPr>
          <w:rFonts w:hint="eastAsia" w:ascii="宋体" w:hAnsi="宋体" w:eastAsia="宋体" w:cs="宋体"/>
          <w:color w:val="auto"/>
          <w:sz w:val="24"/>
          <w:szCs w:val="24"/>
          <w:highlight w:val="none"/>
        </w:rPr>
      </w:pPr>
    </w:p>
    <w:p w14:paraId="2A7C2A08">
      <w:pPr>
        <w:pStyle w:val="32"/>
        <w:rPr>
          <w:rFonts w:hint="eastAsia" w:ascii="宋体" w:hAnsi="宋体" w:eastAsia="宋体" w:cs="宋体"/>
          <w:color w:val="auto"/>
          <w:sz w:val="24"/>
          <w:szCs w:val="24"/>
          <w:highlight w:val="none"/>
        </w:rPr>
      </w:pPr>
    </w:p>
    <w:p w14:paraId="6C10FA68">
      <w:pPr>
        <w:pStyle w:val="32"/>
        <w:rPr>
          <w:rFonts w:hint="eastAsia" w:ascii="宋体" w:hAnsi="宋体" w:eastAsia="宋体" w:cs="宋体"/>
          <w:color w:val="auto"/>
          <w:sz w:val="24"/>
          <w:szCs w:val="24"/>
          <w:highlight w:val="none"/>
        </w:rPr>
      </w:pPr>
    </w:p>
    <w:p w14:paraId="67288A55">
      <w:pPr>
        <w:pStyle w:val="32"/>
        <w:rPr>
          <w:rFonts w:hint="eastAsia" w:ascii="宋体" w:hAnsi="宋体" w:eastAsia="宋体" w:cs="宋体"/>
          <w:color w:val="auto"/>
          <w:sz w:val="24"/>
          <w:szCs w:val="24"/>
          <w:highlight w:val="none"/>
        </w:rPr>
      </w:pPr>
    </w:p>
    <w:p w14:paraId="5AC83109">
      <w:pPr>
        <w:pStyle w:val="32"/>
        <w:rPr>
          <w:rFonts w:hint="eastAsia" w:ascii="宋体" w:hAnsi="宋体" w:eastAsia="宋体" w:cs="宋体"/>
          <w:color w:val="auto"/>
          <w:sz w:val="24"/>
          <w:szCs w:val="24"/>
          <w:highlight w:val="none"/>
        </w:rPr>
      </w:pPr>
    </w:p>
    <w:p w14:paraId="0D4C19EB">
      <w:pPr>
        <w:pStyle w:val="32"/>
        <w:rPr>
          <w:rFonts w:hint="eastAsia" w:ascii="宋体" w:hAnsi="宋体" w:eastAsia="宋体" w:cs="宋体"/>
          <w:color w:val="auto"/>
          <w:sz w:val="24"/>
          <w:szCs w:val="24"/>
          <w:highlight w:val="none"/>
        </w:rPr>
      </w:pPr>
    </w:p>
    <w:p w14:paraId="34D82773">
      <w:pPr>
        <w:pStyle w:val="32"/>
        <w:rPr>
          <w:rFonts w:hint="eastAsia" w:ascii="宋体" w:hAnsi="宋体" w:eastAsia="宋体" w:cs="宋体"/>
          <w:color w:val="auto"/>
          <w:sz w:val="24"/>
          <w:szCs w:val="24"/>
          <w:highlight w:val="none"/>
        </w:rPr>
      </w:pPr>
    </w:p>
    <w:p w14:paraId="74CF0251">
      <w:pPr>
        <w:pStyle w:val="32"/>
        <w:rPr>
          <w:rFonts w:hint="eastAsia" w:ascii="宋体" w:hAnsi="宋体" w:eastAsia="宋体" w:cs="宋体"/>
          <w:color w:val="auto"/>
          <w:sz w:val="24"/>
          <w:szCs w:val="24"/>
          <w:highlight w:val="none"/>
        </w:rPr>
      </w:pPr>
    </w:p>
    <w:p w14:paraId="257FD1CB">
      <w:pPr>
        <w:pStyle w:val="32"/>
        <w:rPr>
          <w:rFonts w:hint="eastAsia" w:ascii="宋体" w:hAnsi="宋体" w:eastAsia="宋体" w:cs="宋体"/>
          <w:color w:val="auto"/>
          <w:sz w:val="24"/>
          <w:szCs w:val="24"/>
          <w:highlight w:val="none"/>
        </w:rPr>
      </w:pPr>
    </w:p>
    <w:p w14:paraId="7C0DB693">
      <w:pPr>
        <w:pStyle w:val="32"/>
        <w:rPr>
          <w:rFonts w:hint="eastAsia" w:ascii="宋体" w:hAnsi="宋体" w:eastAsia="宋体" w:cs="宋体"/>
          <w:color w:val="auto"/>
          <w:sz w:val="24"/>
          <w:szCs w:val="24"/>
          <w:highlight w:val="none"/>
        </w:rPr>
      </w:pPr>
    </w:p>
    <w:p w14:paraId="7541B78E">
      <w:pPr>
        <w:pStyle w:val="32"/>
        <w:rPr>
          <w:rFonts w:hint="eastAsia" w:ascii="宋体" w:hAnsi="宋体" w:eastAsia="宋体" w:cs="宋体"/>
          <w:color w:val="auto"/>
          <w:sz w:val="24"/>
          <w:szCs w:val="24"/>
          <w:highlight w:val="none"/>
        </w:rPr>
      </w:pPr>
    </w:p>
    <w:p w14:paraId="4ADC5575">
      <w:pPr>
        <w:pStyle w:val="32"/>
        <w:rPr>
          <w:rFonts w:hint="eastAsia" w:ascii="宋体" w:hAnsi="宋体" w:eastAsia="宋体" w:cs="宋体"/>
          <w:color w:val="auto"/>
          <w:sz w:val="24"/>
          <w:szCs w:val="24"/>
          <w:highlight w:val="none"/>
        </w:rPr>
      </w:pPr>
    </w:p>
    <w:p w14:paraId="4D3FA307">
      <w:pPr>
        <w:pStyle w:val="32"/>
        <w:rPr>
          <w:rFonts w:hint="eastAsia" w:ascii="宋体" w:hAnsi="宋体" w:eastAsia="宋体" w:cs="宋体"/>
          <w:color w:val="auto"/>
          <w:sz w:val="24"/>
          <w:szCs w:val="24"/>
          <w:highlight w:val="none"/>
        </w:rPr>
      </w:pPr>
    </w:p>
    <w:p w14:paraId="12C82BAE">
      <w:pPr>
        <w:pStyle w:val="32"/>
        <w:rPr>
          <w:rFonts w:hint="eastAsia" w:ascii="宋体" w:hAnsi="宋体" w:eastAsia="宋体" w:cs="宋体"/>
          <w:color w:val="auto"/>
          <w:sz w:val="24"/>
          <w:szCs w:val="24"/>
          <w:highlight w:val="none"/>
        </w:rPr>
      </w:pPr>
    </w:p>
    <w:p w14:paraId="0B09223F">
      <w:pPr>
        <w:pStyle w:val="32"/>
        <w:rPr>
          <w:rFonts w:hint="eastAsia" w:ascii="宋体" w:hAnsi="宋体" w:eastAsia="宋体" w:cs="宋体"/>
          <w:color w:val="auto"/>
          <w:sz w:val="24"/>
          <w:szCs w:val="24"/>
          <w:highlight w:val="none"/>
        </w:rPr>
      </w:pPr>
    </w:p>
    <w:p w14:paraId="365A529E">
      <w:pPr>
        <w:pStyle w:val="32"/>
        <w:rPr>
          <w:rFonts w:hint="eastAsia" w:ascii="宋体" w:hAnsi="宋体" w:eastAsia="宋体" w:cs="宋体"/>
          <w:color w:val="auto"/>
          <w:sz w:val="24"/>
          <w:szCs w:val="24"/>
          <w:highlight w:val="none"/>
        </w:rPr>
      </w:pPr>
    </w:p>
    <w:p w14:paraId="327C1011">
      <w:pPr>
        <w:pStyle w:val="32"/>
        <w:rPr>
          <w:rFonts w:hint="eastAsia" w:ascii="宋体" w:hAnsi="宋体" w:eastAsia="宋体" w:cs="宋体"/>
          <w:color w:val="auto"/>
          <w:sz w:val="24"/>
          <w:szCs w:val="24"/>
          <w:highlight w:val="none"/>
        </w:rPr>
      </w:pPr>
    </w:p>
    <w:p w14:paraId="455D9355">
      <w:pPr>
        <w:pStyle w:val="32"/>
        <w:rPr>
          <w:rFonts w:hint="eastAsia" w:ascii="宋体" w:hAnsi="宋体" w:eastAsia="宋体" w:cs="宋体"/>
          <w:color w:val="auto"/>
          <w:sz w:val="24"/>
          <w:szCs w:val="24"/>
          <w:highlight w:val="none"/>
        </w:rPr>
      </w:pPr>
    </w:p>
    <w:p w14:paraId="452E061C">
      <w:pPr>
        <w:pStyle w:val="32"/>
        <w:rPr>
          <w:rFonts w:hint="eastAsia" w:ascii="宋体" w:hAnsi="宋体" w:eastAsia="宋体" w:cs="宋体"/>
          <w:color w:val="auto"/>
          <w:sz w:val="24"/>
          <w:szCs w:val="24"/>
          <w:highlight w:val="none"/>
        </w:rPr>
      </w:pPr>
    </w:p>
    <w:p w14:paraId="2D262480">
      <w:pPr>
        <w:pStyle w:val="32"/>
        <w:rPr>
          <w:rFonts w:hint="eastAsia" w:ascii="宋体" w:hAnsi="宋体" w:eastAsia="宋体" w:cs="宋体"/>
          <w:color w:val="auto"/>
          <w:sz w:val="24"/>
          <w:szCs w:val="24"/>
          <w:highlight w:val="none"/>
        </w:rPr>
      </w:pPr>
    </w:p>
    <w:p w14:paraId="15CBF3A1">
      <w:pPr>
        <w:pStyle w:val="32"/>
        <w:rPr>
          <w:rFonts w:hint="eastAsia" w:ascii="宋体" w:hAnsi="宋体" w:eastAsia="宋体" w:cs="宋体"/>
          <w:color w:val="auto"/>
          <w:sz w:val="24"/>
          <w:szCs w:val="24"/>
          <w:highlight w:val="none"/>
        </w:rPr>
      </w:pPr>
    </w:p>
    <w:p w14:paraId="00DD1AF8">
      <w:pPr>
        <w:pStyle w:val="32"/>
        <w:rPr>
          <w:rFonts w:hint="eastAsia" w:ascii="宋体" w:hAnsi="宋体" w:eastAsia="宋体" w:cs="宋体"/>
          <w:color w:val="auto"/>
          <w:sz w:val="24"/>
          <w:szCs w:val="24"/>
          <w:highlight w:val="none"/>
        </w:rPr>
      </w:pPr>
    </w:p>
    <w:p w14:paraId="2BFC0B8C">
      <w:pPr>
        <w:pStyle w:val="32"/>
        <w:rPr>
          <w:rFonts w:hint="eastAsia" w:ascii="宋体" w:hAnsi="宋体" w:eastAsia="宋体" w:cs="宋体"/>
          <w:color w:val="auto"/>
          <w:sz w:val="24"/>
          <w:szCs w:val="24"/>
          <w:highlight w:val="none"/>
        </w:rPr>
      </w:pPr>
    </w:p>
    <w:p w14:paraId="7850332A">
      <w:pPr>
        <w:pStyle w:val="32"/>
        <w:rPr>
          <w:rFonts w:hint="eastAsia" w:ascii="宋体" w:hAnsi="宋体" w:eastAsia="宋体" w:cs="宋体"/>
          <w:color w:val="auto"/>
          <w:sz w:val="24"/>
          <w:szCs w:val="24"/>
          <w:highlight w:val="none"/>
        </w:rPr>
      </w:pPr>
    </w:p>
    <w:p w14:paraId="24211887">
      <w:pPr>
        <w:pStyle w:val="5"/>
        <w:spacing w:line="360" w:lineRule="auto"/>
        <w:rPr>
          <w:rFonts w:hint="eastAsia" w:ascii="宋体" w:hAnsi="宋体" w:eastAsia="宋体" w:cs="宋体"/>
          <w:b/>
          <w:bCs w:val="0"/>
          <w:color w:val="auto"/>
          <w:sz w:val="24"/>
          <w:szCs w:val="24"/>
          <w:highlight w:val="none"/>
        </w:rPr>
      </w:pPr>
      <w:bookmarkStart w:id="375" w:name="_Toc32087"/>
      <w:bookmarkStart w:id="376" w:name="_Toc66"/>
      <w:bookmarkStart w:id="377" w:name="_Toc29805"/>
      <w:bookmarkStart w:id="378" w:name="_Toc21080"/>
      <w:r>
        <w:rPr>
          <w:rFonts w:hint="eastAsia" w:ascii="宋体" w:hAnsi="宋体" w:eastAsia="宋体" w:cs="宋体"/>
          <w:b/>
          <w:bCs w:val="0"/>
          <w:color w:val="auto"/>
          <w:sz w:val="24"/>
          <w:szCs w:val="24"/>
          <w:highlight w:val="none"/>
        </w:rPr>
        <w:t>附表</w:t>
      </w:r>
      <w:r>
        <w:rPr>
          <w:rFonts w:hint="eastAsia" w:ascii="宋体" w:hAnsi="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：项目管理机构</w:t>
      </w:r>
      <w:bookmarkEnd w:id="375"/>
    </w:p>
    <w:p w14:paraId="39D2C303">
      <w:pPr>
        <w:spacing w:before="75" w:line="360" w:lineRule="auto"/>
        <w:ind w:left="2977"/>
        <w:rPr>
          <w:rFonts w:hint="eastAsia" w:ascii="宋体" w:hAnsi="宋体" w:eastAsia="宋体" w:cs="宋体"/>
          <w:color w:val="auto"/>
          <w:highlight w:val="none"/>
        </w:rPr>
      </w:pPr>
      <w:r>
        <w:rPr>
          <w:rFonts w:hint="eastAsia" w:ascii="宋体" w:hAnsi="宋体" w:eastAsia="宋体" w:cs="宋体"/>
          <w:b/>
          <w:snapToGrid w:val="0"/>
          <w:color w:val="auto"/>
          <w:kern w:val="0"/>
          <w:sz w:val="24"/>
          <w:szCs w:val="20"/>
          <w:highlight w:val="none"/>
        </w:rPr>
        <w:t>拟投入项目管理人员情况表</w:t>
      </w:r>
    </w:p>
    <w:tbl>
      <w:tblPr>
        <w:tblStyle w:val="35"/>
        <w:tblW w:w="8616" w:type="dxa"/>
        <w:tblInd w:w="9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8"/>
        <w:gridCol w:w="1120"/>
        <w:gridCol w:w="1070"/>
        <w:gridCol w:w="1294"/>
        <w:gridCol w:w="1874"/>
        <w:gridCol w:w="2190"/>
      </w:tblGrid>
      <w:tr w14:paraId="4C98C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 w:hRule="atLeast"/>
        </w:trPr>
        <w:tc>
          <w:tcPr>
            <w:tcW w:w="1068" w:type="dxa"/>
            <w:tcBorders>
              <w:left w:val="single" w:color="000000" w:sz="6" w:space="0"/>
            </w:tcBorders>
            <w:noWrap w:val="0"/>
            <w:vAlign w:val="center"/>
          </w:tcPr>
          <w:p w14:paraId="75A2DB21">
            <w:pPr>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20" w:type="dxa"/>
            <w:noWrap w:val="0"/>
            <w:vAlign w:val="center"/>
          </w:tcPr>
          <w:p w14:paraId="24771D6A">
            <w:pPr>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1070" w:type="dxa"/>
            <w:noWrap w:val="0"/>
            <w:vAlign w:val="center"/>
          </w:tcPr>
          <w:p w14:paraId="72CFF3FE">
            <w:pPr>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294" w:type="dxa"/>
            <w:noWrap w:val="0"/>
            <w:vAlign w:val="center"/>
          </w:tcPr>
          <w:p w14:paraId="6B94E979">
            <w:pPr>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874" w:type="dxa"/>
            <w:noWrap w:val="0"/>
            <w:vAlign w:val="center"/>
          </w:tcPr>
          <w:p w14:paraId="4D47CEF9">
            <w:pPr>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资格证书编号</w:t>
            </w:r>
          </w:p>
        </w:tc>
        <w:tc>
          <w:tcPr>
            <w:tcW w:w="2190" w:type="dxa"/>
            <w:tcBorders>
              <w:right w:val="single" w:color="000000" w:sz="6" w:space="0"/>
            </w:tcBorders>
            <w:noWrap w:val="0"/>
            <w:vAlign w:val="center"/>
          </w:tcPr>
          <w:p w14:paraId="1D272C95">
            <w:pPr>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拟在本项目中担任的工作或岗位</w:t>
            </w:r>
          </w:p>
        </w:tc>
      </w:tr>
      <w:tr w14:paraId="1E3D4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 w:hRule="atLeast"/>
        </w:trPr>
        <w:tc>
          <w:tcPr>
            <w:tcW w:w="1068" w:type="dxa"/>
            <w:tcBorders>
              <w:left w:val="single" w:color="000000" w:sz="6" w:space="0"/>
            </w:tcBorders>
            <w:noWrap w:val="0"/>
            <w:vAlign w:val="center"/>
          </w:tcPr>
          <w:p w14:paraId="43D1B85C">
            <w:pPr>
              <w:bidi w:val="0"/>
              <w:spacing w:line="360" w:lineRule="auto"/>
              <w:jc w:val="center"/>
              <w:rPr>
                <w:rFonts w:hint="eastAsia" w:ascii="宋体" w:hAnsi="宋体" w:eastAsia="宋体" w:cs="宋体"/>
                <w:color w:val="auto"/>
                <w:sz w:val="24"/>
                <w:szCs w:val="24"/>
                <w:highlight w:val="none"/>
                <w:lang w:val="en-US" w:eastAsia="zh-CN"/>
              </w:rPr>
            </w:pPr>
          </w:p>
        </w:tc>
        <w:tc>
          <w:tcPr>
            <w:tcW w:w="1120" w:type="dxa"/>
            <w:noWrap w:val="0"/>
            <w:vAlign w:val="center"/>
          </w:tcPr>
          <w:p w14:paraId="391EE6C1">
            <w:pPr>
              <w:bidi w:val="0"/>
              <w:spacing w:line="360" w:lineRule="auto"/>
              <w:jc w:val="center"/>
              <w:rPr>
                <w:rFonts w:hint="eastAsia" w:ascii="宋体" w:hAnsi="宋体" w:eastAsia="宋体" w:cs="宋体"/>
                <w:color w:val="auto"/>
                <w:sz w:val="24"/>
                <w:szCs w:val="24"/>
                <w:highlight w:val="none"/>
                <w:lang w:val="en-US" w:eastAsia="zh-CN"/>
              </w:rPr>
            </w:pPr>
          </w:p>
        </w:tc>
        <w:tc>
          <w:tcPr>
            <w:tcW w:w="1070" w:type="dxa"/>
            <w:noWrap w:val="0"/>
            <w:vAlign w:val="center"/>
          </w:tcPr>
          <w:p w14:paraId="6827AED8">
            <w:pPr>
              <w:bidi w:val="0"/>
              <w:spacing w:line="360" w:lineRule="auto"/>
              <w:jc w:val="center"/>
              <w:rPr>
                <w:rFonts w:hint="eastAsia" w:ascii="宋体" w:hAnsi="宋体" w:eastAsia="宋体" w:cs="宋体"/>
                <w:color w:val="auto"/>
                <w:sz w:val="24"/>
                <w:szCs w:val="24"/>
                <w:highlight w:val="none"/>
                <w:lang w:val="en-US" w:eastAsia="zh-CN"/>
              </w:rPr>
            </w:pPr>
          </w:p>
        </w:tc>
        <w:tc>
          <w:tcPr>
            <w:tcW w:w="1294" w:type="dxa"/>
            <w:noWrap w:val="0"/>
            <w:vAlign w:val="center"/>
          </w:tcPr>
          <w:p w14:paraId="54D32073">
            <w:pPr>
              <w:bidi w:val="0"/>
              <w:spacing w:line="360" w:lineRule="auto"/>
              <w:jc w:val="center"/>
              <w:rPr>
                <w:rFonts w:hint="eastAsia" w:ascii="宋体" w:hAnsi="宋体" w:eastAsia="宋体" w:cs="宋体"/>
                <w:color w:val="auto"/>
                <w:sz w:val="24"/>
                <w:szCs w:val="24"/>
                <w:highlight w:val="none"/>
                <w:lang w:val="en-US" w:eastAsia="zh-CN"/>
              </w:rPr>
            </w:pPr>
          </w:p>
        </w:tc>
        <w:tc>
          <w:tcPr>
            <w:tcW w:w="1874" w:type="dxa"/>
            <w:noWrap w:val="0"/>
            <w:vAlign w:val="center"/>
          </w:tcPr>
          <w:p w14:paraId="154585A3">
            <w:pPr>
              <w:bidi w:val="0"/>
              <w:spacing w:line="360" w:lineRule="auto"/>
              <w:jc w:val="center"/>
              <w:rPr>
                <w:rFonts w:hint="eastAsia" w:ascii="宋体" w:hAnsi="宋体" w:eastAsia="宋体" w:cs="宋体"/>
                <w:color w:val="auto"/>
                <w:sz w:val="24"/>
                <w:szCs w:val="24"/>
                <w:highlight w:val="none"/>
                <w:lang w:val="en-US" w:eastAsia="zh-CN"/>
              </w:rPr>
            </w:pPr>
          </w:p>
        </w:tc>
        <w:tc>
          <w:tcPr>
            <w:tcW w:w="2190" w:type="dxa"/>
            <w:tcBorders>
              <w:right w:val="single" w:color="000000" w:sz="6" w:space="0"/>
            </w:tcBorders>
            <w:noWrap w:val="0"/>
            <w:vAlign w:val="center"/>
          </w:tcPr>
          <w:p w14:paraId="7F5EA2B6">
            <w:pPr>
              <w:bidi w:val="0"/>
              <w:spacing w:line="360" w:lineRule="auto"/>
              <w:jc w:val="center"/>
              <w:rPr>
                <w:rFonts w:hint="eastAsia" w:ascii="宋体" w:hAnsi="宋体" w:eastAsia="宋体" w:cs="宋体"/>
                <w:color w:val="auto"/>
                <w:sz w:val="24"/>
                <w:szCs w:val="24"/>
                <w:highlight w:val="none"/>
                <w:lang w:val="en-US" w:eastAsia="zh-CN"/>
              </w:rPr>
            </w:pPr>
          </w:p>
        </w:tc>
      </w:tr>
      <w:tr w14:paraId="5CB8F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 w:hRule="atLeast"/>
        </w:trPr>
        <w:tc>
          <w:tcPr>
            <w:tcW w:w="1068" w:type="dxa"/>
            <w:tcBorders>
              <w:left w:val="single" w:color="000000" w:sz="6" w:space="0"/>
            </w:tcBorders>
            <w:noWrap w:val="0"/>
            <w:vAlign w:val="center"/>
          </w:tcPr>
          <w:p w14:paraId="7FD564EC">
            <w:pPr>
              <w:bidi w:val="0"/>
              <w:spacing w:line="360" w:lineRule="auto"/>
              <w:jc w:val="center"/>
              <w:rPr>
                <w:rFonts w:hint="eastAsia" w:ascii="宋体" w:hAnsi="宋体" w:eastAsia="宋体" w:cs="宋体"/>
                <w:color w:val="auto"/>
                <w:sz w:val="24"/>
                <w:szCs w:val="24"/>
                <w:highlight w:val="none"/>
                <w:lang w:val="en-US" w:eastAsia="zh-CN"/>
              </w:rPr>
            </w:pPr>
          </w:p>
        </w:tc>
        <w:tc>
          <w:tcPr>
            <w:tcW w:w="1120" w:type="dxa"/>
            <w:noWrap w:val="0"/>
            <w:vAlign w:val="center"/>
          </w:tcPr>
          <w:p w14:paraId="2C8AC2BC">
            <w:pPr>
              <w:bidi w:val="0"/>
              <w:spacing w:line="360" w:lineRule="auto"/>
              <w:jc w:val="center"/>
              <w:rPr>
                <w:rFonts w:hint="eastAsia" w:ascii="宋体" w:hAnsi="宋体" w:eastAsia="宋体" w:cs="宋体"/>
                <w:color w:val="auto"/>
                <w:sz w:val="24"/>
                <w:szCs w:val="24"/>
                <w:highlight w:val="none"/>
                <w:lang w:val="en-US" w:eastAsia="zh-CN"/>
              </w:rPr>
            </w:pPr>
          </w:p>
        </w:tc>
        <w:tc>
          <w:tcPr>
            <w:tcW w:w="1070" w:type="dxa"/>
            <w:noWrap w:val="0"/>
            <w:vAlign w:val="center"/>
          </w:tcPr>
          <w:p w14:paraId="3BCA905D">
            <w:pPr>
              <w:bidi w:val="0"/>
              <w:spacing w:line="360" w:lineRule="auto"/>
              <w:jc w:val="center"/>
              <w:rPr>
                <w:rFonts w:hint="eastAsia" w:ascii="宋体" w:hAnsi="宋体" w:eastAsia="宋体" w:cs="宋体"/>
                <w:color w:val="auto"/>
                <w:sz w:val="24"/>
                <w:szCs w:val="24"/>
                <w:highlight w:val="none"/>
                <w:lang w:val="en-US" w:eastAsia="zh-CN"/>
              </w:rPr>
            </w:pPr>
          </w:p>
        </w:tc>
        <w:tc>
          <w:tcPr>
            <w:tcW w:w="1294" w:type="dxa"/>
            <w:noWrap w:val="0"/>
            <w:vAlign w:val="center"/>
          </w:tcPr>
          <w:p w14:paraId="02651A34">
            <w:pPr>
              <w:bidi w:val="0"/>
              <w:spacing w:line="360" w:lineRule="auto"/>
              <w:jc w:val="center"/>
              <w:rPr>
                <w:rFonts w:hint="eastAsia" w:ascii="宋体" w:hAnsi="宋体" w:eastAsia="宋体" w:cs="宋体"/>
                <w:color w:val="auto"/>
                <w:sz w:val="24"/>
                <w:szCs w:val="24"/>
                <w:highlight w:val="none"/>
                <w:lang w:val="en-US" w:eastAsia="zh-CN"/>
              </w:rPr>
            </w:pPr>
          </w:p>
        </w:tc>
        <w:tc>
          <w:tcPr>
            <w:tcW w:w="1874" w:type="dxa"/>
            <w:noWrap w:val="0"/>
            <w:vAlign w:val="center"/>
          </w:tcPr>
          <w:p w14:paraId="272A940A">
            <w:pPr>
              <w:bidi w:val="0"/>
              <w:spacing w:line="360" w:lineRule="auto"/>
              <w:jc w:val="center"/>
              <w:rPr>
                <w:rFonts w:hint="eastAsia" w:ascii="宋体" w:hAnsi="宋体" w:eastAsia="宋体" w:cs="宋体"/>
                <w:color w:val="auto"/>
                <w:sz w:val="24"/>
                <w:szCs w:val="24"/>
                <w:highlight w:val="none"/>
                <w:lang w:val="en-US" w:eastAsia="zh-CN"/>
              </w:rPr>
            </w:pPr>
          </w:p>
        </w:tc>
        <w:tc>
          <w:tcPr>
            <w:tcW w:w="2190" w:type="dxa"/>
            <w:tcBorders>
              <w:right w:val="single" w:color="000000" w:sz="6" w:space="0"/>
            </w:tcBorders>
            <w:noWrap w:val="0"/>
            <w:vAlign w:val="center"/>
          </w:tcPr>
          <w:p w14:paraId="3EACF0D1">
            <w:pPr>
              <w:bidi w:val="0"/>
              <w:spacing w:line="360" w:lineRule="auto"/>
              <w:jc w:val="center"/>
              <w:rPr>
                <w:rFonts w:hint="eastAsia" w:ascii="宋体" w:hAnsi="宋体" w:eastAsia="宋体" w:cs="宋体"/>
                <w:color w:val="auto"/>
                <w:sz w:val="24"/>
                <w:szCs w:val="24"/>
                <w:highlight w:val="none"/>
                <w:lang w:val="en-US" w:eastAsia="zh-CN"/>
              </w:rPr>
            </w:pPr>
          </w:p>
        </w:tc>
      </w:tr>
      <w:tr w14:paraId="43D29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 w:hRule="atLeast"/>
        </w:trPr>
        <w:tc>
          <w:tcPr>
            <w:tcW w:w="1068" w:type="dxa"/>
            <w:tcBorders>
              <w:left w:val="single" w:color="000000" w:sz="6" w:space="0"/>
            </w:tcBorders>
            <w:noWrap w:val="0"/>
            <w:vAlign w:val="center"/>
          </w:tcPr>
          <w:p w14:paraId="70F8A1F4">
            <w:pPr>
              <w:bidi w:val="0"/>
              <w:spacing w:line="360" w:lineRule="auto"/>
              <w:jc w:val="center"/>
              <w:rPr>
                <w:rFonts w:hint="eastAsia" w:ascii="宋体" w:hAnsi="宋体" w:eastAsia="宋体" w:cs="宋体"/>
                <w:color w:val="auto"/>
                <w:sz w:val="24"/>
                <w:szCs w:val="24"/>
                <w:highlight w:val="none"/>
                <w:lang w:val="en-US" w:eastAsia="zh-CN"/>
              </w:rPr>
            </w:pPr>
          </w:p>
        </w:tc>
        <w:tc>
          <w:tcPr>
            <w:tcW w:w="1120" w:type="dxa"/>
            <w:noWrap w:val="0"/>
            <w:vAlign w:val="center"/>
          </w:tcPr>
          <w:p w14:paraId="0399895A">
            <w:pPr>
              <w:bidi w:val="0"/>
              <w:spacing w:line="360" w:lineRule="auto"/>
              <w:jc w:val="center"/>
              <w:rPr>
                <w:rFonts w:hint="eastAsia" w:ascii="宋体" w:hAnsi="宋体" w:eastAsia="宋体" w:cs="宋体"/>
                <w:color w:val="auto"/>
                <w:sz w:val="24"/>
                <w:szCs w:val="24"/>
                <w:highlight w:val="none"/>
                <w:lang w:val="en-US" w:eastAsia="zh-CN"/>
              </w:rPr>
            </w:pPr>
          </w:p>
        </w:tc>
        <w:tc>
          <w:tcPr>
            <w:tcW w:w="1070" w:type="dxa"/>
            <w:noWrap w:val="0"/>
            <w:vAlign w:val="center"/>
          </w:tcPr>
          <w:p w14:paraId="2EE7AE84">
            <w:pPr>
              <w:bidi w:val="0"/>
              <w:spacing w:line="360" w:lineRule="auto"/>
              <w:jc w:val="center"/>
              <w:rPr>
                <w:rFonts w:hint="eastAsia" w:ascii="宋体" w:hAnsi="宋体" w:eastAsia="宋体" w:cs="宋体"/>
                <w:color w:val="auto"/>
                <w:sz w:val="24"/>
                <w:szCs w:val="24"/>
                <w:highlight w:val="none"/>
                <w:lang w:val="en-US" w:eastAsia="zh-CN"/>
              </w:rPr>
            </w:pPr>
          </w:p>
        </w:tc>
        <w:tc>
          <w:tcPr>
            <w:tcW w:w="1294" w:type="dxa"/>
            <w:noWrap w:val="0"/>
            <w:vAlign w:val="center"/>
          </w:tcPr>
          <w:p w14:paraId="4AF0931D">
            <w:pPr>
              <w:bidi w:val="0"/>
              <w:spacing w:line="360" w:lineRule="auto"/>
              <w:jc w:val="center"/>
              <w:rPr>
                <w:rFonts w:hint="eastAsia" w:ascii="宋体" w:hAnsi="宋体" w:eastAsia="宋体" w:cs="宋体"/>
                <w:color w:val="auto"/>
                <w:sz w:val="24"/>
                <w:szCs w:val="24"/>
                <w:highlight w:val="none"/>
                <w:lang w:val="en-US" w:eastAsia="zh-CN"/>
              </w:rPr>
            </w:pPr>
          </w:p>
        </w:tc>
        <w:tc>
          <w:tcPr>
            <w:tcW w:w="1874" w:type="dxa"/>
            <w:noWrap w:val="0"/>
            <w:vAlign w:val="center"/>
          </w:tcPr>
          <w:p w14:paraId="7746D79A">
            <w:pPr>
              <w:bidi w:val="0"/>
              <w:spacing w:line="360" w:lineRule="auto"/>
              <w:jc w:val="center"/>
              <w:rPr>
                <w:rFonts w:hint="eastAsia" w:ascii="宋体" w:hAnsi="宋体" w:eastAsia="宋体" w:cs="宋体"/>
                <w:color w:val="auto"/>
                <w:sz w:val="24"/>
                <w:szCs w:val="24"/>
                <w:highlight w:val="none"/>
                <w:lang w:val="en-US" w:eastAsia="zh-CN"/>
              </w:rPr>
            </w:pPr>
          </w:p>
        </w:tc>
        <w:tc>
          <w:tcPr>
            <w:tcW w:w="2190" w:type="dxa"/>
            <w:tcBorders>
              <w:right w:val="single" w:color="000000" w:sz="6" w:space="0"/>
            </w:tcBorders>
            <w:noWrap w:val="0"/>
            <w:vAlign w:val="center"/>
          </w:tcPr>
          <w:p w14:paraId="2525180B">
            <w:pPr>
              <w:bidi w:val="0"/>
              <w:spacing w:line="360" w:lineRule="auto"/>
              <w:jc w:val="center"/>
              <w:rPr>
                <w:rFonts w:hint="eastAsia" w:ascii="宋体" w:hAnsi="宋体" w:eastAsia="宋体" w:cs="宋体"/>
                <w:color w:val="auto"/>
                <w:sz w:val="24"/>
                <w:szCs w:val="24"/>
                <w:highlight w:val="none"/>
                <w:lang w:val="en-US" w:eastAsia="zh-CN"/>
              </w:rPr>
            </w:pPr>
          </w:p>
        </w:tc>
      </w:tr>
      <w:tr w14:paraId="1127D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 w:hRule="atLeast"/>
        </w:trPr>
        <w:tc>
          <w:tcPr>
            <w:tcW w:w="1068" w:type="dxa"/>
            <w:tcBorders>
              <w:left w:val="single" w:color="000000" w:sz="6" w:space="0"/>
            </w:tcBorders>
            <w:noWrap w:val="0"/>
            <w:vAlign w:val="center"/>
          </w:tcPr>
          <w:p w14:paraId="0619DE9F">
            <w:pPr>
              <w:bidi w:val="0"/>
              <w:spacing w:line="360" w:lineRule="auto"/>
              <w:jc w:val="center"/>
              <w:rPr>
                <w:rFonts w:hint="eastAsia" w:ascii="宋体" w:hAnsi="宋体" w:eastAsia="宋体" w:cs="宋体"/>
                <w:color w:val="auto"/>
                <w:sz w:val="24"/>
                <w:szCs w:val="24"/>
                <w:highlight w:val="none"/>
                <w:lang w:val="en-US" w:eastAsia="zh-CN"/>
              </w:rPr>
            </w:pPr>
          </w:p>
        </w:tc>
        <w:tc>
          <w:tcPr>
            <w:tcW w:w="1120" w:type="dxa"/>
            <w:noWrap w:val="0"/>
            <w:vAlign w:val="center"/>
          </w:tcPr>
          <w:p w14:paraId="27418BE0">
            <w:pPr>
              <w:bidi w:val="0"/>
              <w:spacing w:line="360" w:lineRule="auto"/>
              <w:jc w:val="center"/>
              <w:rPr>
                <w:rFonts w:hint="eastAsia" w:ascii="宋体" w:hAnsi="宋体" w:eastAsia="宋体" w:cs="宋体"/>
                <w:color w:val="auto"/>
                <w:sz w:val="24"/>
                <w:szCs w:val="24"/>
                <w:highlight w:val="none"/>
                <w:lang w:val="en-US" w:eastAsia="zh-CN"/>
              </w:rPr>
            </w:pPr>
          </w:p>
        </w:tc>
        <w:tc>
          <w:tcPr>
            <w:tcW w:w="1070" w:type="dxa"/>
            <w:noWrap w:val="0"/>
            <w:vAlign w:val="center"/>
          </w:tcPr>
          <w:p w14:paraId="42B48A4F">
            <w:pPr>
              <w:bidi w:val="0"/>
              <w:spacing w:line="360" w:lineRule="auto"/>
              <w:jc w:val="center"/>
              <w:rPr>
                <w:rFonts w:hint="eastAsia" w:ascii="宋体" w:hAnsi="宋体" w:eastAsia="宋体" w:cs="宋体"/>
                <w:color w:val="auto"/>
                <w:sz w:val="24"/>
                <w:szCs w:val="24"/>
                <w:highlight w:val="none"/>
                <w:lang w:val="en-US" w:eastAsia="zh-CN"/>
              </w:rPr>
            </w:pPr>
          </w:p>
        </w:tc>
        <w:tc>
          <w:tcPr>
            <w:tcW w:w="1294" w:type="dxa"/>
            <w:noWrap w:val="0"/>
            <w:vAlign w:val="center"/>
          </w:tcPr>
          <w:p w14:paraId="62EED825">
            <w:pPr>
              <w:bidi w:val="0"/>
              <w:spacing w:line="360" w:lineRule="auto"/>
              <w:jc w:val="center"/>
              <w:rPr>
                <w:rFonts w:hint="eastAsia" w:ascii="宋体" w:hAnsi="宋体" w:eastAsia="宋体" w:cs="宋体"/>
                <w:color w:val="auto"/>
                <w:sz w:val="24"/>
                <w:szCs w:val="24"/>
                <w:highlight w:val="none"/>
                <w:lang w:val="en-US" w:eastAsia="zh-CN"/>
              </w:rPr>
            </w:pPr>
          </w:p>
        </w:tc>
        <w:tc>
          <w:tcPr>
            <w:tcW w:w="1874" w:type="dxa"/>
            <w:noWrap w:val="0"/>
            <w:vAlign w:val="center"/>
          </w:tcPr>
          <w:p w14:paraId="45FD4D30">
            <w:pPr>
              <w:bidi w:val="0"/>
              <w:spacing w:line="360" w:lineRule="auto"/>
              <w:jc w:val="center"/>
              <w:rPr>
                <w:rFonts w:hint="eastAsia" w:ascii="宋体" w:hAnsi="宋体" w:eastAsia="宋体" w:cs="宋体"/>
                <w:color w:val="auto"/>
                <w:sz w:val="24"/>
                <w:szCs w:val="24"/>
                <w:highlight w:val="none"/>
                <w:lang w:val="en-US" w:eastAsia="zh-CN"/>
              </w:rPr>
            </w:pPr>
          </w:p>
        </w:tc>
        <w:tc>
          <w:tcPr>
            <w:tcW w:w="2190" w:type="dxa"/>
            <w:tcBorders>
              <w:right w:val="single" w:color="000000" w:sz="6" w:space="0"/>
            </w:tcBorders>
            <w:noWrap w:val="0"/>
            <w:vAlign w:val="center"/>
          </w:tcPr>
          <w:p w14:paraId="7AF18018">
            <w:pPr>
              <w:bidi w:val="0"/>
              <w:spacing w:line="360" w:lineRule="auto"/>
              <w:jc w:val="center"/>
              <w:rPr>
                <w:rFonts w:hint="eastAsia" w:ascii="宋体" w:hAnsi="宋体" w:eastAsia="宋体" w:cs="宋体"/>
                <w:color w:val="auto"/>
                <w:sz w:val="24"/>
                <w:szCs w:val="24"/>
                <w:highlight w:val="none"/>
                <w:lang w:val="en-US" w:eastAsia="zh-CN"/>
              </w:rPr>
            </w:pPr>
          </w:p>
        </w:tc>
      </w:tr>
      <w:tr w14:paraId="242C2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 w:hRule="atLeast"/>
        </w:trPr>
        <w:tc>
          <w:tcPr>
            <w:tcW w:w="1068" w:type="dxa"/>
            <w:tcBorders>
              <w:left w:val="single" w:color="000000" w:sz="6" w:space="0"/>
            </w:tcBorders>
            <w:noWrap w:val="0"/>
            <w:vAlign w:val="center"/>
          </w:tcPr>
          <w:p w14:paraId="7459BAA0">
            <w:pPr>
              <w:bidi w:val="0"/>
              <w:spacing w:line="360" w:lineRule="auto"/>
              <w:jc w:val="center"/>
              <w:rPr>
                <w:rFonts w:hint="eastAsia" w:ascii="宋体" w:hAnsi="宋体" w:eastAsia="宋体" w:cs="宋体"/>
                <w:color w:val="auto"/>
                <w:sz w:val="24"/>
                <w:szCs w:val="24"/>
                <w:highlight w:val="none"/>
                <w:lang w:val="en-US" w:eastAsia="zh-CN"/>
              </w:rPr>
            </w:pPr>
          </w:p>
        </w:tc>
        <w:tc>
          <w:tcPr>
            <w:tcW w:w="1120" w:type="dxa"/>
            <w:noWrap w:val="0"/>
            <w:vAlign w:val="center"/>
          </w:tcPr>
          <w:p w14:paraId="7D29FF5D">
            <w:pPr>
              <w:bidi w:val="0"/>
              <w:spacing w:line="360" w:lineRule="auto"/>
              <w:jc w:val="center"/>
              <w:rPr>
                <w:rFonts w:hint="eastAsia" w:ascii="宋体" w:hAnsi="宋体" w:eastAsia="宋体" w:cs="宋体"/>
                <w:color w:val="auto"/>
                <w:sz w:val="24"/>
                <w:szCs w:val="24"/>
                <w:highlight w:val="none"/>
                <w:lang w:val="en-US" w:eastAsia="zh-CN"/>
              </w:rPr>
            </w:pPr>
          </w:p>
        </w:tc>
        <w:tc>
          <w:tcPr>
            <w:tcW w:w="1070" w:type="dxa"/>
            <w:noWrap w:val="0"/>
            <w:vAlign w:val="center"/>
          </w:tcPr>
          <w:p w14:paraId="44606F0B">
            <w:pPr>
              <w:bidi w:val="0"/>
              <w:spacing w:line="360" w:lineRule="auto"/>
              <w:jc w:val="center"/>
              <w:rPr>
                <w:rFonts w:hint="eastAsia" w:ascii="宋体" w:hAnsi="宋体" w:eastAsia="宋体" w:cs="宋体"/>
                <w:color w:val="auto"/>
                <w:sz w:val="24"/>
                <w:szCs w:val="24"/>
                <w:highlight w:val="none"/>
                <w:lang w:val="en-US" w:eastAsia="zh-CN"/>
              </w:rPr>
            </w:pPr>
          </w:p>
        </w:tc>
        <w:tc>
          <w:tcPr>
            <w:tcW w:w="1294" w:type="dxa"/>
            <w:noWrap w:val="0"/>
            <w:vAlign w:val="center"/>
          </w:tcPr>
          <w:p w14:paraId="21C8026B">
            <w:pPr>
              <w:bidi w:val="0"/>
              <w:spacing w:line="360" w:lineRule="auto"/>
              <w:jc w:val="center"/>
              <w:rPr>
                <w:rFonts w:hint="eastAsia" w:ascii="宋体" w:hAnsi="宋体" w:eastAsia="宋体" w:cs="宋体"/>
                <w:color w:val="auto"/>
                <w:sz w:val="24"/>
                <w:szCs w:val="24"/>
                <w:highlight w:val="none"/>
                <w:lang w:val="en-US" w:eastAsia="zh-CN"/>
              </w:rPr>
            </w:pPr>
          </w:p>
        </w:tc>
        <w:tc>
          <w:tcPr>
            <w:tcW w:w="1874" w:type="dxa"/>
            <w:noWrap w:val="0"/>
            <w:vAlign w:val="center"/>
          </w:tcPr>
          <w:p w14:paraId="006AEC95">
            <w:pPr>
              <w:bidi w:val="0"/>
              <w:spacing w:line="360" w:lineRule="auto"/>
              <w:jc w:val="center"/>
              <w:rPr>
                <w:rFonts w:hint="eastAsia" w:ascii="宋体" w:hAnsi="宋体" w:eastAsia="宋体" w:cs="宋体"/>
                <w:color w:val="auto"/>
                <w:sz w:val="24"/>
                <w:szCs w:val="24"/>
                <w:highlight w:val="none"/>
                <w:lang w:val="en-US" w:eastAsia="zh-CN"/>
              </w:rPr>
            </w:pPr>
          </w:p>
        </w:tc>
        <w:tc>
          <w:tcPr>
            <w:tcW w:w="2190" w:type="dxa"/>
            <w:tcBorders>
              <w:right w:val="single" w:color="000000" w:sz="6" w:space="0"/>
            </w:tcBorders>
            <w:noWrap w:val="0"/>
            <w:vAlign w:val="center"/>
          </w:tcPr>
          <w:p w14:paraId="281A3488">
            <w:pPr>
              <w:bidi w:val="0"/>
              <w:spacing w:line="360" w:lineRule="auto"/>
              <w:jc w:val="center"/>
              <w:rPr>
                <w:rFonts w:hint="eastAsia" w:ascii="宋体" w:hAnsi="宋体" w:eastAsia="宋体" w:cs="宋体"/>
                <w:color w:val="auto"/>
                <w:sz w:val="24"/>
                <w:szCs w:val="24"/>
                <w:highlight w:val="none"/>
                <w:lang w:val="en-US" w:eastAsia="zh-CN"/>
              </w:rPr>
            </w:pPr>
          </w:p>
        </w:tc>
      </w:tr>
      <w:tr w14:paraId="4CC990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 w:hRule="atLeast"/>
        </w:trPr>
        <w:tc>
          <w:tcPr>
            <w:tcW w:w="1068" w:type="dxa"/>
            <w:tcBorders>
              <w:left w:val="single" w:color="000000" w:sz="6" w:space="0"/>
            </w:tcBorders>
            <w:noWrap w:val="0"/>
            <w:vAlign w:val="center"/>
          </w:tcPr>
          <w:p w14:paraId="27696CA0">
            <w:pPr>
              <w:bidi w:val="0"/>
              <w:spacing w:line="360" w:lineRule="auto"/>
              <w:jc w:val="center"/>
              <w:rPr>
                <w:rFonts w:hint="eastAsia" w:ascii="宋体" w:hAnsi="宋体" w:eastAsia="宋体" w:cs="宋体"/>
                <w:color w:val="auto"/>
                <w:sz w:val="24"/>
                <w:szCs w:val="24"/>
                <w:highlight w:val="none"/>
                <w:lang w:val="en-US" w:eastAsia="zh-CN"/>
              </w:rPr>
            </w:pPr>
          </w:p>
        </w:tc>
        <w:tc>
          <w:tcPr>
            <w:tcW w:w="1120" w:type="dxa"/>
            <w:noWrap w:val="0"/>
            <w:vAlign w:val="center"/>
          </w:tcPr>
          <w:p w14:paraId="5BCC708E">
            <w:pPr>
              <w:bidi w:val="0"/>
              <w:spacing w:line="360" w:lineRule="auto"/>
              <w:jc w:val="center"/>
              <w:rPr>
                <w:rFonts w:hint="eastAsia" w:ascii="宋体" w:hAnsi="宋体" w:eastAsia="宋体" w:cs="宋体"/>
                <w:color w:val="auto"/>
                <w:sz w:val="24"/>
                <w:szCs w:val="24"/>
                <w:highlight w:val="none"/>
                <w:lang w:val="en-US" w:eastAsia="zh-CN"/>
              </w:rPr>
            </w:pPr>
          </w:p>
        </w:tc>
        <w:tc>
          <w:tcPr>
            <w:tcW w:w="1070" w:type="dxa"/>
            <w:noWrap w:val="0"/>
            <w:vAlign w:val="center"/>
          </w:tcPr>
          <w:p w14:paraId="3C6DEBA9">
            <w:pPr>
              <w:bidi w:val="0"/>
              <w:spacing w:line="360" w:lineRule="auto"/>
              <w:jc w:val="center"/>
              <w:rPr>
                <w:rFonts w:hint="eastAsia" w:ascii="宋体" w:hAnsi="宋体" w:eastAsia="宋体" w:cs="宋体"/>
                <w:color w:val="auto"/>
                <w:sz w:val="24"/>
                <w:szCs w:val="24"/>
                <w:highlight w:val="none"/>
                <w:lang w:val="en-US" w:eastAsia="zh-CN"/>
              </w:rPr>
            </w:pPr>
          </w:p>
        </w:tc>
        <w:tc>
          <w:tcPr>
            <w:tcW w:w="1294" w:type="dxa"/>
            <w:noWrap w:val="0"/>
            <w:vAlign w:val="center"/>
          </w:tcPr>
          <w:p w14:paraId="6C1DE42B">
            <w:pPr>
              <w:bidi w:val="0"/>
              <w:spacing w:line="360" w:lineRule="auto"/>
              <w:jc w:val="center"/>
              <w:rPr>
                <w:rFonts w:hint="eastAsia" w:ascii="宋体" w:hAnsi="宋体" w:eastAsia="宋体" w:cs="宋体"/>
                <w:color w:val="auto"/>
                <w:sz w:val="24"/>
                <w:szCs w:val="24"/>
                <w:highlight w:val="none"/>
                <w:lang w:val="en-US" w:eastAsia="zh-CN"/>
              </w:rPr>
            </w:pPr>
          </w:p>
        </w:tc>
        <w:tc>
          <w:tcPr>
            <w:tcW w:w="1874" w:type="dxa"/>
            <w:noWrap w:val="0"/>
            <w:vAlign w:val="center"/>
          </w:tcPr>
          <w:p w14:paraId="5A6017CE">
            <w:pPr>
              <w:bidi w:val="0"/>
              <w:spacing w:line="360" w:lineRule="auto"/>
              <w:jc w:val="center"/>
              <w:rPr>
                <w:rFonts w:hint="eastAsia" w:ascii="宋体" w:hAnsi="宋体" w:eastAsia="宋体" w:cs="宋体"/>
                <w:color w:val="auto"/>
                <w:sz w:val="24"/>
                <w:szCs w:val="24"/>
                <w:highlight w:val="none"/>
                <w:lang w:val="en-US" w:eastAsia="zh-CN"/>
              </w:rPr>
            </w:pPr>
          </w:p>
        </w:tc>
        <w:tc>
          <w:tcPr>
            <w:tcW w:w="2190" w:type="dxa"/>
            <w:tcBorders>
              <w:right w:val="single" w:color="000000" w:sz="6" w:space="0"/>
            </w:tcBorders>
            <w:noWrap w:val="0"/>
            <w:vAlign w:val="center"/>
          </w:tcPr>
          <w:p w14:paraId="7147FCA2">
            <w:pPr>
              <w:bidi w:val="0"/>
              <w:spacing w:line="360" w:lineRule="auto"/>
              <w:jc w:val="center"/>
              <w:rPr>
                <w:rFonts w:hint="eastAsia" w:ascii="宋体" w:hAnsi="宋体" w:eastAsia="宋体" w:cs="宋体"/>
                <w:color w:val="auto"/>
                <w:sz w:val="24"/>
                <w:szCs w:val="24"/>
                <w:highlight w:val="none"/>
                <w:lang w:val="en-US" w:eastAsia="zh-CN"/>
              </w:rPr>
            </w:pPr>
          </w:p>
        </w:tc>
      </w:tr>
      <w:tr w14:paraId="50715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 w:hRule="atLeast"/>
        </w:trPr>
        <w:tc>
          <w:tcPr>
            <w:tcW w:w="1068" w:type="dxa"/>
            <w:tcBorders>
              <w:left w:val="single" w:color="000000" w:sz="6" w:space="0"/>
            </w:tcBorders>
            <w:noWrap w:val="0"/>
            <w:vAlign w:val="top"/>
          </w:tcPr>
          <w:p w14:paraId="16E4272B">
            <w:pPr>
              <w:bidi w:val="0"/>
              <w:spacing w:line="360" w:lineRule="auto"/>
              <w:jc w:val="center"/>
              <w:rPr>
                <w:rFonts w:hint="eastAsia" w:ascii="宋体" w:hAnsi="宋体" w:eastAsia="宋体" w:cs="宋体"/>
                <w:color w:val="auto"/>
                <w:sz w:val="24"/>
                <w:szCs w:val="24"/>
                <w:highlight w:val="none"/>
                <w:lang w:val="en-US" w:eastAsia="zh-CN"/>
              </w:rPr>
            </w:pPr>
          </w:p>
        </w:tc>
        <w:tc>
          <w:tcPr>
            <w:tcW w:w="1120" w:type="dxa"/>
            <w:noWrap w:val="0"/>
            <w:vAlign w:val="top"/>
          </w:tcPr>
          <w:p w14:paraId="0888909B">
            <w:pPr>
              <w:bidi w:val="0"/>
              <w:spacing w:line="360" w:lineRule="auto"/>
              <w:jc w:val="center"/>
              <w:rPr>
                <w:rFonts w:hint="eastAsia" w:ascii="宋体" w:hAnsi="宋体" w:eastAsia="宋体" w:cs="宋体"/>
                <w:color w:val="auto"/>
                <w:sz w:val="24"/>
                <w:szCs w:val="24"/>
                <w:highlight w:val="none"/>
                <w:lang w:val="en-US" w:eastAsia="zh-CN"/>
              </w:rPr>
            </w:pPr>
          </w:p>
        </w:tc>
        <w:tc>
          <w:tcPr>
            <w:tcW w:w="1070" w:type="dxa"/>
            <w:noWrap w:val="0"/>
            <w:vAlign w:val="top"/>
          </w:tcPr>
          <w:p w14:paraId="74A9E0D9">
            <w:pPr>
              <w:bidi w:val="0"/>
              <w:spacing w:line="360" w:lineRule="auto"/>
              <w:jc w:val="center"/>
              <w:rPr>
                <w:rFonts w:hint="eastAsia" w:ascii="宋体" w:hAnsi="宋体" w:eastAsia="宋体" w:cs="宋体"/>
                <w:color w:val="auto"/>
                <w:sz w:val="24"/>
                <w:szCs w:val="24"/>
                <w:highlight w:val="none"/>
                <w:lang w:val="en-US" w:eastAsia="zh-CN"/>
              </w:rPr>
            </w:pPr>
          </w:p>
        </w:tc>
        <w:tc>
          <w:tcPr>
            <w:tcW w:w="1294" w:type="dxa"/>
            <w:noWrap w:val="0"/>
            <w:vAlign w:val="top"/>
          </w:tcPr>
          <w:p w14:paraId="7DD5C0B3">
            <w:pPr>
              <w:bidi w:val="0"/>
              <w:spacing w:line="360" w:lineRule="auto"/>
              <w:jc w:val="center"/>
              <w:rPr>
                <w:rFonts w:hint="eastAsia" w:ascii="宋体" w:hAnsi="宋体" w:eastAsia="宋体" w:cs="宋体"/>
                <w:color w:val="auto"/>
                <w:sz w:val="24"/>
                <w:szCs w:val="24"/>
                <w:highlight w:val="none"/>
                <w:lang w:val="en-US" w:eastAsia="zh-CN"/>
              </w:rPr>
            </w:pPr>
          </w:p>
        </w:tc>
        <w:tc>
          <w:tcPr>
            <w:tcW w:w="1874" w:type="dxa"/>
            <w:noWrap w:val="0"/>
            <w:vAlign w:val="top"/>
          </w:tcPr>
          <w:p w14:paraId="7CC46737">
            <w:pPr>
              <w:bidi w:val="0"/>
              <w:spacing w:line="360" w:lineRule="auto"/>
              <w:jc w:val="center"/>
              <w:rPr>
                <w:rFonts w:hint="eastAsia" w:ascii="宋体" w:hAnsi="宋体" w:eastAsia="宋体" w:cs="宋体"/>
                <w:color w:val="auto"/>
                <w:sz w:val="24"/>
                <w:szCs w:val="24"/>
                <w:highlight w:val="none"/>
                <w:lang w:val="en-US" w:eastAsia="zh-CN"/>
              </w:rPr>
            </w:pPr>
          </w:p>
        </w:tc>
        <w:tc>
          <w:tcPr>
            <w:tcW w:w="2190" w:type="dxa"/>
            <w:tcBorders>
              <w:right w:val="single" w:color="000000" w:sz="6" w:space="0"/>
            </w:tcBorders>
            <w:noWrap w:val="0"/>
            <w:vAlign w:val="center"/>
          </w:tcPr>
          <w:p w14:paraId="59C91000">
            <w:pPr>
              <w:bidi w:val="0"/>
              <w:spacing w:line="360" w:lineRule="auto"/>
              <w:jc w:val="center"/>
              <w:rPr>
                <w:rFonts w:hint="eastAsia" w:ascii="宋体" w:hAnsi="宋体" w:eastAsia="宋体" w:cs="宋体"/>
                <w:color w:val="auto"/>
                <w:sz w:val="24"/>
                <w:szCs w:val="24"/>
                <w:highlight w:val="none"/>
                <w:lang w:val="en-US" w:eastAsia="zh-CN"/>
              </w:rPr>
            </w:pPr>
          </w:p>
        </w:tc>
      </w:tr>
      <w:tr w14:paraId="785F4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 w:hRule="atLeast"/>
        </w:trPr>
        <w:tc>
          <w:tcPr>
            <w:tcW w:w="1068" w:type="dxa"/>
            <w:tcBorders>
              <w:left w:val="single" w:color="000000" w:sz="6" w:space="0"/>
            </w:tcBorders>
            <w:noWrap w:val="0"/>
            <w:vAlign w:val="top"/>
          </w:tcPr>
          <w:p w14:paraId="0B19B4E1">
            <w:pPr>
              <w:spacing w:line="360" w:lineRule="auto"/>
              <w:rPr>
                <w:rFonts w:hint="eastAsia" w:ascii="宋体" w:hAnsi="宋体" w:eastAsia="宋体" w:cs="宋体"/>
                <w:color w:val="auto"/>
                <w:sz w:val="21"/>
                <w:highlight w:val="none"/>
              </w:rPr>
            </w:pPr>
          </w:p>
        </w:tc>
        <w:tc>
          <w:tcPr>
            <w:tcW w:w="1120" w:type="dxa"/>
            <w:noWrap w:val="0"/>
            <w:vAlign w:val="top"/>
          </w:tcPr>
          <w:p w14:paraId="40CCE7C7">
            <w:pPr>
              <w:spacing w:line="360" w:lineRule="auto"/>
              <w:rPr>
                <w:rFonts w:hint="eastAsia" w:ascii="宋体" w:hAnsi="宋体" w:eastAsia="宋体" w:cs="宋体"/>
                <w:color w:val="auto"/>
                <w:sz w:val="21"/>
                <w:highlight w:val="none"/>
              </w:rPr>
            </w:pPr>
          </w:p>
        </w:tc>
        <w:tc>
          <w:tcPr>
            <w:tcW w:w="1070" w:type="dxa"/>
            <w:noWrap w:val="0"/>
            <w:vAlign w:val="top"/>
          </w:tcPr>
          <w:p w14:paraId="5EB9DAC5">
            <w:pPr>
              <w:spacing w:line="360" w:lineRule="auto"/>
              <w:rPr>
                <w:rFonts w:hint="eastAsia" w:ascii="宋体" w:hAnsi="宋体" w:eastAsia="宋体" w:cs="宋体"/>
                <w:color w:val="auto"/>
                <w:sz w:val="21"/>
                <w:highlight w:val="none"/>
              </w:rPr>
            </w:pPr>
          </w:p>
        </w:tc>
        <w:tc>
          <w:tcPr>
            <w:tcW w:w="1294" w:type="dxa"/>
            <w:noWrap w:val="0"/>
            <w:vAlign w:val="top"/>
          </w:tcPr>
          <w:p w14:paraId="0CBB5999">
            <w:pPr>
              <w:spacing w:line="360" w:lineRule="auto"/>
              <w:rPr>
                <w:rFonts w:hint="eastAsia" w:ascii="宋体" w:hAnsi="宋体" w:eastAsia="宋体" w:cs="宋体"/>
                <w:color w:val="auto"/>
                <w:sz w:val="21"/>
                <w:highlight w:val="none"/>
              </w:rPr>
            </w:pPr>
          </w:p>
        </w:tc>
        <w:tc>
          <w:tcPr>
            <w:tcW w:w="1874" w:type="dxa"/>
            <w:noWrap w:val="0"/>
            <w:vAlign w:val="top"/>
          </w:tcPr>
          <w:p w14:paraId="3D6F1540">
            <w:pPr>
              <w:spacing w:line="360" w:lineRule="auto"/>
              <w:rPr>
                <w:rFonts w:hint="eastAsia" w:ascii="宋体" w:hAnsi="宋体" w:eastAsia="宋体" w:cs="宋体"/>
                <w:color w:val="auto"/>
                <w:sz w:val="21"/>
                <w:highlight w:val="none"/>
              </w:rPr>
            </w:pPr>
          </w:p>
        </w:tc>
        <w:tc>
          <w:tcPr>
            <w:tcW w:w="2190" w:type="dxa"/>
            <w:tcBorders>
              <w:right w:val="single" w:color="000000" w:sz="6" w:space="0"/>
            </w:tcBorders>
            <w:noWrap w:val="0"/>
            <w:vAlign w:val="top"/>
          </w:tcPr>
          <w:p w14:paraId="593DE60F">
            <w:pPr>
              <w:spacing w:line="360" w:lineRule="auto"/>
              <w:rPr>
                <w:rFonts w:hint="eastAsia" w:ascii="宋体" w:hAnsi="宋体" w:eastAsia="宋体" w:cs="宋体"/>
                <w:color w:val="auto"/>
                <w:sz w:val="21"/>
                <w:highlight w:val="none"/>
              </w:rPr>
            </w:pPr>
          </w:p>
        </w:tc>
      </w:tr>
      <w:tr w14:paraId="4754D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 w:hRule="atLeast"/>
        </w:trPr>
        <w:tc>
          <w:tcPr>
            <w:tcW w:w="1068" w:type="dxa"/>
            <w:tcBorders>
              <w:left w:val="single" w:color="000000" w:sz="6" w:space="0"/>
            </w:tcBorders>
            <w:noWrap w:val="0"/>
            <w:vAlign w:val="top"/>
          </w:tcPr>
          <w:p w14:paraId="25536BBA">
            <w:pPr>
              <w:spacing w:line="360" w:lineRule="auto"/>
              <w:rPr>
                <w:rFonts w:hint="eastAsia" w:ascii="宋体" w:hAnsi="宋体" w:eastAsia="宋体" w:cs="宋体"/>
                <w:color w:val="auto"/>
                <w:sz w:val="21"/>
                <w:highlight w:val="none"/>
              </w:rPr>
            </w:pPr>
          </w:p>
        </w:tc>
        <w:tc>
          <w:tcPr>
            <w:tcW w:w="1120" w:type="dxa"/>
            <w:noWrap w:val="0"/>
            <w:vAlign w:val="top"/>
          </w:tcPr>
          <w:p w14:paraId="5938DAE4">
            <w:pPr>
              <w:spacing w:line="360" w:lineRule="auto"/>
              <w:rPr>
                <w:rFonts w:hint="eastAsia" w:ascii="宋体" w:hAnsi="宋体" w:eastAsia="宋体" w:cs="宋体"/>
                <w:color w:val="auto"/>
                <w:sz w:val="21"/>
                <w:highlight w:val="none"/>
              </w:rPr>
            </w:pPr>
          </w:p>
        </w:tc>
        <w:tc>
          <w:tcPr>
            <w:tcW w:w="1070" w:type="dxa"/>
            <w:noWrap w:val="0"/>
            <w:vAlign w:val="top"/>
          </w:tcPr>
          <w:p w14:paraId="40E3BFA8">
            <w:pPr>
              <w:spacing w:line="360" w:lineRule="auto"/>
              <w:rPr>
                <w:rFonts w:hint="eastAsia" w:ascii="宋体" w:hAnsi="宋体" w:eastAsia="宋体" w:cs="宋体"/>
                <w:color w:val="auto"/>
                <w:sz w:val="21"/>
                <w:highlight w:val="none"/>
              </w:rPr>
            </w:pPr>
          </w:p>
        </w:tc>
        <w:tc>
          <w:tcPr>
            <w:tcW w:w="1294" w:type="dxa"/>
            <w:noWrap w:val="0"/>
            <w:vAlign w:val="top"/>
          </w:tcPr>
          <w:p w14:paraId="63D6D3CC">
            <w:pPr>
              <w:spacing w:line="360" w:lineRule="auto"/>
              <w:rPr>
                <w:rFonts w:hint="eastAsia" w:ascii="宋体" w:hAnsi="宋体" w:eastAsia="宋体" w:cs="宋体"/>
                <w:color w:val="auto"/>
                <w:sz w:val="21"/>
                <w:highlight w:val="none"/>
              </w:rPr>
            </w:pPr>
          </w:p>
        </w:tc>
        <w:tc>
          <w:tcPr>
            <w:tcW w:w="1874" w:type="dxa"/>
            <w:noWrap w:val="0"/>
            <w:vAlign w:val="top"/>
          </w:tcPr>
          <w:p w14:paraId="61DD51AF">
            <w:pPr>
              <w:spacing w:line="360" w:lineRule="auto"/>
              <w:rPr>
                <w:rFonts w:hint="eastAsia" w:ascii="宋体" w:hAnsi="宋体" w:eastAsia="宋体" w:cs="宋体"/>
                <w:color w:val="auto"/>
                <w:sz w:val="21"/>
                <w:highlight w:val="none"/>
              </w:rPr>
            </w:pPr>
          </w:p>
        </w:tc>
        <w:tc>
          <w:tcPr>
            <w:tcW w:w="2190" w:type="dxa"/>
            <w:tcBorders>
              <w:right w:val="single" w:color="000000" w:sz="6" w:space="0"/>
            </w:tcBorders>
            <w:noWrap w:val="0"/>
            <w:vAlign w:val="top"/>
          </w:tcPr>
          <w:p w14:paraId="70CCFBB1">
            <w:pPr>
              <w:spacing w:line="360" w:lineRule="auto"/>
              <w:rPr>
                <w:rFonts w:hint="eastAsia" w:ascii="宋体" w:hAnsi="宋体" w:eastAsia="宋体" w:cs="宋体"/>
                <w:color w:val="auto"/>
                <w:sz w:val="21"/>
                <w:highlight w:val="none"/>
              </w:rPr>
            </w:pPr>
          </w:p>
        </w:tc>
      </w:tr>
    </w:tbl>
    <w:p w14:paraId="05365B73">
      <w:pPr>
        <w:pStyle w:val="4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4"/>
          <w:sz w:val="24"/>
          <w:szCs w:val="24"/>
          <w:highlight w:val="none"/>
        </w:rPr>
        <w:t>注</w:t>
      </w:r>
      <w:r>
        <w:rPr>
          <w:rFonts w:hint="eastAsia" w:ascii="宋体" w:hAnsi="宋体" w:eastAsia="宋体" w:cs="宋体"/>
          <w:color w:val="auto"/>
          <w:spacing w:val="9"/>
          <w:sz w:val="24"/>
          <w:szCs w:val="24"/>
          <w:highlight w:val="none"/>
        </w:rPr>
        <w:t>：本表填报的人员应满足施工要</w:t>
      </w:r>
      <w:r>
        <w:rPr>
          <w:rFonts w:hint="eastAsia" w:ascii="宋体" w:hAnsi="宋体" w:cs="宋体"/>
          <w:color w:val="auto"/>
          <w:spacing w:val="9"/>
          <w:sz w:val="24"/>
          <w:szCs w:val="24"/>
          <w:highlight w:val="none"/>
          <w:lang w:val="en-US" w:eastAsia="zh-CN"/>
        </w:rPr>
        <w:t>求。</w:t>
      </w:r>
    </w:p>
    <w:p w14:paraId="2205C07D">
      <w:pPr>
        <w:spacing w:line="360" w:lineRule="auto"/>
        <w:ind w:firstLine="480"/>
        <w:rPr>
          <w:rFonts w:hint="eastAsia" w:ascii="宋体" w:hAnsi="宋体" w:eastAsia="宋体" w:cs="宋体"/>
          <w:color w:val="auto"/>
          <w:sz w:val="24"/>
          <w:szCs w:val="24"/>
          <w:highlight w:val="none"/>
        </w:rPr>
      </w:pPr>
    </w:p>
    <w:p w14:paraId="72BAB903">
      <w:pPr>
        <w:spacing w:line="360" w:lineRule="auto"/>
        <w:ind w:firstLine="480"/>
        <w:rPr>
          <w:rFonts w:hint="eastAsia" w:ascii="宋体" w:hAnsi="宋体" w:eastAsia="宋体" w:cs="宋体"/>
          <w:color w:val="auto"/>
          <w:sz w:val="24"/>
          <w:szCs w:val="24"/>
          <w:highlight w:val="none"/>
        </w:rPr>
      </w:pPr>
    </w:p>
    <w:p w14:paraId="461A2104">
      <w:pPr>
        <w:keepNext w:val="0"/>
        <w:keepLines w:val="0"/>
        <w:widowControl w:val="0"/>
        <w:suppressLineNumbers w:val="0"/>
        <w:shd w:val="clear" w:color="auto" w:fill="auto"/>
        <w:spacing w:before="0" w:beforeAutospacing="0" w:after="0" w:afterAutospacing="0" w:line="520" w:lineRule="exact"/>
        <w:ind w:left="0" w:right="0"/>
        <w:jc w:val="both"/>
        <w:rPr>
          <w:rFonts w:hint="default" w:ascii="宋体" w:hAnsi="宋体" w:eastAsia="宋体" w:cs="宋体"/>
          <w:color w:val="auto"/>
          <w:kern w:val="2"/>
          <w:sz w:val="24"/>
          <w:szCs w:val="24"/>
          <w:highlight w:val="none"/>
          <w:u w:val="single"/>
          <w:lang w:val="en-US" w:eastAsia="zh-CN" w:bidi="ar"/>
        </w:rPr>
      </w:pPr>
      <w:r>
        <w:rPr>
          <w:rFonts w:hint="eastAsia" w:ascii="宋体" w:hAnsi="宋体" w:eastAsia="宋体" w:cs="宋体"/>
          <w:color w:val="auto"/>
          <w:kern w:val="2"/>
          <w:sz w:val="24"/>
          <w:szCs w:val="24"/>
          <w:highlight w:val="none"/>
          <w:lang w:val="en-US" w:eastAsia="zh-CN" w:bidi="ar"/>
        </w:rPr>
        <w:t>法定代表人或被授权人签字：</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cs="宋体"/>
          <w:color w:val="auto"/>
          <w:kern w:val="2"/>
          <w:sz w:val="24"/>
          <w:szCs w:val="24"/>
          <w:highlight w:val="none"/>
          <w:u w:val="single"/>
          <w:lang w:val="en-US" w:eastAsia="zh-CN" w:bidi="ar"/>
        </w:rPr>
        <w:t xml:space="preserve">    </w:t>
      </w:r>
    </w:p>
    <w:p w14:paraId="6D2532C7">
      <w:pPr>
        <w:keepNext w:val="0"/>
        <w:keepLines w:val="0"/>
        <w:widowControl w:val="0"/>
        <w:suppressLineNumbers w:val="0"/>
        <w:shd w:val="clear" w:color="auto" w:fill="auto"/>
        <w:spacing w:before="0" w:beforeAutospacing="0" w:after="0" w:afterAutospacing="0" w:line="520" w:lineRule="exact"/>
        <w:ind w:left="0" w:right="0"/>
        <w:jc w:val="both"/>
        <w:rPr>
          <w:rFonts w:hint="eastAsia" w:ascii="宋体" w:hAnsi="宋体" w:eastAsia="宋体" w:cs="宋体"/>
          <w:color w:val="auto"/>
          <w:kern w:val="2"/>
          <w:sz w:val="24"/>
          <w:szCs w:val="24"/>
          <w:highlight w:val="none"/>
          <w:u w:val="single"/>
          <w:lang w:val="en-US" w:eastAsia="zh-CN" w:bidi="ar"/>
        </w:rPr>
      </w:pPr>
      <w:r>
        <w:rPr>
          <w:rFonts w:hint="eastAsia" w:ascii="宋体" w:hAnsi="宋体" w:eastAsia="宋体" w:cs="宋体"/>
          <w:color w:val="auto"/>
          <w:kern w:val="2"/>
          <w:sz w:val="24"/>
          <w:szCs w:val="24"/>
          <w:highlight w:val="none"/>
          <w:lang w:val="en-US" w:eastAsia="zh-CN" w:bidi="ar"/>
        </w:rPr>
        <w:t>投标人名称（公章）：</w:t>
      </w:r>
      <w:r>
        <w:rPr>
          <w:rFonts w:hint="eastAsia" w:ascii="宋体" w:hAnsi="宋体" w:eastAsia="宋体" w:cs="宋体"/>
          <w:color w:val="auto"/>
          <w:kern w:val="2"/>
          <w:sz w:val="24"/>
          <w:szCs w:val="24"/>
          <w:highlight w:val="none"/>
          <w:u w:val="single"/>
          <w:lang w:val="en-US" w:eastAsia="zh-CN" w:bidi="ar"/>
        </w:rPr>
        <w:t xml:space="preserve">             </w:t>
      </w:r>
    </w:p>
    <w:p w14:paraId="55E49A26">
      <w:pPr>
        <w:keepNext w:val="0"/>
        <w:keepLines w:val="0"/>
        <w:widowControl w:val="0"/>
        <w:suppressLineNumbers w:val="0"/>
        <w:shd w:val="clear" w:color="auto" w:fill="auto"/>
        <w:spacing w:before="0" w:beforeAutospacing="0" w:after="0" w:afterAutospacing="0" w:line="520" w:lineRule="exact"/>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D569E16">
      <w:pPr>
        <w:pStyle w:val="8"/>
        <w:rPr>
          <w:rFonts w:hint="eastAsia" w:ascii="宋体" w:hAnsi="宋体" w:eastAsia="宋体" w:cs="宋体"/>
          <w:color w:val="auto"/>
          <w:highlight w:val="none"/>
        </w:rPr>
      </w:pPr>
    </w:p>
    <w:p w14:paraId="256921D4">
      <w:pPr>
        <w:pStyle w:val="43"/>
        <w:rPr>
          <w:rFonts w:hint="eastAsia" w:ascii="宋体" w:hAnsi="宋体" w:eastAsia="宋体" w:cs="宋体"/>
          <w:color w:val="auto"/>
          <w:highlight w:val="none"/>
        </w:rPr>
      </w:pPr>
    </w:p>
    <w:p w14:paraId="6DC959C3">
      <w:pPr>
        <w:rPr>
          <w:rFonts w:hint="eastAsia" w:ascii="宋体" w:hAnsi="宋体" w:eastAsia="宋体" w:cs="宋体"/>
          <w:color w:val="auto"/>
          <w:highlight w:val="none"/>
        </w:rPr>
      </w:pPr>
    </w:p>
    <w:p w14:paraId="65014697">
      <w:pPr>
        <w:pStyle w:val="42"/>
        <w:rPr>
          <w:rFonts w:hint="eastAsia" w:ascii="宋体" w:hAnsi="宋体" w:eastAsia="宋体" w:cs="宋体"/>
          <w:color w:val="auto"/>
          <w:highlight w:val="none"/>
        </w:rPr>
      </w:pPr>
    </w:p>
    <w:p w14:paraId="7002B84A">
      <w:pPr>
        <w:pStyle w:val="42"/>
        <w:rPr>
          <w:rFonts w:hint="eastAsia" w:ascii="宋体" w:hAnsi="宋体" w:eastAsia="宋体" w:cs="宋体"/>
          <w:color w:val="auto"/>
          <w:highlight w:val="none"/>
        </w:rPr>
      </w:pPr>
    </w:p>
    <w:p w14:paraId="0F8B50A3">
      <w:pPr>
        <w:pStyle w:val="42"/>
        <w:rPr>
          <w:rFonts w:hint="eastAsia" w:ascii="宋体" w:hAnsi="宋体" w:eastAsia="宋体" w:cs="宋体"/>
          <w:color w:val="auto"/>
          <w:highlight w:val="none"/>
        </w:rPr>
      </w:pPr>
    </w:p>
    <w:p w14:paraId="3F875F7F">
      <w:pPr>
        <w:pStyle w:val="42"/>
        <w:rPr>
          <w:rFonts w:hint="eastAsia" w:ascii="宋体" w:hAnsi="宋体" w:eastAsia="宋体" w:cs="宋体"/>
          <w:color w:val="auto"/>
          <w:highlight w:val="none"/>
        </w:rPr>
      </w:pPr>
    </w:p>
    <w:p w14:paraId="567F0B15">
      <w:pPr>
        <w:pStyle w:val="44"/>
        <w:spacing w:line="360" w:lineRule="auto"/>
        <w:ind w:firstLine="0" w:firstLineChars="0"/>
        <w:jc w:val="center"/>
        <w:outlineLvl w:val="9"/>
        <w:rPr>
          <w:rFonts w:hint="eastAsia" w:ascii="宋体" w:hAnsi="宋体" w:eastAsia="宋体" w:cs="宋体"/>
          <w:color w:val="auto"/>
          <w:szCs w:val="24"/>
          <w:highlight w:val="none"/>
          <w:lang w:val="en-US" w:eastAsia="zh-CN"/>
        </w:rPr>
        <w:sectPr>
          <w:pgSz w:w="11900" w:h="16838"/>
          <w:pgMar w:top="1332" w:right="1196" w:bottom="1417" w:left="1672" w:header="680" w:footer="680" w:gutter="0"/>
          <w:pgNumType w:fmt="decimal"/>
          <w:cols w:space="0" w:num="1"/>
          <w:rtlGutter w:val="0"/>
          <w:docGrid w:linePitch="312" w:charSpace="0"/>
        </w:sectPr>
      </w:pPr>
      <w:bookmarkStart w:id="379" w:name="_Toc22047"/>
      <w:bookmarkStart w:id="380" w:name="_Toc31043"/>
    </w:p>
    <w:p w14:paraId="0DB1A6C3">
      <w:pPr>
        <w:pStyle w:val="5"/>
        <w:bidi w:val="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附表</w:t>
      </w:r>
      <w:r>
        <w:rPr>
          <w:rFonts w:hint="eastAsia" w:ascii="宋体" w:hAnsi="宋体" w:cs="宋体"/>
          <w:b/>
          <w:color w:val="auto"/>
          <w:sz w:val="24"/>
          <w:szCs w:val="24"/>
          <w:lang w:val="en-US" w:eastAsia="zh-CN"/>
        </w:rPr>
        <w:t>六</w:t>
      </w:r>
      <w:r>
        <w:rPr>
          <w:rFonts w:hint="eastAsia" w:ascii="宋体" w:hAnsi="宋体" w:eastAsia="宋体" w:cs="宋体"/>
          <w:b/>
          <w:color w:val="auto"/>
          <w:sz w:val="24"/>
          <w:szCs w:val="24"/>
          <w:lang w:val="en-US" w:eastAsia="zh-CN"/>
        </w:rPr>
        <w:t>：本项目拟投入主要人员简历表</w:t>
      </w:r>
      <w:bookmarkEnd w:id="376"/>
      <w:bookmarkEnd w:id="377"/>
      <w:bookmarkEnd w:id="378"/>
      <w:bookmarkEnd w:id="379"/>
      <w:bookmarkEnd w:id="380"/>
    </w:p>
    <w:p w14:paraId="5EC00AC5">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jc w:val="center"/>
        <w:textAlignment w:val="auto"/>
        <w:rPr>
          <w:rFonts w:hint="eastAsia" w:ascii="宋体" w:hAnsi="宋体" w:eastAsia="宋体" w:cs="宋体"/>
          <w:b/>
          <w:bCs/>
          <w:color w:val="auto"/>
          <w:kern w:val="2"/>
          <w:sz w:val="21"/>
          <w:szCs w:val="28"/>
          <w:highlight w:val="none"/>
          <w:lang w:val="en-US" w:eastAsia="zh-CN" w:bidi="ar-SA"/>
        </w:rPr>
      </w:pPr>
      <w:r>
        <w:rPr>
          <w:rFonts w:hint="eastAsia" w:ascii="宋体" w:hAnsi="宋体" w:eastAsia="宋体" w:cs="宋体"/>
          <w:b/>
          <w:bCs/>
          <w:color w:val="auto"/>
          <w:kern w:val="2"/>
          <w:sz w:val="21"/>
          <w:szCs w:val="28"/>
          <w:highlight w:val="none"/>
          <w:lang w:val="en-US" w:eastAsia="zh-CN" w:bidi="ar-SA"/>
        </w:rPr>
        <w:t>主要人员简历表</w:t>
      </w:r>
    </w:p>
    <w:p w14:paraId="319CA1AA">
      <w:pPr>
        <w:pageBreakBefore w:val="0"/>
        <w:shd w:val="clear" w:color="auto" w:fill="auto"/>
        <w:kinsoku/>
        <w:wordWrap w:val="0"/>
        <w:overflowPunct/>
        <w:topLinePunct/>
        <w:autoSpaceDE/>
        <w:autoSpaceDN/>
        <w:bidi w:val="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“主要人员简历表”中的项目经理应附建造师执业注册证书、安全生产考核合格证书、身份证、职称证</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如有</w:t>
      </w:r>
      <w:r>
        <w:rPr>
          <w:rFonts w:hint="eastAsia" w:ascii="宋体" w:hAnsi="宋体" w:cs="宋体"/>
          <w:color w:val="auto"/>
          <w:highlight w:val="none"/>
          <w:lang w:eastAsia="zh-CN"/>
        </w:rPr>
        <w:t>）</w:t>
      </w:r>
      <w:r>
        <w:rPr>
          <w:rFonts w:hint="eastAsia" w:ascii="宋体" w:hAnsi="宋体" w:eastAsia="宋体" w:cs="宋体"/>
          <w:color w:val="auto"/>
          <w:highlight w:val="none"/>
        </w:rPr>
        <w:t>、学历证，管理过的项目业绩须附合同协议书复印件或扫描件；其他主要人员应附职称证（执业证或上岗证书）复印件或扫描件。</w:t>
      </w:r>
    </w:p>
    <w:tbl>
      <w:tblPr>
        <w:tblStyle w:val="24"/>
        <w:tblW w:w="8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163"/>
        <w:gridCol w:w="1636"/>
        <w:gridCol w:w="1087"/>
        <w:gridCol w:w="725"/>
        <w:gridCol w:w="724"/>
        <w:gridCol w:w="860"/>
        <w:gridCol w:w="1133"/>
        <w:gridCol w:w="1193"/>
      </w:tblGrid>
      <w:tr w14:paraId="51448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jc w:val="center"/>
        </w:trPr>
        <w:tc>
          <w:tcPr>
            <w:tcW w:w="1519" w:type="dxa"/>
            <w:gridSpan w:val="2"/>
            <w:noWrap w:val="0"/>
            <w:vAlign w:val="center"/>
          </w:tcPr>
          <w:p w14:paraId="0FCC8951">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636" w:type="dxa"/>
            <w:noWrap w:val="0"/>
            <w:vAlign w:val="center"/>
          </w:tcPr>
          <w:p w14:paraId="4CF30C1D">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eastAsia="zh-CN"/>
              </w:rPr>
            </w:pPr>
          </w:p>
        </w:tc>
        <w:tc>
          <w:tcPr>
            <w:tcW w:w="1087" w:type="dxa"/>
            <w:noWrap w:val="0"/>
            <w:vAlign w:val="center"/>
          </w:tcPr>
          <w:p w14:paraId="25E11280">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1449" w:type="dxa"/>
            <w:gridSpan w:val="2"/>
            <w:noWrap w:val="0"/>
            <w:vAlign w:val="center"/>
          </w:tcPr>
          <w:p w14:paraId="7A839A48">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val="en-US" w:eastAsia="zh-CN"/>
              </w:rPr>
            </w:pPr>
          </w:p>
        </w:tc>
        <w:tc>
          <w:tcPr>
            <w:tcW w:w="1993" w:type="dxa"/>
            <w:gridSpan w:val="2"/>
            <w:noWrap w:val="0"/>
            <w:vAlign w:val="center"/>
          </w:tcPr>
          <w:p w14:paraId="27AB002D">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学</w:t>
            </w:r>
            <w:r>
              <w:rPr>
                <w:rFonts w:hint="eastAsia" w:ascii="宋体" w:hAnsi="宋体" w:eastAsia="宋体" w:cs="宋体"/>
                <w:color w:val="auto"/>
                <w:highlight w:val="none"/>
              </w:rPr>
              <w:tab/>
            </w:r>
            <w:r>
              <w:rPr>
                <w:rFonts w:hint="eastAsia" w:ascii="宋体" w:hAnsi="宋体" w:eastAsia="宋体" w:cs="宋体"/>
                <w:color w:val="auto"/>
                <w:highlight w:val="none"/>
              </w:rPr>
              <w:t>历</w:t>
            </w:r>
          </w:p>
        </w:tc>
        <w:tc>
          <w:tcPr>
            <w:tcW w:w="1193" w:type="dxa"/>
            <w:noWrap w:val="0"/>
            <w:vAlign w:val="center"/>
          </w:tcPr>
          <w:p w14:paraId="4B3C7EC2">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eastAsia="zh-CN"/>
              </w:rPr>
            </w:pPr>
          </w:p>
        </w:tc>
      </w:tr>
      <w:tr w14:paraId="5CF46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1519" w:type="dxa"/>
            <w:gridSpan w:val="2"/>
            <w:noWrap w:val="0"/>
            <w:vAlign w:val="center"/>
          </w:tcPr>
          <w:p w14:paraId="12F072EB">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1636" w:type="dxa"/>
            <w:noWrap w:val="0"/>
            <w:vAlign w:val="center"/>
          </w:tcPr>
          <w:p w14:paraId="0F55F3BB">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eastAsia="zh-CN"/>
              </w:rPr>
            </w:pPr>
          </w:p>
        </w:tc>
        <w:tc>
          <w:tcPr>
            <w:tcW w:w="1087" w:type="dxa"/>
            <w:noWrap w:val="0"/>
            <w:vAlign w:val="center"/>
          </w:tcPr>
          <w:p w14:paraId="6640C7E9">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职务</w:t>
            </w:r>
          </w:p>
        </w:tc>
        <w:tc>
          <w:tcPr>
            <w:tcW w:w="1449" w:type="dxa"/>
            <w:gridSpan w:val="2"/>
            <w:noWrap w:val="0"/>
            <w:vAlign w:val="center"/>
          </w:tcPr>
          <w:p w14:paraId="58909B8C">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eastAsia="zh-CN"/>
              </w:rPr>
            </w:pPr>
          </w:p>
        </w:tc>
        <w:tc>
          <w:tcPr>
            <w:tcW w:w="1993" w:type="dxa"/>
            <w:gridSpan w:val="2"/>
            <w:noWrap w:val="0"/>
            <w:vAlign w:val="center"/>
          </w:tcPr>
          <w:p w14:paraId="113EF173">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拟在本合同任职</w:t>
            </w:r>
          </w:p>
        </w:tc>
        <w:tc>
          <w:tcPr>
            <w:tcW w:w="1193" w:type="dxa"/>
            <w:noWrap w:val="0"/>
            <w:vAlign w:val="center"/>
          </w:tcPr>
          <w:p w14:paraId="586BFFD8">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eastAsia="zh-CN"/>
              </w:rPr>
            </w:pPr>
          </w:p>
        </w:tc>
      </w:tr>
      <w:tr w14:paraId="1DE75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519" w:type="dxa"/>
            <w:gridSpan w:val="2"/>
            <w:noWrap w:val="0"/>
            <w:vAlign w:val="center"/>
          </w:tcPr>
          <w:p w14:paraId="735CE3F5">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毕业学校</w:t>
            </w:r>
          </w:p>
        </w:tc>
        <w:tc>
          <w:tcPr>
            <w:tcW w:w="7358" w:type="dxa"/>
            <w:gridSpan w:val="7"/>
            <w:noWrap w:val="0"/>
            <w:vAlign w:val="center"/>
          </w:tcPr>
          <w:p w14:paraId="14CB4FAD">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2E8F4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8877" w:type="dxa"/>
            <w:gridSpan w:val="9"/>
            <w:noWrap w:val="0"/>
            <w:vAlign w:val="center"/>
          </w:tcPr>
          <w:p w14:paraId="13973856">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主要工作经历</w:t>
            </w:r>
          </w:p>
        </w:tc>
      </w:tr>
      <w:tr w14:paraId="34064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jc w:val="center"/>
        </w:trPr>
        <w:tc>
          <w:tcPr>
            <w:tcW w:w="1356" w:type="dxa"/>
            <w:noWrap w:val="0"/>
            <w:vAlign w:val="center"/>
          </w:tcPr>
          <w:p w14:paraId="61ABCE4D">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时间</w:t>
            </w:r>
          </w:p>
        </w:tc>
        <w:tc>
          <w:tcPr>
            <w:tcW w:w="3611" w:type="dxa"/>
            <w:gridSpan w:val="4"/>
            <w:noWrap w:val="0"/>
            <w:vAlign w:val="center"/>
          </w:tcPr>
          <w:p w14:paraId="5406AA10">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参加过的类似项目</w:t>
            </w:r>
          </w:p>
        </w:tc>
        <w:tc>
          <w:tcPr>
            <w:tcW w:w="1584" w:type="dxa"/>
            <w:gridSpan w:val="2"/>
            <w:noWrap w:val="0"/>
            <w:vAlign w:val="center"/>
          </w:tcPr>
          <w:p w14:paraId="76D20268">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担任职务</w:t>
            </w:r>
          </w:p>
        </w:tc>
        <w:tc>
          <w:tcPr>
            <w:tcW w:w="2326" w:type="dxa"/>
            <w:gridSpan w:val="2"/>
            <w:noWrap w:val="0"/>
            <w:vAlign w:val="center"/>
          </w:tcPr>
          <w:p w14:paraId="19FFB5E2">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r>
              <w:rPr>
                <w:rFonts w:hint="eastAsia" w:ascii="宋体" w:hAnsi="宋体" w:eastAsia="宋体" w:cs="宋体"/>
                <w:color w:val="auto"/>
                <w:highlight w:val="none"/>
              </w:rPr>
              <w:t>发包人及联系电话</w:t>
            </w:r>
          </w:p>
        </w:tc>
      </w:tr>
      <w:tr w14:paraId="6EA1F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center"/>
          </w:tcPr>
          <w:p w14:paraId="4B2F94BD">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val="zh-CN" w:eastAsia="zh-CN"/>
              </w:rPr>
            </w:pPr>
          </w:p>
        </w:tc>
        <w:tc>
          <w:tcPr>
            <w:tcW w:w="3611" w:type="dxa"/>
            <w:gridSpan w:val="4"/>
            <w:noWrap w:val="0"/>
            <w:vAlign w:val="center"/>
          </w:tcPr>
          <w:p w14:paraId="06C6EFBC">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val="zh-CN" w:eastAsia="zh-CN"/>
              </w:rPr>
            </w:pPr>
          </w:p>
        </w:tc>
        <w:tc>
          <w:tcPr>
            <w:tcW w:w="1584" w:type="dxa"/>
            <w:gridSpan w:val="2"/>
            <w:noWrap w:val="0"/>
            <w:vAlign w:val="center"/>
          </w:tcPr>
          <w:p w14:paraId="247B1C54">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val="zh-CN" w:eastAsia="zh-CN"/>
              </w:rPr>
            </w:pPr>
          </w:p>
        </w:tc>
        <w:tc>
          <w:tcPr>
            <w:tcW w:w="2326" w:type="dxa"/>
            <w:gridSpan w:val="2"/>
            <w:noWrap w:val="0"/>
            <w:vAlign w:val="center"/>
          </w:tcPr>
          <w:p w14:paraId="1C099468">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lang w:val="zh-CN" w:eastAsia="zh-CN"/>
              </w:rPr>
            </w:pPr>
          </w:p>
        </w:tc>
      </w:tr>
      <w:tr w14:paraId="2D36E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center"/>
          </w:tcPr>
          <w:p w14:paraId="15628F67">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3611" w:type="dxa"/>
            <w:gridSpan w:val="4"/>
            <w:noWrap w:val="0"/>
            <w:vAlign w:val="center"/>
          </w:tcPr>
          <w:p w14:paraId="0E898504">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1584" w:type="dxa"/>
            <w:gridSpan w:val="2"/>
            <w:noWrap w:val="0"/>
            <w:vAlign w:val="center"/>
          </w:tcPr>
          <w:p w14:paraId="51B25D0F">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2326" w:type="dxa"/>
            <w:gridSpan w:val="2"/>
            <w:noWrap w:val="0"/>
            <w:vAlign w:val="center"/>
          </w:tcPr>
          <w:p w14:paraId="7B789946">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509CE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center"/>
          </w:tcPr>
          <w:p w14:paraId="46FC1293">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3611" w:type="dxa"/>
            <w:gridSpan w:val="4"/>
            <w:noWrap w:val="0"/>
            <w:vAlign w:val="center"/>
          </w:tcPr>
          <w:p w14:paraId="2C377EEF">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1584" w:type="dxa"/>
            <w:gridSpan w:val="2"/>
            <w:noWrap w:val="0"/>
            <w:vAlign w:val="center"/>
          </w:tcPr>
          <w:p w14:paraId="6EF0B3B6">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2326" w:type="dxa"/>
            <w:gridSpan w:val="2"/>
            <w:noWrap w:val="0"/>
            <w:vAlign w:val="center"/>
          </w:tcPr>
          <w:p w14:paraId="143BE977">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5BDC2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top"/>
          </w:tcPr>
          <w:p w14:paraId="61401ADF">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3611" w:type="dxa"/>
            <w:gridSpan w:val="4"/>
            <w:noWrap w:val="0"/>
            <w:vAlign w:val="top"/>
          </w:tcPr>
          <w:p w14:paraId="4FA54B29">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1584" w:type="dxa"/>
            <w:gridSpan w:val="2"/>
            <w:noWrap w:val="0"/>
            <w:vAlign w:val="top"/>
          </w:tcPr>
          <w:p w14:paraId="3778D52B">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2326" w:type="dxa"/>
            <w:gridSpan w:val="2"/>
            <w:noWrap w:val="0"/>
            <w:vAlign w:val="top"/>
          </w:tcPr>
          <w:p w14:paraId="3A6978E3">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58EA6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1356" w:type="dxa"/>
            <w:noWrap w:val="0"/>
            <w:vAlign w:val="top"/>
          </w:tcPr>
          <w:p w14:paraId="71148673">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3611" w:type="dxa"/>
            <w:gridSpan w:val="4"/>
            <w:noWrap w:val="0"/>
            <w:vAlign w:val="top"/>
          </w:tcPr>
          <w:p w14:paraId="770866F5">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1584" w:type="dxa"/>
            <w:gridSpan w:val="2"/>
            <w:noWrap w:val="0"/>
            <w:vAlign w:val="top"/>
          </w:tcPr>
          <w:p w14:paraId="02830D1F">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2326" w:type="dxa"/>
            <w:gridSpan w:val="2"/>
            <w:noWrap w:val="0"/>
            <w:vAlign w:val="top"/>
          </w:tcPr>
          <w:p w14:paraId="73213FB1">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201AA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top"/>
          </w:tcPr>
          <w:p w14:paraId="57281E0B">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3611" w:type="dxa"/>
            <w:gridSpan w:val="4"/>
            <w:noWrap w:val="0"/>
            <w:vAlign w:val="top"/>
          </w:tcPr>
          <w:p w14:paraId="60AF3293">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1584" w:type="dxa"/>
            <w:gridSpan w:val="2"/>
            <w:noWrap w:val="0"/>
            <w:vAlign w:val="top"/>
          </w:tcPr>
          <w:p w14:paraId="12684F9F">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2326" w:type="dxa"/>
            <w:gridSpan w:val="2"/>
            <w:noWrap w:val="0"/>
            <w:vAlign w:val="top"/>
          </w:tcPr>
          <w:p w14:paraId="1098E12B">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6D9C2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top"/>
          </w:tcPr>
          <w:p w14:paraId="4EF18686">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3611" w:type="dxa"/>
            <w:gridSpan w:val="4"/>
            <w:noWrap w:val="0"/>
            <w:vAlign w:val="top"/>
          </w:tcPr>
          <w:p w14:paraId="4889BF4F">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1584" w:type="dxa"/>
            <w:gridSpan w:val="2"/>
            <w:noWrap w:val="0"/>
            <w:vAlign w:val="top"/>
          </w:tcPr>
          <w:p w14:paraId="581FDF58">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2326" w:type="dxa"/>
            <w:gridSpan w:val="2"/>
            <w:noWrap w:val="0"/>
            <w:vAlign w:val="top"/>
          </w:tcPr>
          <w:p w14:paraId="534D4D54">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715DF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top"/>
          </w:tcPr>
          <w:p w14:paraId="1DDA3782">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3611" w:type="dxa"/>
            <w:gridSpan w:val="4"/>
            <w:noWrap w:val="0"/>
            <w:vAlign w:val="top"/>
          </w:tcPr>
          <w:p w14:paraId="3A63852F">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1584" w:type="dxa"/>
            <w:gridSpan w:val="2"/>
            <w:noWrap w:val="0"/>
            <w:vAlign w:val="top"/>
          </w:tcPr>
          <w:p w14:paraId="7FF19A61">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2326" w:type="dxa"/>
            <w:gridSpan w:val="2"/>
            <w:noWrap w:val="0"/>
            <w:vAlign w:val="top"/>
          </w:tcPr>
          <w:p w14:paraId="243445D8">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120C9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top"/>
          </w:tcPr>
          <w:p w14:paraId="28F5788A">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3611" w:type="dxa"/>
            <w:gridSpan w:val="4"/>
            <w:noWrap w:val="0"/>
            <w:vAlign w:val="top"/>
          </w:tcPr>
          <w:p w14:paraId="0F7A816E">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1584" w:type="dxa"/>
            <w:gridSpan w:val="2"/>
            <w:noWrap w:val="0"/>
            <w:vAlign w:val="top"/>
          </w:tcPr>
          <w:p w14:paraId="31C5459E">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c>
          <w:tcPr>
            <w:tcW w:w="2326" w:type="dxa"/>
            <w:gridSpan w:val="2"/>
            <w:noWrap w:val="0"/>
            <w:vAlign w:val="top"/>
          </w:tcPr>
          <w:p w14:paraId="576FC50A">
            <w:pPr>
              <w:pageBreakBefore w:val="0"/>
              <w:shd w:val="clear" w:color="auto" w:fill="auto"/>
              <w:kinsoku/>
              <w:wordWrap w:val="0"/>
              <w:overflowPunct/>
              <w:topLinePunct/>
              <w:autoSpaceDE/>
              <w:autoSpaceDN/>
              <w:bidi w:val="0"/>
              <w:jc w:val="center"/>
              <w:rPr>
                <w:rFonts w:hint="eastAsia" w:ascii="宋体" w:hAnsi="宋体" w:eastAsia="宋体" w:cs="宋体"/>
                <w:color w:val="auto"/>
                <w:highlight w:val="none"/>
              </w:rPr>
            </w:pPr>
          </w:p>
        </w:tc>
      </w:tr>
      <w:tr w14:paraId="28E58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jc w:val="center"/>
        </w:trPr>
        <w:tc>
          <w:tcPr>
            <w:tcW w:w="1356" w:type="dxa"/>
            <w:noWrap w:val="0"/>
            <w:vAlign w:val="top"/>
          </w:tcPr>
          <w:p w14:paraId="2D476F6D">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3611" w:type="dxa"/>
            <w:gridSpan w:val="4"/>
            <w:noWrap w:val="0"/>
            <w:vAlign w:val="top"/>
          </w:tcPr>
          <w:p w14:paraId="7C94019F">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1584" w:type="dxa"/>
            <w:gridSpan w:val="2"/>
            <w:noWrap w:val="0"/>
            <w:vAlign w:val="top"/>
          </w:tcPr>
          <w:p w14:paraId="6BC40C69">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2326" w:type="dxa"/>
            <w:gridSpan w:val="2"/>
            <w:noWrap w:val="0"/>
            <w:vAlign w:val="top"/>
          </w:tcPr>
          <w:p w14:paraId="40855041">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r>
      <w:tr w14:paraId="0D559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356" w:type="dxa"/>
            <w:noWrap w:val="0"/>
            <w:vAlign w:val="top"/>
          </w:tcPr>
          <w:p w14:paraId="4F06F49F">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3611" w:type="dxa"/>
            <w:gridSpan w:val="4"/>
            <w:noWrap w:val="0"/>
            <w:vAlign w:val="top"/>
          </w:tcPr>
          <w:p w14:paraId="0D1748CD">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1584" w:type="dxa"/>
            <w:gridSpan w:val="2"/>
            <w:noWrap w:val="0"/>
            <w:vAlign w:val="top"/>
          </w:tcPr>
          <w:p w14:paraId="6E62CF75">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2326" w:type="dxa"/>
            <w:gridSpan w:val="2"/>
            <w:noWrap w:val="0"/>
            <w:vAlign w:val="top"/>
          </w:tcPr>
          <w:p w14:paraId="2F879DBB">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r>
      <w:tr w14:paraId="01E6D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356" w:type="dxa"/>
            <w:noWrap w:val="0"/>
            <w:vAlign w:val="top"/>
          </w:tcPr>
          <w:p w14:paraId="313CF91F">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3611" w:type="dxa"/>
            <w:gridSpan w:val="4"/>
            <w:noWrap w:val="0"/>
            <w:vAlign w:val="top"/>
          </w:tcPr>
          <w:p w14:paraId="3FF72187">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1584" w:type="dxa"/>
            <w:gridSpan w:val="2"/>
            <w:noWrap w:val="0"/>
            <w:vAlign w:val="top"/>
          </w:tcPr>
          <w:p w14:paraId="16C47BE8">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c>
          <w:tcPr>
            <w:tcW w:w="2326" w:type="dxa"/>
            <w:gridSpan w:val="2"/>
            <w:noWrap w:val="0"/>
            <w:vAlign w:val="top"/>
          </w:tcPr>
          <w:p w14:paraId="6FAD2354">
            <w:pPr>
              <w:keepNext w:val="0"/>
              <w:keepLines w:val="0"/>
              <w:pageBreakBefore w:val="0"/>
              <w:widowControl w:val="0"/>
              <w:shd w:val="clear" w:color="auto" w:fill="auto"/>
              <w:kinsoku/>
              <w:wordWrap w:val="0"/>
              <w:overflowPunct/>
              <w:topLinePunct/>
              <w:autoSpaceDE/>
              <w:autoSpaceDN/>
              <w:bidi w:val="0"/>
              <w:adjustRightInd/>
              <w:snapToGrid/>
              <w:spacing w:before="0" w:after="0" w:line="360" w:lineRule="auto"/>
              <w:ind w:left="0" w:right="0" w:firstLine="0" w:firstLineChars="0"/>
              <w:textAlignment w:val="auto"/>
              <w:rPr>
                <w:rFonts w:hint="eastAsia" w:ascii="宋体" w:hAnsi="宋体" w:eastAsia="宋体" w:cs="宋体"/>
                <w:color w:val="auto"/>
                <w:sz w:val="24"/>
                <w:highlight w:val="none"/>
              </w:rPr>
            </w:pPr>
          </w:p>
        </w:tc>
      </w:tr>
    </w:tbl>
    <w:p w14:paraId="5AF22355">
      <w:pPr>
        <w:spacing w:line="360" w:lineRule="auto"/>
        <w:jc w:val="center"/>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color w:val="auto"/>
          <w:highlight w:val="none"/>
        </w:rPr>
        <w:br w:type="page"/>
      </w:r>
      <w:bookmarkStart w:id="381" w:name="_Toc661"/>
      <w:r>
        <w:rPr>
          <w:rFonts w:hint="eastAsia" w:ascii="宋体" w:hAnsi="宋体" w:eastAsia="宋体" w:cs="宋体"/>
          <w:b/>
          <w:bCs w:val="0"/>
          <w:color w:val="auto"/>
          <w:kern w:val="0"/>
          <w:sz w:val="24"/>
          <w:szCs w:val="24"/>
          <w:highlight w:val="none"/>
          <w:lang w:val="en-US" w:eastAsia="zh-CN" w:bidi="ar-SA"/>
        </w:rPr>
        <w:t>主要项目管理人员简历表</w:t>
      </w:r>
      <w:bookmarkEnd w:id="381"/>
    </w:p>
    <w:tbl>
      <w:tblPr>
        <w:tblStyle w:val="35"/>
        <w:tblW w:w="853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6"/>
        <w:gridCol w:w="1997"/>
        <w:gridCol w:w="2211"/>
        <w:gridCol w:w="2225"/>
      </w:tblGrid>
      <w:tr w14:paraId="40B092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2106" w:type="dxa"/>
            <w:tcBorders>
              <w:left w:val="single" w:color="000000" w:sz="6" w:space="0"/>
            </w:tcBorders>
            <w:noWrap w:val="0"/>
            <w:vAlign w:val="top"/>
          </w:tcPr>
          <w:p w14:paraId="0065B9A3">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岗位名称</w:t>
            </w:r>
          </w:p>
        </w:tc>
        <w:tc>
          <w:tcPr>
            <w:tcW w:w="6433" w:type="dxa"/>
            <w:gridSpan w:val="3"/>
            <w:tcBorders>
              <w:right w:val="single" w:color="000000" w:sz="6" w:space="0"/>
            </w:tcBorders>
            <w:noWrap w:val="0"/>
            <w:vAlign w:val="top"/>
          </w:tcPr>
          <w:p w14:paraId="3EDDF4E7">
            <w:pPr>
              <w:spacing w:before="290" w:line="360" w:lineRule="auto"/>
              <w:jc w:val="center"/>
              <w:rPr>
                <w:rFonts w:hint="eastAsia" w:ascii="宋体" w:hAnsi="宋体" w:eastAsia="宋体" w:cs="宋体"/>
                <w:color w:val="auto"/>
                <w:spacing w:val="4"/>
                <w:sz w:val="24"/>
                <w:szCs w:val="24"/>
                <w:highlight w:val="none"/>
              </w:rPr>
            </w:pPr>
          </w:p>
        </w:tc>
      </w:tr>
      <w:tr w14:paraId="50960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106" w:type="dxa"/>
            <w:tcBorders>
              <w:left w:val="single" w:color="000000" w:sz="6" w:space="0"/>
            </w:tcBorders>
            <w:noWrap w:val="0"/>
            <w:vAlign w:val="top"/>
          </w:tcPr>
          <w:p w14:paraId="620F333C">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姓    名</w:t>
            </w:r>
          </w:p>
        </w:tc>
        <w:tc>
          <w:tcPr>
            <w:tcW w:w="1997" w:type="dxa"/>
            <w:noWrap w:val="0"/>
            <w:vAlign w:val="center"/>
          </w:tcPr>
          <w:p w14:paraId="17AF2F36">
            <w:pPr>
              <w:spacing w:before="290" w:line="360" w:lineRule="auto"/>
              <w:jc w:val="center"/>
              <w:rPr>
                <w:rFonts w:hint="eastAsia" w:ascii="宋体" w:hAnsi="宋体" w:eastAsia="宋体" w:cs="宋体"/>
                <w:color w:val="auto"/>
                <w:spacing w:val="4"/>
                <w:sz w:val="24"/>
                <w:szCs w:val="24"/>
                <w:highlight w:val="none"/>
              </w:rPr>
            </w:pPr>
          </w:p>
        </w:tc>
        <w:tc>
          <w:tcPr>
            <w:tcW w:w="2211" w:type="dxa"/>
            <w:noWrap w:val="0"/>
            <w:vAlign w:val="top"/>
          </w:tcPr>
          <w:p w14:paraId="3621DFEA">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年    龄</w:t>
            </w:r>
          </w:p>
        </w:tc>
        <w:tc>
          <w:tcPr>
            <w:tcW w:w="2225" w:type="dxa"/>
            <w:tcBorders>
              <w:right w:val="single" w:color="000000" w:sz="6" w:space="0"/>
            </w:tcBorders>
            <w:noWrap w:val="0"/>
            <w:vAlign w:val="center"/>
          </w:tcPr>
          <w:p w14:paraId="35864A57">
            <w:pPr>
              <w:spacing w:before="290" w:line="360" w:lineRule="auto"/>
              <w:jc w:val="center"/>
              <w:rPr>
                <w:rFonts w:hint="eastAsia" w:ascii="宋体" w:hAnsi="宋体" w:eastAsia="宋体" w:cs="宋体"/>
                <w:color w:val="auto"/>
                <w:spacing w:val="4"/>
                <w:sz w:val="24"/>
                <w:szCs w:val="24"/>
                <w:highlight w:val="none"/>
              </w:rPr>
            </w:pPr>
          </w:p>
        </w:tc>
      </w:tr>
      <w:tr w14:paraId="77C53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106" w:type="dxa"/>
            <w:tcBorders>
              <w:left w:val="single" w:color="000000" w:sz="6" w:space="0"/>
            </w:tcBorders>
            <w:noWrap w:val="0"/>
            <w:vAlign w:val="top"/>
          </w:tcPr>
          <w:p w14:paraId="375CD553">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性    别</w:t>
            </w:r>
          </w:p>
        </w:tc>
        <w:tc>
          <w:tcPr>
            <w:tcW w:w="1997" w:type="dxa"/>
            <w:noWrap w:val="0"/>
            <w:vAlign w:val="center"/>
          </w:tcPr>
          <w:p w14:paraId="66B5F522">
            <w:pPr>
              <w:spacing w:before="290" w:line="360" w:lineRule="auto"/>
              <w:jc w:val="center"/>
              <w:rPr>
                <w:rFonts w:hint="eastAsia" w:ascii="宋体" w:hAnsi="宋体" w:eastAsia="宋体" w:cs="宋体"/>
                <w:color w:val="auto"/>
                <w:spacing w:val="4"/>
                <w:sz w:val="24"/>
                <w:szCs w:val="24"/>
                <w:highlight w:val="none"/>
              </w:rPr>
            </w:pPr>
          </w:p>
        </w:tc>
        <w:tc>
          <w:tcPr>
            <w:tcW w:w="2211" w:type="dxa"/>
            <w:noWrap w:val="0"/>
            <w:vAlign w:val="top"/>
          </w:tcPr>
          <w:p w14:paraId="615303B5">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专业</w:t>
            </w:r>
          </w:p>
        </w:tc>
        <w:tc>
          <w:tcPr>
            <w:tcW w:w="2225" w:type="dxa"/>
            <w:tcBorders>
              <w:right w:val="single" w:color="000000" w:sz="6" w:space="0"/>
            </w:tcBorders>
            <w:noWrap w:val="0"/>
            <w:vAlign w:val="center"/>
          </w:tcPr>
          <w:p w14:paraId="43A6381A">
            <w:pPr>
              <w:spacing w:before="290" w:line="360" w:lineRule="auto"/>
              <w:jc w:val="center"/>
              <w:rPr>
                <w:rFonts w:hint="eastAsia" w:ascii="宋体" w:hAnsi="宋体" w:eastAsia="宋体" w:cs="宋体"/>
                <w:color w:val="auto"/>
                <w:spacing w:val="4"/>
                <w:sz w:val="24"/>
                <w:szCs w:val="24"/>
                <w:highlight w:val="none"/>
              </w:rPr>
            </w:pPr>
          </w:p>
        </w:tc>
      </w:tr>
      <w:tr w14:paraId="09BF5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2106" w:type="dxa"/>
            <w:tcBorders>
              <w:left w:val="single" w:color="000000" w:sz="6" w:space="0"/>
            </w:tcBorders>
            <w:noWrap w:val="0"/>
            <w:vAlign w:val="top"/>
          </w:tcPr>
          <w:p w14:paraId="5F8CE166">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拥有的执业资格</w:t>
            </w:r>
          </w:p>
        </w:tc>
        <w:tc>
          <w:tcPr>
            <w:tcW w:w="6433" w:type="dxa"/>
            <w:gridSpan w:val="3"/>
            <w:tcBorders>
              <w:right w:val="single" w:color="000000" w:sz="6" w:space="0"/>
            </w:tcBorders>
            <w:noWrap w:val="0"/>
            <w:vAlign w:val="top"/>
          </w:tcPr>
          <w:p w14:paraId="072F0FD2">
            <w:pPr>
              <w:spacing w:before="290" w:line="360" w:lineRule="auto"/>
              <w:jc w:val="center"/>
              <w:rPr>
                <w:rFonts w:hint="eastAsia" w:ascii="宋体" w:hAnsi="宋体" w:eastAsia="宋体" w:cs="宋体"/>
                <w:color w:val="auto"/>
                <w:spacing w:val="4"/>
                <w:sz w:val="24"/>
                <w:szCs w:val="24"/>
                <w:highlight w:val="none"/>
              </w:rPr>
            </w:pPr>
          </w:p>
        </w:tc>
      </w:tr>
      <w:tr w14:paraId="65FF9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 w:hRule="atLeast"/>
        </w:trPr>
        <w:tc>
          <w:tcPr>
            <w:tcW w:w="2106" w:type="dxa"/>
            <w:tcBorders>
              <w:left w:val="single" w:color="000000" w:sz="6" w:space="0"/>
            </w:tcBorders>
            <w:noWrap w:val="0"/>
            <w:vAlign w:val="top"/>
          </w:tcPr>
          <w:p w14:paraId="71D6EBB8">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执业资格证书编号</w:t>
            </w:r>
          </w:p>
        </w:tc>
        <w:tc>
          <w:tcPr>
            <w:tcW w:w="1997" w:type="dxa"/>
            <w:noWrap w:val="0"/>
            <w:vAlign w:val="center"/>
          </w:tcPr>
          <w:p w14:paraId="7917CA86">
            <w:pPr>
              <w:spacing w:before="290" w:line="360" w:lineRule="auto"/>
              <w:jc w:val="center"/>
              <w:rPr>
                <w:rFonts w:hint="eastAsia" w:ascii="宋体" w:hAnsi="宋体" w:eastAsia="宋体" w:cs="宋体"/>
                <w:color w:val="auto"/>
                <w:spacing w:val="4"/>
                <w:sz w:val="24"/>
                <w:szCs w:val="24"/>
                <w:highlight w:val="none"/>
              </w:rPr>
            </w:pPr>
          </w:p>
        </w:tc>
        <w:tc>
          <w:tcPr>
            <w:tcW w:w="2211" w:type="dxa"/>
            <w:noWrap w:val="0"/>
            <w:vAlign w:val="center"/>
          </w:tcPr>
          <w:p w14:paraId="12E86033">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工作年限</w:t>
            </w:r>
          </w:p>
        </w:tc>
        <w:tc>
          <w:tcPr>
            <w:tcW w:w="2225" w:type="dxa"/>
            <w:tcBorders>
              <w:right w:val="single" w:color="000000" w:sz="6" w:space="0"/>
            </w:tcBorders>
            <w:noWrap w:val="0"/>
            <w:vAlign w:val="center"/>
          </w:tcPr>
          <w:p w14:paraId="4EFA4405">
            <w:pPr>
              <w:spacing w:before="290" w:line="360" w:lineRule="auto"/>
              <w:jc w:val="center"/>
              <w:rPr>
                <w:rFonts w:hint="eastAsia" w:ascii="宋体" w:hAnsi="宋体" w:eastAsia="宋体" w:cs="宋体"/>
                <w:color w:val="auto"/>
                <w:spacing w:val="4"/>
                <w:sz w:val="24"/>
                <w:szCs w:val="24"/>
                <w:highlight w:val="none"/>
              </w:rPr>
            </w:pPr>
          </w:p>
        </w:tc>
      </w:tr>
      <w:tr w14:paraId="2377A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7" w:hRule="atLeast"/>
        </w:trPr>
        <w:tc>
          <w:tcPr>
            <w:tcW w:w="2106" w:type="dxa"/>
            <w:tcBorders>
              <w:left w:val="single" w:color="000000" w:sz="6" w:space="0"/>
            </w:tcBorders>
            <w:noWrap w:val="0"/>
            <w:textDirection w:val="tbRlV"/>
            <w:vAlign w:val="center"/>
          </w:tcPr>
          <w:p w14:paraId="04C03683">
            <w:pPr>
              <w:spacing w:before="290" w:line="360" w:lineRule="auto"/>
              <w:jc w:val="center"/>
              <w:rPr>
                <w:rFonts w:hint="eastAsia" w:ascii="宋体" w:hAnsi="宋体" w:eastAsia="宋体" w:cs="宋体"/>
                <w:color w:val="auto"/>
                <w:spacing w:val="4"/>
                <w:sz w:val="24"/>
                <w:szCs w:val="24"/>
                <w:highlight w:val="none"/>
              </w:rPr>
            </w:pPr>
          </w:p>
          <w:p w14:paraId="30FC0705">
            <w:pPr>
              <w:spacing w:before="290"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主要工作业绩及担任的主要工作</w:t>
            </w:r>
          </w:p>
          <w:p w14:paraId="63B8EFDE">
            <w:pPr>
              <w:spacing w:before="290" w:line="360" w:lineRule="auto"/>
              <w:jc w:val="center"/>
              <w:rPr>
                <w:rFonts w:hint="eastAsia" w:ascii="宋体" w:hAnsi="宋体" w:eastAsia="宋体" w:cs="宋体"/>
                <w:color w:val="auto"/>
                <w:spacing w:val="4"/>
                <w:sz w:val="24"/>
                <w:szCs w:val="24"/>
                <w:highlight w:val="none"/>
              </w:rPr>
            </w:pPr>
          </w:p>
        </w:tc>
        <w:tc>
          <w:tcPr>
            <w:tcW w:w="6433" w:type="dxa"/>
            <w:gridSpan w:val="3"/>
            <w:tcBorders>
              <w:right w:val="single" w:color="000000" w:sz="6" w:space="0"/>
            </w:tcBorders>
            <w:noWrap w:val="0"/>
            <w:vAlign w:val="center"/>
          </w:tcPr>
          <w:p w14:paraId="409828BF">
            <w:pPr>
              <w:spacing w:before="290" w:line="360" w:lineRule="auto"/>
              <w:jc w:val="center"/>
              <w:rPr>
                <w:rFonts w:hint="eastAsia" w:ascii="宋体" w:hAnsi="宋体" w:eastAsia="宋体" w:cs="宋体"/>
                <w:color w:val="auto"/>
                <w:spacing w:val="4"/>
                <w:sz w:val="24"/>
                <w:szCs w:val="24"/>
                <w:highlight w:val="none"/>
                <w:lang w:val="en-US" w:eastAsia="zh-CN"/>
              </w:rPr>
            </w:pPr>
          </w:p>
        </w:tc>
      </w:tr>
    </w:tbl>
    <w:p w14:paraId="7FAE898B">
      <w:pPr>
        <w:bidi w:val="0"/>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注：本表人员应与前附表中所列人员相一致，后附相关证明材料应齐全有效</w:t>
      </w:r>
      <w:r>
        <w:rPr>
          <w:rFonts w:hint="eastAsia" w:ascii="宋体" w:hAnsi="宋体" w:cs="宋体"/>
          <w:color w:val="auto"/>
          <w:sz w:val="24"/>
          <w:szCs w:val="24"/>
          <w:highlight w:val="none"/>
          <w:lang w:eastAsia="zh-CN"/>
        </w:rPr>
        <w:t>。</w:t>
      </w:r>
    </w:p>
    <w:p w14:paraId="76CFBED5">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本表后应附：主要项目管理人员指</w:t>
      </w:r>
      <w:r>
        <w:rPr>
          <w:rFonts w:hint="eastAsia" w:ascii="宋体" w:hAnsi="宋体" w:cs="宋体"/>
          <w:color w:val="auto"/>
          <w:sz w:val="24"/>
          <w:szCs w:val="24"/>
          <w:highlight w:val="none"/>
          <w:lang w:val="en-US" w:eastAsia="zh-CN"/>
        </w:rPr>
        <w:t>技术负责人、</w:t>
      </w:r>
      <w:r>
        <w:rPr>
          <w:rFonts w:hint="eastAsia" w:ascii="宋体" w:hAnsi="宋体" w:eastAsia="宋体" w:cs="宋体"/>
          <w:color w:val="auto"/>
          <w:sz w:val="24"/>
          <w:szCs w:val="24"/>
        </w:rPr>
        <w:t>消防设施操作员</w:t>
      </w:r>
      <w:r>
        <w:rPr>
          <w:rFonts w:hint="eastAsia" w:ascii="宋体" w:hAnsi="宋体" w:eastAsia="宋体" w:cs="宋体"/>
          <w:color w:val="auto"/>
          <w:sz w:val="24"/>
          <w:szCs w:val="24"/>
          <w:highlight w:val="none"/>
        </w:rPr>
        <w:t>等的相关岗位管理人员。应附注册资格证书(或岗位证书)、身份证、学历证的复印件</w:t>
      </w:r>
      <w:r>
        <w:rPr>
          <w:rFonts w:hint="eastAsia" w:ascii="宋体" w:hAnsi="宋体" w:cs="宋体"/>
          <w:color w:val="auto"/>
          <w:sz w:val="24"/>
          <w:szCs w:val="24"/>
          <w:highlight w:val="none"/>
          <w:lang w:eastAsia="zh-CN"/>
        </w:rPr>
        <w:t>。</w:t>
      </w:r>
    </w:p>
    <w:p w14:paraId="0CBE59D8">
      <w:pPr>
        <w:spacing w:line="360" w:lineRule="auto"/>
        <w:jc w:val="both"/>
        <w:rPr>
          <w:rFonts w:hint="eastAsia" w:ascii="宋体" w:hAnsi="宋体" w:eastAsia="宋体" w:cs="宋体"/>
          <w:color w:val="auto"/>
          <w:sz w:val="24"/>
          <w:szCs w:val="24"/>
          <w:highlight w:val="none"/>
        </w:rPr>
      </w:pPr>
    </w:p>
    <w:p w14:paraId="322CF7F8">
      <w:pPr>
        <w:spacing w:line="360" w:lineRule="auto"/>
        <w:jc w:val="both"/>
        <w:rPr>
          <w:rFonts w:hint="eastAsia" w:ascii="宋体" w:hAnsi="宋体" w:eastAsia="宋体" w:cs="宋体"/>
          <w:color w:val="auto"/>
          <w:highlight w:val="none"/>
        </w:rPr>
      </w:pPr>
    </w:p>
    <w:p w14:paraId="4500C451">
      <w:pPr>
        <w:spacing w:line="360" w:lineRule="auto"/>
        <w:jc w:val="both"/>
        <w:rPr>
          <w:rFonts w:hint="eastAsia" w:ascii="宋体" w:hAnsi="宋体" w:eastAsia="宋体" w:cs="宋体"/>
          <w:color w:val="auto"/>
          <w:highlight w:val="none"/>
        </w:rPr>
      </w:pPr>
    </w:p>
    <w:p w14:paraId="198EF1AF">
      <w:pPr>
        <w:pStyle w:val="42"/>
        <w:rPr>
          <w:rFonts w:hint="eastAsia" w:ascii="宋体" w:hAnsi="宋体" w:eastAsia="宋体" w:cs="宋体"/>
          <w:color w:val="auto"/>
          <w:highlight w:val="none"/>
        </w:rPr>
      </w:pPr>
    </w:p>
    <w:p w14:paraId="71CE6EF5">
      <w:pPr>
        <w:spacing w:line="360" w:lineRule="auto"/>
        <w:jc w:val="both"/>
        <w:rPr>
          <w:rFonts w:hint="eastAsia" w:ascii="宋体" w:hAnsi="宋体" w:eastAsia="宋体" w:cs="宋体"/>
          <w:color w:val="auto"/>
          <w:highlight w:val="none"/>
        </w:rPr>
      </w:pPr>
    </w:p>
    <w:p w14:paraId="1FFDBFD3">
      <w:pPr>
        <w:spacing w:line="360" w:lineRule="auto"/>
        <w:jc w:val="both"/>
        <w:rPr>
          <w:rFonts w:hint="eastAsia" w:ascii="宋体" w:hAnsi="宋体" w:eastAsia="宋体" w:cs="宋体"/>
          <w:color w:val="auto"/>
          <w:highlight w:val="none"/>
        </w:rPr>
      </w:pPr>
    </w:p>
    <w:p w14:paraId="0B865538">
      <w:pPr>
        <w:spacing w:line="360" w:lineRule="auto"/>
        <w:jc w:val="both"/>
        <w:rPr>
          <w:rFonts w:hint="eastAsia" w:ascii="宋体" w:hAnsi="宋体" w:eastAsia="宋体" w:cs="宋体"/>
          <w:color w:val="auto"/>
          <w:highlight w:val="none"/>
        </w:rPr>
      </w:pPr>
    </w:p>
    <w:p w14:paraId="2E5E4B68">
      <w:pPr>
        <w:spacing w:line="360" w:lineRule="auto"/>
        <w:jc w:val="both"/>
        <w:rPr>
          <w:rFonts w:hint="eastAsia" w:ascii="宋体" w:hAnsi="宋体" w:eastAsia="宋体" w:cs="宋体"/>
          <w:b/>
          <w:bCs w:val="0"/>
          <w:color w:val="auto"/>
          <w:kern w:val="2"/>
          <w:sz w:val="24"/>
          <w:szCs w:val="24"/>
          <w:highlight w:val="none"/>
          <w:lang w:val="en-US" w:eastAsia="zh-CN" w:bidi="ar"/>
        </w:rPr>
        <w:sect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p>
    <w:p w14:paraId="206163A1">
      <w:pPr>
        <w:pStyle w:val="5"/>
        <w:bidi w:val="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附表</w:t>
      </w:r>
      <w:r>
        <w:rPr>
          <w:rFonts w:hint="eastAsia" w:ascii="宋体" w:hAnsi="宋体" w:cs="宋体"/>
          <w:color w:val="auto"/>
          <w:sz w:val="24"/>
          <w:szCs w:val="24"/>
          <w:lang w:val="en-US" w:eastAsia="zh-CN"/>
        </w:rPr>
        <w:t>七</w:t>
      </w:r>
      <w:r>
        <w:rPr>
          <w:rFonts w:hint="eastAsia" w:ascii="宋体" w:hAnsi="宋体" w:eastAsia="宋体" w:cs="宋体"/>
          <w:color w:val="auto"/>
          <w:sz w:val="24"/>
          <w:szCs w:val="24"/>
          <w:lang w:val="en-US" w:eastAsia="zh-CN"/>
        </w:rPr>
        <w:t>、近年完成的类似项目情况表</w:t>
      </w:r>
    </w:p>
    <w:tbl>
      <w:tblPr>
        <w:tblStyle w:val="24"/>
        <w:tblW w:w="897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2418"/>
        <w:gridCol w:w="6561"/>
      </w:tblGrid>
      <w:tr w14:paraId="13200C8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14" w:hRule="atLeast"/>
          <w:jc w:val="center"/>
        </w:trPr>
        <w:tc>
          <w:tcPr>
            <w:tcW w:w="2418" w:type="dxa"/>
            <w:noWrap w:val="0"/>
            <w:vAlign w:val="center"/>
          </w:tcPr>
          <w:p w14:paraId="25C4E1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561" w:type="dxa"/>
            <w:noWrap w:val="0"/>
            <w:vAlign w:val="center"/>
          </w:tcPr>
          <w:p w14:paraId="2ED95CA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7A8FAC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3B55B62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项目所在地</w:t>
            </w:r>
          </w:p>
        </w:tc>
        <w:tc>
          <w:tcPr>
            <w:tcW w:w="6561" w:type="dxa"/>
            <w:noWrap w:val="0"/>
            <w:vAlign w:val="center"/>
          </w:tcPr>
          <w:p w14:paraId="6F2EBE2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C70BC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24A20BF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发包人名称</w:t>
            </w:r>
          </w:p>
        </w:tc>
        <w:tc>
          <w:tcPr>
            <w:tcW w:w="6561" w:type="dxa"/>
            <w:noWrap w:val="0"/>
            <w:vAlign w:val="center"/>
          </w:tcPr>
          <w:p w14:paraId="03AA7D3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239E36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2807378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发包人地址</w:t>
            </w:r>
          </w:p>
        </w:tc>
        <w:tc>
          <w:tcPr>
            <w:tcW w:w="6561" w:type="dxa"/>
            <w:noWrap w:val="0"/>
            <w:vAlign w:val="center"/>
          </w:tcPr>
          <w:p w14:paraId="2FE2B76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B5E5A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7F5ED44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发包人电话</w:t>
            </w:r>
          </w:p>
        </w:tc>
        <w:tc>
          <w:tcPr>
            <w:tcW w:w="6561" w:type="dxa"/>
            <w:noWrap w:val="0"/>
            <w:vAlign w:val="center"/>
          </w:tcPr>
          <w:p w14:paraId="448E1E2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3AAD5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445554D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合同价格</w:t>
            </w:r>
          </w:p>
        </w:tc>
        <w:tc>
          <w:tcPr>
            <w:tcW w:w="6561" w:type="dxa"/>
            <w:noWrap w:val="0"/>
            <w:vAlign w:val="center"/>
          </w:tcPr>
          <w:p w14:paraId="41273DE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02FED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4FFAF11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开工日期</w:t>
            </w:r>
          </w:p>
        </w:tc>
        <w:tc>
          <w:tcPr>
            <w:tcW w:w="6561" w:type="dxa"/>
            <w:noWrap w:val="0"/>
            <w:vAlign w:val="center"/>
          </w:tcPr>
          <w:p w14:paraId="6FE42E1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50AAA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4B6F885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交工日期</w:t>
            </w:r>
          </w:p>
        </w:tc>
        <w:tc>
          <w:tcPr>
            <w:tcW w:w="6561" w:type="dxa"/>
            <w:noWrap w:val="0"/>
            <w:vAlign w:val="center"/>
          </w:tcPr>
          <w:p w14:paraId="712E0D8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74932A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0C0716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承担的工作</w:t>
            </w:r>
          </w:p>
        </w:tc>
        <w:tc>
          <w:tcPr>
            <w:tcW w:w="6561" w:type="dxa"/>
            <w:noWrap w:val="0"/>
            <w:vAlign w:val="center"/>
          </w:tcPr>
          <w:p w14:paraId="56E2224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81339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080F254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w:t>
            </w:r>
          </w:p>
        </w:tc>
        <w:tc>
          <w:tcPr>
            <w:tcW w:w="6561" w:type="dxa"/>
            <w:noWrap w:val="0"/>
            <w:vAlign w:val="center"/>
          </w:tcPr>
          <w:p w14:paraId="5DACBC6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4C9EC4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29252C9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项目经理</w:t>
            </w:r>
          </w:p>
        </w:tc>
        <w:tc>
          <w:tcPr>
            <w:tcW w:w="6561" w:type="dxa"/>
            <w:noWrap w:val="0"/>
            <w:vAlign w:val="center"/>
          </w:tcPr>
          <w:p w14:paraId="2EEE87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2FF49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0A3D0C1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项目总工</w:t>
            </w:r>
          </w:p>
        </w:tc>
        <w:tc>
          <w:tcPr>
            <w:tcW w:w="6561" w:type="dxa"/>
            <w:noWrap w:val="0"/>
            <w:vAlign w:val="center"/>
          </w:tcPr>
          <w:p w14:paraId="053AC49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DB794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25" w:hRule="atLeast"/>
          <w:jc w:val="center"/>
        </w:trPr>
        <w:tc>
          <w:tcPr>
            <w:tcW w:w="2418" w:type="dxa"/>
            <w:noWrap w:val="0"/>
            <w:vAlign w:val="center"/>
          </w:tcPr>
          <w:p w14:paraId="1C6E43E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项目描述</w:t>
            </w:r>
          </w:p>
        </w:tc>
        <w:tc>
          <w:tcPr>
            <w:tcW w:w="6561" w:type="dxa"/>
            <w:noWrap w:val="0"/>
            <w:vAlign w:val="center"/>
          </w:tcPr>
          <w:p w14:paraId="248AA1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29128E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748" w:hRule="atLeast"/>
          <w:jc w:val="center"/>
        </w:trPr>
        <w:tc>
          <w:tcPr>
            <w:tcW w:w="2418" w:type="dxa"/>
            <w:noWrap w:val="0"/>
            <w:vAlign w:val="center"/>
          </w:tcPr>
          <w:p w14:paraId="6A48D17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561" w:type="dxa"/>
            <w:noWrap w:val="0"/>
            <w:vAlign w:val="center"/>
          </w:tcPr>
          <w:p w14:paraId="5048244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bl>
    <w:p w14:paraId="7999518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注：1.每张表格只填定一个项目，并标明序号。</w:t>
      </w:r>
    </w:p>
    <w:p w14:paraId="3C5EE491">
      <w:pPr>
        <w:shd w:val="clear" w:color="auto" w:fill="auto"/>
        <w:tabs>
          <w:tab w:val="left" w:pos="8782"/>
        </w:tabs>
        <w:snapToGrid w:val="0"/>
        <w:spacing w:before="120" w:line="360" w:lineRule="auto"/>
        <w:ind w:right="-38"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2.本表后须附</w:t>
      </w:r>
      <w:r>
        <w:rPr>
          <w:rFonts w:hint="eastAsia" w:ascii="宋体" w:hAnsi="宋体" w:eastAsia="宋体" w:cs="宋体"/>
          <w:color w:val="auto"/>
          <w:sz w:val="24"/>
          <w:szCs w:val="24"/>
          <w:highlight w:val="none"/>
          <w:lang w:eastAsia="zh-CN"/>
        </w:rPr>
        <w:t>竞争性磋商文件要求的业绩证明文件</w:t>
      </w:r>
      <w:r>
        <w:rPr>
          <w:rFonts w:hint="eastAsia" w:ascii="宋体" w:hAnsi="宋体" w:eastAsia="宋体" w:cs="宋体"/>
          <w:color w:val="auto"/>
          <w:sz w:val="24"/>
          <w:szCs w:val="24"/>
          <w:highlight w:val="none"/>
        </w:rPr>
        <w:t>复印件。</w:t>
      </w:r>
    </w:p>
    <w:p w14:paraId="26CDD6FB">
      <w:pPr>
        <w:pStyle w:val="11"/>
        <w:shd w:val="clear" w:color="auto" w:fill="auto"/>
        <w:rPr>
          <w:rFonts w:hint="eastAsia" w:ascii="宋体" w:hAnsi="宋体" w:eastAsia="宋体" w:cs="宋体"/>
          <w:color w:val="auto"/>
          <w:highlight w:val="none"/>
          <w:lang w:val="en-US" w:eastAsia="zh-CN"/>
        </w:rPr>
        <w:sectPr>
          <w:pgSz w:w="11900" w:h="16838"/>
          <w:pgMar w:top="1332" w:right="1196" w:bottom="1417" w:left="1672" w:header="680" w:footer="680" w:gutter="0"/>
          <w:pgBorders>
            <w:top w:val="none" w:sz="0" w:space="0"/>
            <w:left w:val="none" w:sz="0" w:space="0"/>
            <w:bottom w:val="none" w:sz="0" w:space="0"/>
            <w:right w:val="none" w:sz="0" w:space="0"/>
          </w:pgBorders>
          <w:pgNumType w:fmt="decimal"/>
          <w:cols w:space="0" w:num="1"/>
          <w:rtlGutter w:val="0"/>
          <w:docGrid w:linePitch="312" w:charSpace="0"/>
        </w:sectPr>
      </w:pPr>
    </w:p>
    <w:p w14:paraId="20D6136D">
      <w:pPr>
        <w:rPr>
          <w:rFonts w:hint="eastAsia" w:ascii="宋体" w:hAnsi="宋体" w:eastAsia="宋体" w:cs="宋体"/>
          <w:color w:val="auto"/>
        </w:rPr>
      </w:pPr>
      <w:bookmarkStart w:id="382" w:name="_Toc4420"/>
      <w:bookmarkStart w:id="383" w:name="_Toc14198"/>
      <w:bookmarkStart w:id="384" w:name="_Toc25812"/>
      <w:bookmarkStart w:id="385" w:name="_Toc26609"/>
      <w:bookmarkStart w:id="386" w:name="_Toc25142"/>
      <w:bookmarkStart w:id="387" w:name="_Toc1594"/>
      <w:bookmarkStart w:id="388" w:name="_Toc30393"/>
      <w:bookmarkStart w:id="389" w:name="_Toc3883"/>
      <w:r>
        <w:rPr>
          <w:rFonts w:hint="eastAsia" w:ascii="宋体" w:hAnsi="宋体" w:eastAsia="宋体" w:cs="宋体"/>
          <w:b/>
          <w:color w:val="auto"/>
          <w:highlight w:val="none"/>
        </w:rPr>
        <w:t>三、供应商认为有利于本次</w:t>
      </w:r>
      <w:r>
        <w:rPr>
          <w:rFonts w:hint="eastAsia" w:ascii="宋体" w:hAnsi="宋体" w:eastAsia="宋体" w:cs="宋体"/>
          <w:b/>
          <w:color w:val="auto"/>
          <w:highlight w:val="none"/>
          <w:lang w:val="en-US" w:eastAsia="zh-CN"/>
        </w:rPr>
        <w:t>磋商</w:t>
      </w:r>
      <w:r>
        <w:rPr>
          <w:rFonts w:hint="eastAsia" w:ascii="宋体" w:hAnsi="宋体" w:eastAsia="宋体" w:cs="宋体"/>
          <w:b/>
          <w:color w:val="auto"/>
          <w:highlight w:val="none"/>
        </w:rPr>
        <w:t>的其他情况说明。</w:t>
      </w:r>
      <w:bookmarkEnd w:id="382"/>
      <w:bookmarkEnd w:id="383"/>
      <w:bookmarkEnd w:id="384"/>
      <w:bookmarkEnd w:id="385"/>
      <w:bookmarkEnd w:id="386"/>
      <w:bookmarkEnd w:id="387"/>
      <w:bookmarkEnd w:id="388"/>
      <w:bookmarkEnd w:id="389"/>
    </w:p>
    <w:p w14:paraId="2B798A30">
      <w:pPr>
        <w:pStyle w:val="32"/>
        <w:rPr>
          <w:rFonts w:hint="eastAsia" w:ascii="宋体" w:hAnsi="宋体" w:eastAsia="宋体" w:cs="宋体"/>
          <w:color w:val="auto"/>
        </w:rPr>
      </w:pPr>
    </w:p>
    <w:p w14:paraId="261F0AD5">
      <w:pPr>
        <w:pStyle w:val="32"/>
        <w:rPr>
          <w:rFonts w:hint="eastAsia" w:ascii="宋体" w:hAnsi="宋体" w:eastAsia="宋体" w:cs="宋体"/>
          <w:color w:val="auto"/>
        </w:rPr>
      </w:pPr>
    </w:p>
    <w:p w14:paraId="6226DC9C">
      <w:pPr>
        <w:pStyle w:val="32"/>
        <w:rPr>
          <w:rFonts w:hint="eastAsia" w:ascii="宋体" w:hAnsi="宋体" w:eastAsia="宋体" w:cs="宋体"/>
          <w:color w:val="auto"/>
        </w:rPr>
      </w:pPr>
    </w:p>
    <w:p w14:paraId="3099FE9F">
      <w:pPr>
        <w:pStyle w:val="32"/>
        <w:rPr>
          <w:rFonts w:hint="eastAsia" w:ascii="宋体" w:hAnsi="宋体" w:eastAsia="宋体" w:cs="宋体"/>
          <w:color w:val="auto"/>
        </w:rPr>
      </w:pPr>
    </w:p>
    <w:p w14:paraId="350D0C19">
      <w:pPr>
        <w:spacing w:line="360" w:lineRule="auto"/>
        <w:jc w:val="both"/>
        <w:rPr>
          <w:rFonts w:hint="eastAsia" w:ascii="宋体" w:hAnsi="宋体" w:eastAsia="宋体" w:cs="宋体"/>
          <w:b/>
          <w:bCs/>
          <w:color w:val="auto"/>
          <w:sz w:val="24"/>
          <w:szCs w:val="22"/>
          <w:lang w:eastAsia="zh-CN"/>
        </w:rPr>
      </w:pPr>
      <w:r>
        <w:rPr>
          <w:rFonts w:hint="eastAsia" w:ascii="宋体" w:hAnsi="宋体" w:eastAsia="宋体" w:cs="宋体"/>
          <w:b/>
          <w:bCs/>
          <w:color w:val="auto"/>
          <w:sz w:val="24"/>
          <w:szCs w:val="22"/>
        </w:rPr>
        <w:br w:type="page"/>
      </w:r>
      <w:r>
        <w:rPr>
          <w:rFonts w:hint="eastAsia" w:ascii="宋体" w:hAnsi="宋体" w:eastAsia="宋体" w:cs="宋体"/>
          <w:b/>
          <w:bCs/>
          <w:color w:val="auto"/>
          <w:sz w:val="24"/>
          <w:szCs w:val="22"/>
        </w:rPr>
        <w:t>附件</w:t>
      </w:r>
      <w:r>
        <w:rPr>
          <w:rFonts w:hint="eastAsia" w:ascii="宋体" w:hAnsi="宋体" w:eastAsia="宋体" w:cs="宋体"/>
          <w:b/>
          <w:bCs/>
          <w:color w:val="auto"/>
          <w:sz w:val="24"/>
          <w:szCs w:val="22"/>
          <w:lang w:val="en-US" w:eastAsia="zh-CN"/>
        </w:rPr>
        <w:t>一</w:t>
      </w:r>
      <w:r>
        <w:rPr>
          <w:rFonts w:hint="eastAsia" w:ascii="宋体" w:hAnsi="宋体" w:eastAsia="宋体" w:cs="宋体"/>
          <w:b/>
          <w:bCs/>
          <w:color w:val="auto"/>
          <w:sz w:val="24"/>
          <w:szCs w:val="22"/>
        </w:rPr>
        <w:t>：</w:t>
      </w:r>
      <w:r>
        <w:rPr>
          <w:rFonts w:hint="eastAsia" w:ascii="宋体" w:hAnsi="宋体" w:eastAsia="宋体" w:cs="宋体"/>
          <w:b/>
          <w:bCs/>
          <w:color w:val="auto"/>
          <w:sz w:val="24"/>
          <w:szCs w:val="22"/>
          <w:lang w:eastAsia="zh-CN"/>
        </w:rPr>
        <w:t>信用承诺上报操作指南</w:t>
      </w:r>
    </w:p>
    <w:p w14:paraId="7B9EEED6">
      <w:pPr>
        <w:rPr>
          <w:spacing w:val="0"/>
          <w:position w:val="0"/>
        </w:rPr>
      </w:pPr>
      <w:r>
        <w:rPr>
          <w:spacing w:val="0"/>
          <w:position w:val="0"/>
        </w:rPr>
        <w:drawing>
          <wp:inline distT="0" distB="0" distL="114300" distR="114300">
            <wp:extent cx="5824855" cy="7917815"/>
            <wp:effectExtent l="0" t="0" r="4445" b="6985"/>
            <wp:docPr id="15" name="图片 2"/>
            <wp:cNvGraphicFramePr/>
            <a:graphic xmlns:a="http://schemas.openxmlformats.org/drawingml/2006/main">
              <a:graphicData uri="http://schemas.openxmlformats.org/drawingml/2006/picture">
                <pic:pic xmlns:pic="http://schemas.openxmlformats.org/drawingml/2006/picture">
                  <pic:nvPicPr>
                    <pic:cNvPr id="15" name="图片 2"/>
                    <pic:cNvPicPr/>
                  </pic:nvPicPr>
                  <pic:blipFill>
                    <a:blip r:embed="rId37"/>
                    <a:stretch>
                      <a:fillRect/>
                    </a:stretch>
                  </pic:blipFill>
                  <pic:spPr>
                    <a:xfrm>
                      <a:off x="0" y="0"/>
                      <a:ext cx="5824855" cy="7917815"/>
                    </a:xfrm>
                    <a:prstGeom prst="rect">
                      <a:avLst/>
                    </a:prstGeom>
                    <a:noFill/>
                    <a:ln>
                      <a:noFill/>
                    </a:ln>
                  </pic:spPr>
                </pic:pic>
              </a:graphicData>
            </a:graphic>
          </wp:inline>
        </w:drawing>
      </w:r>
    </w:p>
    <w:p w14:paraId="37D7DBEC">
      <w:pPr>
        <w:rPr>
          <w:spacing w:val="0"/>
          <w:position w:val="0"/>
        </w:rPr>
      </w:pPr>
      <w:r>
        <w:rPr>
          <w:spacing w:val="0"/>
          <w:position w:val="0"/>
        </w:rPr>
        <w:br w:type="page"/>
      </w:r>
    </w:p>
    <w:p w14:paraId="036C6B4D">
      <w:pPr>
        <w:rPr>
          <w:b/>
          <w:bCs/>
          <w:spacing w:val="0"/>
          <w:position w:val="0"/>
          <w:sz w:val="31"/>
          <w:szCs w:val="31"/>
        </w:rPr>
      </w:pPr>
      <w:r>
        <w:rPr>
          <w:spacing w:val="0"/>
          <w:position w:val="0"/>
        </w:rPr>
        <w:drawing>
          <wp:inline distT="0" distB="0" distL="114300" distR="114300">
            <wp:extent cx="5843270" cy="8251190"/>
            <wp:effectExtent l="0" t="0" r="5080" b="16510"/>
            <wp:docPr id="16" name="图片 3"/>
            <wp:cNvGraphicFramePr/>
            <a:graphic xmlns:a="http://schemas.openxmlformats.org/drawingml/2006/main">
              <a:graphicData uri="http://schemas.openxmlformats.org/drawingml/2006/picture">
                <pic:pic xmlns:pic="http://schemas.openxmlformats.org/drawingml/2006/picture">
                  <pic:nvPicPr>
                    <pic:cNvPr id="16" name="图片 3"/>
                    <pic:cNvPicPr/>
                  </pic:nvPicPr>
                  <pic:blipFill>
                    <a:blip r:embed="rId38"/>
                    <a:stretch>
                      <a:fillRect/>
                    </a:stretch>
                  </pic:blipFill>
                  <pic:spPr>
                    <a:xfrm>
                      <a:off x="0" y="0"/>
                      <a:ext cx="5843270" cy="8251190"/>
                    </a:xfrm>
                    <a:prstGeom prst="rect">
                      <a:avLst/>
                    </a:prstGeom>
                    <a:noFill/>
                    <a:ln>
                      <a:noFill/>
                    </a:ln>
                  </pic:spPr>
                </pic:pic>
              </a:graphicData>
            </a:graphic>
          </wp:inline>
        </w:drawing>
      </w:r>
      <w:r>
        <w:rPr>
          <w:rFonts w:hint="eastAsia" w:ascii="宋体" w:hAnsi="宋体" w:eastAsia="宋体" w:cs="宋体"/>
          <w:spacing w:val="0"/>
          <w:position w:val="0"/>
        </w:rPr>
        <w:drawing>
          <wp:inline distT="0" distB="0" distL="114300" distR="114300">
            <wp:extent cx="5709285" cy="5453380"/>
            <wp:effectExtent l="0" t="0" r="5715" b="13970"/>
            <wp:docPr id="24" name="图片 4"/>
            <wp:cNvGraphicFramePr/>
            <a:graphic xmlns:a="http://schemas.openxmlformats.org/drawingml/2006/main">
              <a:graphicData uri="http://schemas.openxmlformats.org/drawingml/2006/picture">
                <pic:pic xmlns:pic="http://schemas.openxmlformats.org/drawingml/2006/picture">
                  <pic:nvPicPr>
                    <pic:cNvPr id="24" name="图片 4"/>
                    <pic:cNvPicPr/>
                  </pic:nvPicPr>
                  <pic:blipFill>
                    <a:blip r:embed="rId39"/>
                    <a:stretch>
                      <a:fillRect/>
                    </a:stretch>
                  </pic:blipFill>
                  <pic:spPr>
                    <a:xfrm>
                      <a:off x="0" y="0"/>
                      <a:ext cx="5709285" cy="5453380"/>
                    </a:xfrm>
                    <a:prstGeom prst="rect">
                      <a:avLst/>
                    </a:prstGeom>
                    <a:noFill/>
                    <a:ln>
                      <a:noFill/>
                    </a:ln>
                  </pic:spPr>
                </pic:pic>
              </a:graphicData>
            </a:graphic>
          </wp:inline>
        </w:drawing>
      </w:r>
      <w:r>
        <w:rPr>
          <w:rFonts w:hint="eastAsia" w:ascii="宋体" w:hAnsi="宋体" w:eastAsia="宋体" w:cs="宋体"/>
          <w:spacing w:val="0"/>
          <w:position w:val="0"/>
        </w:rPr>
        <w:drawing>
          <wp:inline distT="0" distB="0" distL="114300" distR="114300">
            <wp:extent cx="5350510" cy="5903595"/>
            <wp:effectExtent l="0" t="0" r="2540" b="1905"/>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icPr>
                  <pic:blipFill>
                    <a:blip r:embed="rId40"/>
                    <a:stretch>
                      <a:fillRect/>
                    </a:stretch>
                  </pic:blipFill>
                  <pic:spPr>
                    <a:xfrm>
                      <a:off x="0" y="0"/>
                      <a:ext cx="5350510" cy="5903595"/>
                    </a:xfrm>
                    <a:prstGeom prst="rect">
                      <a:avLst/>
                    </a:prstGeom>
                    <a:noFill/>
                    <a:ln>
                      <a:noFill/>
                    </a:ln>
                  </pic:spPr>
                </pic:pic>
              </a:graphicData>
            </a:graphic>
          </wp:inline>
        </w:drawing>
      </w:r>
      <w:r>
        <w:rPr>
          <w:b/>
          <w:bCs/>
          <w:spacing w:val="0"/>
          <w:position w:val="0"/>
          <w:sz w:val="31"/>
          <w:szCs w:val="31"/>
        </w:rPr>
        <w:br w:type="page"/>
      </w:r>
    </w:p>
    <w:p w14:paraId="577136D1">
      <w:pPr>
        <w:bidi w:val="0"/>
        <w:spacing w:line="360" w:lineRule="auto"/>
        <w:rPr>
          <w:rFonts w:hint="eastAsia" w:ascii="宋体" w:hAnsi="宋体" w:eastAsia="宋体" w:cs="宋体"/>
          <w:b/>
          <w:bCs/>
          <w:color w:val="auto"/>
          <w:sz w:val="24"/>
          <w:szCs w:val="20"/>
          <w:lang w:val="en-US" w:eastAsia="zh-CN"/>
        </w:rPr>
      </w:pPr>
      <w:bookmarkStart w:id="390" w:name="_Toc26539"/>
      <w:r>
        <w:rPr>
          <w:rFonts w:hint="eastAsia" w:ascii="宋体" w:hAnsi="宋体" w:eastAsia="宋体" w:cs="宋体"/>
          <w:b/>
          <w:bCs/>
          <w:color w:val="auto"/>
          <w:sz w:val="24"/>
          <w:szCs w:val="20"/>
          <w:lang w:val="en-US" w:eastAsia="zh-CN"/>
        </w:rPr>
        <w:t>附件二：中小微企业划型标准</w:t>
      </w:r>
      <w:bookmarkEnd w:id="390"/>
    </w:p>
    <w:tbl>
      <w:tblPr>
        <w:tblStyle w:val="24"/>
        <w:tblW w:w="9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380"/>
        <w:gridCol w:w="1523"/>
        <w:gridCol w:w="919"/>
        <w:gridCol w:w="2782"/>
        <w:gridCol w:w="1810"/>
        <w:gridCol w:w="1086"/>
      </w:tblGrid>
      <w:tr w14:paraId="4C6FC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9500" w:type="dxa"/>
            <w:gridSpan w:val="6"/>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D7F2B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中小微企业划型标准如下：</w:t>
            </w:r>
          </w:p>
        </w:tc>
      </w:tr>
      <w:tr w14:paraId="0CFB1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22952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行业名称</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1C49B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指标名称</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08533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计量单位</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05DAA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中型</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BE9CD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小型</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A2C52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微型</w:t>
            </w:r>
          </w:p>
        </w:tc>
      </w:tr>
      <w:tr w14:paraId="46EE5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8524C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农、林、牧、渔</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D2081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B2D04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AC47F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500≤Y＜20000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3E324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50≤Y＜500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D7752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Y＜50</w:t>
            </w:r>
          </w:p>
        </w:tc>
      </w:tr>
      <w:tr w14:paraId="74D3A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B5EA5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EC0114">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47FEA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783C9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9AB19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13F84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X＜20</w:t>
            </w:r>
          </w:p>
        </w:tc>
      </w:tr>
      <w:tr w14:paraId="19FC7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3DF19">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4618A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80BFF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DD623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2000≤Y＜40000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9936F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300≤Y＜2000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F76F1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Y＜300</w:t>
            </w:r>
          </w:p>
        </w:tc>
      </w:tr>
      <w:tr w14:paraId="71161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D57E9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F112B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A67B6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1107F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6000≤Y＜80000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9258BC">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300≤Y＜6000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16FD9A">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Y＜300</w:t>
            </w:r>
          </w:p>
        </w:tc>
      </w:tr>
      <w:tr w14:paraId="545FC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03DC4F">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01311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资产总额（Z）</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FC897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A6E37A">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5000≤Z＜80000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243B0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300≤Z＜5000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33A12A">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Z＜300</w:t>
            </w:r>
          </w:p>
        </w:tc>
      </w:tr>
      <w:tr w14:paraId="66D14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02990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批发业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84432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B3C14A">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3E3074">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20≤X＜200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455C1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5≤X＜20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F5AC1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X＜5</w:t>
            </w:r>
          </w:p>
        </w:tc>
      </w:tr>
      <w:tr w14:paraId="62844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6B339E">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02F7E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69BEB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FCB91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5000≤Y＜40000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92026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1000≤Y＜5000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B3D024">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Y＜1000</w:t>
            </w:r>
          </w:p>
        </w:tc>
      </w:tr>
      <w:tr w14:paraId="6E68A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2D68B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零售业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7E778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49479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37788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D7BD3A">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10≤X＜50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A7095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w:t>
            </w:r>
          </w:p>
        </w:tc>
      </w:tr>
      <w:tr w14:paraId="78918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46CB1E">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79B3AC">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38EF7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8D776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500≤Y＜20000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42F26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100≤Y＜500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795264">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Y＜100</w:t>
            </w:r>
          </w:p>
        </w:tc>
      </w:tr>
      <w:tr w14:paraId="57389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1C817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交通运输业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52BFB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E158F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40F23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59B47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1331A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X＜20</w:t>
            </w:r>
          </w:p>
        </w:tc>
      </w:tr>
      <w:tr w14:paraId="6A389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DEACC1">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56F35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FFC31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29946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3000≤Y＜30000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B5179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200≤Y＜3000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BDF31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Y＜200</w:t>
            </w:r>
          </w:p>
        </w:tc>
      </w:tr>
      <w:tr w14:paraId="58C2B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C4CB0C">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仓储业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E1D0A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DEAC3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C08E6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100≤X＜200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C01A5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692F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X＜20</w:t>
            </w:r>
          </w:p>
        </w:tc>
      </w:tr>
      <w:tr w14:paraId="13F6A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2B5431">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A4F50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E6393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01ED0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1000≤Y＜30000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031A1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100≤Y＜1000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CD4AC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Y＜100</w:t>
            </w:r>
          </w:p>
        </w:tc>
      </w:tr>
      <w:tr w14:paraId="75CC3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60FF2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邮政业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FE0304">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F1645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425AC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55F42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408A8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X＜20</w:t>
            </w:r>
          </w:p>
        </w:tc>
      </w:tr>
      <w:tr w14:paraId="1F7E8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FAA83F">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1D21D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2359A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33F62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2000≤Y＜30000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48EDF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100≤Y＜2000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2F84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Y＜100</w:t>
            </w:r>
          </w:p>
        </w:tc>
      </w:tr>
      <w:tr w14:paraId="507FF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B8A42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住宿业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32155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99FC9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ED43F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ABFC3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468D4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w:t>
            </w:r>
          </w:p>
        </w:tc>
      </w:tr>
      <w:tr w14:paraId="20678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0AEA65">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D130D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53DCB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4E45B4">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2000≤Y＜10000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30326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100≤Y＜2000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1DEA2A">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Y＜100</w:t>
            </w:r>
          </w:p>
        </w:tc>
      </w:tr>
      <w:tr w14:paraId="54272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CCD2C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餐饮业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D255C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DC79E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05902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8185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D7EBC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w:t>
            </w:r>
          </w:p>
        </w:tc>
      </w:tr>
      <w:tr w14:paraId="4ABA6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57A383">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A9F0FC">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E1FA4A">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08F99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2000≤Y＜10000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8BB99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100≤Y＜2000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E5FA2C">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Y＜100</w:t>
            </w:r>
          </w:p>
        </w:tc>
      </w:tr>
      <w:tr w14:paraId="33D6C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D9ACC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信息传输业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82B5D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7E3E9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FCBBD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100≤X＜2000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A8E11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D0A36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w:t>
            </w:r>
          </w:p>
        </w:tc>
      </w:tr>
      <w:tr w14:paraId="1362F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DACDC7">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2BDB1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0355A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4A7F8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1000≤Y＜100000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60EF6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100≤Y＜1000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08F9C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Y＜100</w:t>
            </w:r>
          </w:p>
        </w:tc>
      </w:tr>
      <w:tr w14:paraId="71655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F1A5F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软件和信息技术服务业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67E2F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1F3AA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ABF9D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79C904">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F7ECA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w:t>
            </w:r>
          </w:p>
        </w:tc>
      </w:tr>
      <w:tr w14:paraId="5D68E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F31E4B">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31233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4EB28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5C25BC">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1000≤Y＜10000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072D5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50≤Y＜1000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7EDD5C">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Y＜50</w:t>
            </w:r>
          </w:p>
        </w:tc>
      </w:tr>
      <w:tr w14:paraId="306F1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61D30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房地产开发经营</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99C65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D9B45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B458CC">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1000≤Y＜200000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76009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55E04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X＜100</w:t>
            </w:r>
          </w:p>
        </w:tc>
      </w:tr>
      <w:tr w14:paraId="34859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EE7B9C">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00AC8A">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资产总额（Z）</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A70EF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00825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5000≤Z＜10000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F8367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2000≤Y＜5000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7A2FBD">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Y＜2000</w:t>
            </w:r>
          </w:p>
        </w:tc>
      </w:tr>
      <w:tr w14:paraId="13CC5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B7012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物业管理</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A5FAF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EC749B">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98AE9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300≤X＜1000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9602D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C4B8F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X＜100</w:t>
            </w:r>
          </w:p>
        </w:tc>
      </w:tr>
      <w:tr w14:paraId="3B7F0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D3727E">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14A18E">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营业收入（Y）</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4AF1B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55282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1000≤Y＜5000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CD92C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500≤Y＜1000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D171C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Y＜500</w:t>
            </w:r>
          </w:p>
        </w:tc>
      </w:tr>
      <w:tr w14:paraId="6BFC2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restar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ABDC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租赁和商务服务业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7D804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E83BC2">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C4A478">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FB817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20F75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w:t>
            </w:r>
          </w:p>
        </w:tc>
      </w:tr>
      <w:tr w14:paraId="252C8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vMerge w:val="continue"/>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CC1EBE">
            <w:pPr>
              <w:bidi w:val="0"/>
              <w:spacing w:line="240" w:lineRule="auto"/>
              <w:jc w:val="center"/>
              <w:rPr>
                <w:rFonts w:hint="eastAsia" w:ascii="宋体" w:hAnsi="宋体" w:eastAsia="宋体" w:cs="宋体"/>
                <w:color w:val="auto"/>
                <w:sz w:val="24"/>
                <w:szCs w:val="24"/>
                <w:lang w:val="en-US" w:eastAsia="zh-CN"/>
              </w:rPr>
            </w:pP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CDB4E6">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资产总额（Z）</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904264">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万元</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C30F19">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8000≤Z＜120000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11690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100≤Z＜8000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9C9C71">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Y＜100</w:t>
            </w:r>
          </w:p>
        </w:tc>
      </w:tr>
      <w:tr w14:paraId="41E99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3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CE11DF">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其他未列明行业</w:t>
            </w:r>
          </w:p>
        </w:tc>
        <w:tc>
          <w:tcPr>
            <w:tcW w:w="15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05C293">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从业人员（X）</w:t>
            </w:r>
          </w:p>
        </w:tc>
        <w:tc>
          <w:tcPr>
            <w:tcW w:w="9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D2335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w:t>
            </w:r>
          </w:p>
        </w:tc>
        <w:tc>
          <w:tcPr>
            <w:tcW w:w="27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D6F9C0">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100≤X＜300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D9A977">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10≤X＜100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720985">
            <w:pPr>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X＜10</w:t>
            </w:r>
          </w:p>
        </w:tc>
      </w:tr>
      <w:tr w14:paraId="27151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9500" w:type="dxa"/>
            <w:gridSpan w:val="6"/>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F62EF6">
            <w:pPr>
              <w:bidi w:val="0"/>
              <w:spacing w:line="240" w:lineRule="auto"/>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说明：上述标准参照《关于印发中小企业划型标准规定的通知》（工信部联企业〔2011〕300号），大型、中型和小型企业须同时满足所列指标的下限，否则下划一档；微型企业只须满足所列指标中的一项即可。</w:t>
            </w:r>
          </w:p>
        </w:tc>
      </w:tr>
    </w:tbl>
    <w:p w14:paraId="21DDA38E">
      <w:pPr>
        <w:pStyle w:val="23"/>
        <w:ind w:left="0" w:leftChars="0" w:firstLine="0" w:firstLineChars="0"/>
        <w:rPr>
          <w:rFonts w:hint="eastAsia" w:ascii="宋体" w:hAnsi="宋体" w:eastAsia="宋体" w:cs="宋体"/>
          <w:b/>
          <w:bCs/>
          <w:color w:val="auto"/>
          <w:lang w:val="en-US" w:eastAsia="zh-CN"/>
        </w:rPr>
        <w:sectPr>
          <w:headerReference r:id="rId17" w:type="default"/>
          <w:pgSz w:w="11900" w:h="16838"/>
          <w:pgMar w:top="1332" w:right="1196" w:bottom="1417" w:left="1672" w:header="680" w:footer="680" w:gutter="0"/>
          <w:pgNumType w:fmt="decimal"/>
          <w:cols w:space="0" w:num="1"/>
          <w:rtlGutter w:val="0"/>
          <w:docGrid w:linePitch="312" w:charSpace="0"/>
        </w:sectPr>
      </w:pPr>
    </w:p>
    <w:p w14:paraId="43CA6B7C">
      <w:pPr>
        <w:bidi w:val="0"/>
        <w:spacing w:line="360" w:lineRule="auto"/>
        <w:rPr>
          <w:rFonts w:hint="eastAsia" w:ascii="宋体" w:hAnsi="宋体" w:eastAsia="宋体" w:cs="宋体"/>
          <w:b/>
          <w:bCs/>
          <w:color w:val="auto"/>
          <w:sz w:val="24"/>
          <w:szCs w:val="20"/>
          <w:lang w:val="en-US" w:eastAsia="zh-CN"/>
        </w:rPr>
      </w:pPr>
      <w:r>
        <w:rPr>
          <w:rFonts w:hint="eastAsia" w:ascii="宋体" w:hAnsi="宋体" w:eastAsia="宋体" w:cs="宋体"/>
          <w:b/>
          <w:bCs/>
          <w:color w:val="auto"/>
          <w:sz w:val="24"/>
          <w:szCs w:val="20"/>
          <w:lang w:val="en-US" w:eastAsia="zh-CN"/>
        </w:rPr>
        <w:t>附件三：《陕西省财政厅 中国人民银行西安分行关于深入推进政府采购信用融资业务的通知》（陕财办采〔2023〕5号）</w:t>
      </w:r>
    </w:p>
    <w:p w14:paraId="0534A397">
      <w:pPr>
        <w:bidi w:val="0"/>
        <w:rPr>
          <w:rFonts w:hint="eastAsia" w:ascii="宋体" w:hAnsi="宋体" w:eastAsia="宋体" w:cs="宋体"/>
          <w:color w:val="auto"/>
          <w:lang w:val="en-US" w:eastAsia="zh-CN"/>
        </w:rPr>
      </w:pPr>
      <w:r>
        <w:rPr>
          <w:rFonts w:hint="eastAsia" w:ascii="宋体" w:hAnsi="宋体" w:eastAsia="宋体" w:cs="宋体"/>
          <w:color w:val="auto"/>
          <w:lang w:val="en-US" w:eastAsia="zh-CN"/>
        </w:rPr>
        <w:drawing>
          <wp:inline distT="0" distB="0" distL="114300" distR="114300">
            <wp:extent cx="5758815" cy="7926070"/>
            <wp:effectExtent l="0" t="0" r="13335" b="17780"/>
            <wp:docPr id="1" name="图片 6" descr="榆政财采发 2023 9号(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榆政财采发 2023 9号(1)_00"/>
                    <pic:cNvPicPr>
                      <a:picLocks noChangeAspect="1"/>
                    </pic:cNvPicPr>
                  </pic:nvPicPr>
                  <pic:blipFill>
                    <a:blip r:embed="rId41"/>
                    <a:stretch>
                      <a:fillRect/>
                    </a:stretch>
                  </pic:blipFill>
                  <pic:spPr>
                    <a:xfrm>
                      <a:off x="0" y="0"/>
                      <a:ext cx="5758815" cy="7926070"/>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5" name="图片 7" descr="榆政财采发 2023 9号(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榆政财采发 2023 9号(1)_01"/>
                    <pic:cNvPicPr>
                      <a:picLocks noChangeAspect="1"/>
                    </pic:cNvPicPr>
                  </pic:nvPicPr>
                  <pic:blipFill>
                    <a:blip r:embed="rId42"/>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6" name="图片 8" descr="榆政财采发 2023 9号(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榆政财采发 2023 9号(1)_02"/>
                    <pic:cNvPicPr>
                      <a:picLocks noChangeAspect="1"/>
                    </pic:cNvPicPr>
                  </pic:nvPicPr>
                  <pic:blipFill>
                    <a:blip r:embed="rId43"/>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3" name="图片 9" descr="榆政财采发 2023 9号(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榆政财采发 2023 9号(1)_03"/>
                    <pic:cNvPicPr>
                      <a:picLocks noChangeAspect="1"/>
                    </pic:cNvPicPr>
                  </pic:nvPicPr>
                  <pic:blipFill>
                    <a:blip r:embed="rId44"/>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10" name="图片 10" descr="榆政财采发 2023 9号(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榆政财采发 2023 9号(1)_04"/>
                    <pic:cNvPicPr>
                      <a:picLocks noChangeAspect="1"/>
                    </pic:cNvPicPr>
                  </pic:nvPicPr>
                  <pic:blipFill>
                    <a:blip r:embed="rId45"/>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7" name="图片 11" descr="榆政财采发 2023 9号(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榆政财采发 2023 9号(1)_05"/>
                    <pic:cNvPicPr>
                      <a:picLocks noChangeAspect="1"/>
                    </pic:cNvPicPr>
                  </pic:nvPicPr>
                  <pic:blipFill>
                    <a:blip r:embed="rId46"/>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11" name="图片 12" descr="榆政财采发 2023 9号(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榆政财采发 2023 9号(1)_06"/>
                    <pic:cNvPicPr>
                      <a:picLocks noChangeAspect="1"/>
                    </pic:cNvPicPr>
                  </pic:nvPicPr>
                  <pic:blipFill>
                    <a:blip r:embed="rId47"/>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8" name="图片 13" descr="榆政财采发 2023 9号(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descr="榆政财采发 2023 9号(1)_07"/>
                    <pic:cNvPicPr>
                      <a:picLocks noChangeAspect="1"/>
                    </pic:cNvPicPr>
                  </pic:nvPicPr>
                  <pic:blipFill>
                    <a:blip r:embed="rId48"/>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12" name="图片 14" descr="榆政财采发 2023 9号(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榆政财采发 2023 9号(1)_08"/>
                    <pic:cNvPicPr>
                      <a:picLocks noChangeAspect="1"/>
                    </pic:cNvPicPr>
                  </pic:nvPicPr>
                  <pic:blipFill>
                    <a:blip r:embed="rId49"/>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2" name="图片 15" descr="榆政财采发 2023 9号(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descr="榆政财采发 2023 9号(1)_09"/>
                    <pic:cNvPicPr>
                      <a:picLocks noChangeAspect="1"/>
                    </pic:cNvPicPr>
                  </pic:nvPicPr>
                  <pic:blipFill>
                    <a:blip r:embed="rId50"/>
                    <a:stretch>
                      <a:fillRect/>
                    </a:stretch>
                  </pic:blipFill>
                  <pic:spPr>
                    <a:xfrm>
                      <a:off x="0" y="0"/>
                      <a:ext cx="5753735" cy="8127365"/>
                    </a:xfrm>
                    <a:prstGeom prst="rect">
                      <a:avLst/>
                    </a:prstGeom>
                    <a:noFill/>
                    <a:ln>
                      <a:noFill/>
                    </a:ln>
                  </pic:spPr>
                </pic:pic>
              </a:graphicData>
            </a:graphic>
          </wp:inline>
        </w:drawing>
      </w:r>
      <w:r>
        <w:rPr>
          <w:rFonts w:hint="eastAsia" w:ascii="宋体" w:hAnsi="宋体" w:eastAsia="宋体" w:cs="宋体"/>
          <w:color w:val="auto"/>
          <w:lang w:val="en-US" w:eastAsia="zh-CN"/>
        </w:rPr>
        <w:drawing>
          <wp:inline distT="0" distB="0" distL="114300" distR="114300">
            <wp:extent cx="5753735" cy="8127365"/>
            <wp:effectExtent l="0" t="0" r="18415" b="6985"/>
            <wp:docPr id="4" name="图片 16" descr="榆政财采发 2023 9号(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descr="榆政财采发 2023 9号(1)_10"/>
                    <pic:cNvPicPr>
                      <a:picLocks noChangeAspect="1"/>
                    </pic:cNvPicPr>
                  </pic:nvPicPr>
                  <pic:blipFill>
                    <a:blip r:embed="rId51"/>
                    <a:stretch>
                      <a:fillRect/>
                    </a:stretch>
                  </pic:blipFill>
                  <pic:spPr>
                    <a:xfrm>
                      <a:off x="0" y="0"/>
                      <a:ext cx="5753735" cy="8127365"/>
                    </a:xfrm>
                    <a:prstGeom prst="rect">
                      <a:avLst/>
                    </a:prstGeom>
                    <a:noFill/>
                    <a:ln>
                      <a:noFill/>
                    </a:ln>
                  </pic:spPr>
                </pic:pic>
              </a:graphicData>
            </a:graphic>
          </wp:inline>
        </w:drawing>
      </w:r>
    </w:p>
    <w:p w14:paraId="0965E7A1">
      <w:pPr>
        <w:pStyle w:val="22"/>
        <w:rPr>
          <w:rFonts w:hint="eastAsia" w:ascii="宋体" w:hAnsi="宋体" w:eastAsia="宋体" w:cs="宋体"/>
          <w:color w:val="auto"/>
          <w:lang w:val="en-US" w:eastAsia="zh-CN"/>
        </w:rPr>
      </w:pPr>
    </w:p>
    <w:p w14:paraId="438D2C5E">
      <w:pPr>
        <w:pStyle w:val="32"/>
        <w:rPr>
          <w:rFonts w:hint="eastAsia" w:ascii="宋体" w:hAnsi="宋体" w:eastAsia="宋体" w:cs="宋体"/>
          <w:color w:val="auto"/>
        </w:rPr>
      </w:pPr>
    </w:p>
    <w:p w14:paraId="3878C937"/>
    <w:sectPr>
      <w:pgSz w:w="11900" w:h="16838"/>
      <w:pgMar w:top="1332" w:right="1196" w:bottom="1417" w:left="1672" w:header="680" w:footer="68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5D22202-1B86-4FF3-9D2C-ED099C58D07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宋黑简体">
    <w:altName w:val="宋体"/>
    <w:panose1 w:val="02000000000000000000"/>
    <w:charset w:val="86"/>
    <w:family w:val="auto"/>
    <w:pitch w:val="default"/>
    <w:sig w:usb0="00000000" w:usb1="00000000" w:usb2="00000012" w:usb3="00000000" w:csb0="00040001" w:csb1="00000000"/>
  </w:font>
  <w:font w:name="楷体_GB2312">
    <w:altName w:val="微软雅黑"/>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2" w:fontKey="{546D5146-7734-43ED-9BB7-24EEF60C0ADB}"/>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_GB2312">
    <w:altName w:val="微软雅黑"/>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3" w:fontKey="{9EF14154-4915-455C-8CFD-724D524ED15C}"/>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Arial Narrow">
    <w:altName w:val="Arial"/>
    <w:panose1 w:val="020B0606020202030204"/>
    <w:charset w:val="00"/>
    <w:family w:val="swiss"/>
    <w:pitch w:val="default"/>
    <w:sig w:usb0="00000000" w:usb1="00000000" w:usb2="00000000" w:usb3="00000000" w:csb0="2000009F" w:csb1="DFD70000"/>
  </w:font>
  <w:font w:name="长城宋体">
    <w:altName w:val="宋体"/>
    <w:panose1 w:val="02010609000101010101"/>
    <w:charset w:val="86"/>
    <w:family w:val="modern"/>
    <w:pitch w:val="default"/>
    <w:sig w:usb0="00000000" w:usb1="00000000" w:usb2="00000010" w:usb3="00000000" w:csb0="00040000" w:csb1="00000000"/>
    <w:embedRegular r:id="rId4" w:fontKey="{6DAE9948-C613-4712-B4BE-3F1F98FD2EC5}"/>
  </w:font>
  <w:font w:name="方正仿宋_GB2312">
    <w:panose1 w:val="02000000000000000000"/>
    <w:charset w:val="86"/>
    <w:family w:val="auto"/>
    <w:pitch w:val="default"/>
    <w:sig w:usb0="A00002BF" w:usb1="184F6CFA" w:usb2="00000012" w:usb3="00000000" w:csb0="00040001" w:csb1="00000000"/>
    <w:embedRegular r:id="rId5" w:fontKey="{50182F26-99EF-4EF0-AC6A-BCAE8C9B13AF}"/>
  </w:font>
  <w:font w:name="微软雅黑">
    <w:panose1 w:val="020B0503020204020204"/>
    <w:charset w:val="86"/>
    <w:family w:val="auto"/>
    <w:pitch w:val="default"/>
    <w:sig w:usb0="80000287" w:usb1="2ACF3C50" w:usb2="00000016" w:usb3="00000000" w:csb0="0004001F" w:csb1="00000000"/>
    <w:embedRegular r:id="rId6" w:fontKey="{97493C68-E665-48FA-819A-5B604BE82401}"/>
  </w:font>
  <w:font w:name="WPSEMBED1">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WPSEMBED2">
    <w:panose1 w:val="02010609060101010101"/>
    <w:charset w:val="86"/>
    <w:family w:val="auto"/>
    <w:pitch w:val="default"/>
    <w:sig w:usb0="800002BF" w:usb1="38CF7CFA" w:usb2="00000016" w:usb3="00000000" w:csb0="00040001" w:csb1="00000000"/>
  </w:font>
  <w:font w:name="WPSEMBED3">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9F67F">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A714B">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5A714B">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1A2AE">
    <w:pPr>
      <w:spacing w:line="173" w:lineRule="auto"/>
      <w:ind w:left="401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BEB53">
                          <w:pPr>
                            <w:pStyle w:val="15"/>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8DBEB53">
                    <w:pPr>
                      <w:pStyle w:val="15"/>
                    </w:pPr>
                    <w:r>
                      <w:fldChar w:fldCharType="begin"/>
                    </w:r>
                    <w:r>
                      <w:instrText xml:space="preserve"> PAGE  \* MERGEFORMAT </w:instrText>
                    </w:r>
                    <w:r>
                      <w:fldChar w:fldCharType="separate"/>
                    </w:r>
                    <w:r>
                      <w:t>26</w:t>
                    </w:r>
                    <w:r>
                      <w:fldChar w:fldCharType="end"/>
                    </w:r>
                  </w:p>
                </w:txbxContent>
              </v:textbox>
            </v:shape>
          </w:pict>
        </mc:Fallback>
      </mc:AlternateContent>
    </w:r>
    <w:r>
      <w:rPr>
        <w:rFonts w:ascii="Times New Roman" w:hAnsi="Times New Roman" w:eastAsia="Times New Roman" w:cs="Times New Roman"/>
        <w:spacing w:val="-5"/>
        <w:sz w:val="14"/>
        <w:szCs w:val="14"/>
      </w:rPr>
      <w:t>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42992">
    <w:pPr>
      <w:spacing w:line="173" w:lineRule="auto"/>
      <w:ind w:left="401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8DA3F5">
                          <w:pPr>
                            <w:pStyle w:val="15"/>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368DA3F5">
                    <w:pPr>
                      <w:pStyle w:val="15"/>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C1B64">
    <w:pPr>
      <w:pStyle w:val="15"/>
      <w:rPr>
        <w:rFonts w:hint="eastAsia"/>
        <w:lang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45431F">
                          <w:pPr>
                            <w:pStyle w:val="1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945431F">
                    <w:pPr>
                      <w:pStyle w:val="1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685CE">
    <w:pPr>
      <w:pStyle w:val="15"/>
      <w:pBdr>
        <w:top w:val="single" w:color="auto" w:sz="4" w:space="0"/>
      </w:pBdr>
      <w:tabs>
        <w:tab w:val="left" w:pos="5361"/>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71CA2B">
                          <w:pPr>
                            <w:pStyle w:val="15"/>
                          </w:pPr>
                          <w:r>
                            <w:fldChar w:fldCharType="begin"/>
                          </w:r>
                          <w:r>
                            <w:instrText xml:space="preserve"> PAGE  \* MERGEFORMAT </w:instrText>
                          </w:r>
                          <w:r>
                            <w:fldChar w:fldCharType="separate"/>
                          </w:r>
                          <w:r>
                            <w:t>50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tkm6sk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2SbqyQEAAJsDAAAOAAAAAAAAAAEAIAAAAB4BAABkcnMvZTJvRG9j&#10;LnhtbFBLBQYAAAAABgAGAFkBAABZBQAAAAA=&#10;">
              <v:fill on="f" focussize="0,0"/>
              <v:stroke on="f"/>
              <v:imagedata o:title=""/>
              <o:lock v:ext="edit" aspectratio="f"/>
              <v:textbox inset="0mm,0mm,0mm,0mm" style="mso-fit-shape-to-text:t;">
                <w:txbxContent>
                  <w:p w14:paraId="4871CA2B">
                    <w:pPr>
                      <w:pStyle w:val="1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22C6C">
    <w:pPr>
      <w:pStyle w:val="1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83A8F">
                          <w:pPr>
                            <w:pStyle w:val="15"/>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6983A8F">
                    <w:pPr>
                      <w:pStyle w:val="15"/>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D5C24">
    <w:pPr>
      <w:pStyle w:val="15"/>
      <w:pBdr>
        <w:top w:val="single" w:color="auto" w:sz="4" w:space="0"/>
      </w:pBdr>
      <w:tabs>
        <w:tab w:val="left" w:pos="5361"/>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8A5CB2">
                          <w:pPr>
                            <w:pStyle w:val="15"/>
                          </w:pPr>
                          <w:r>
                            <w:fldChar w:fldCharType="begin"/>
                          </w:r>
                          <w:r>
                            <w:instrText xml:space="preserve"> PAGE  \* MERGEFORMAT </w:instrText>
                          </w:r>
                          <w:r>
                            <w:fldChar w:fldCharType="separate"/>
                          </w:r>
                          <w:r>
                            <w:t>51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FvRG8k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JbShy3OPHzzx/nX4/nh+8E&#10;fShQH6DGvLuAmWl47wdMnv2Azsx7UNHmLzIiGEd5Txd55ZCIyI9Wy9WqwpDA2HxBfPb0PERIH6S3&#10;JBsNjTi/Iis/foI0ps4puZrzt9qYMkPj/nIgZvaw3PvYY7bSsBsmQjvfnpBPj6NvqMNNp8R8dKhs&#10;3pLZiLOxm41DiHrflTXK9SC8Oy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W9EbyQEAAJsDAAAOAAAAAAAAAAEAIAAAAB4BAABkcnMvZTJvRG9j&#10;LnhtbFBLBQYAAAAABgAGAFkBAABZBQAAAAA=&#10;">
              <v:fill on="f" focussize="0,0"/>
              <v:stroke on="f"/>
              <v:imagedata o:title=""/>
              <o:lock v:ext="edit" aspectratio="f"/>
              <v:textbox inset="0mm,0mm,0mm,0mm" style="mso-fit-shape-to-text:t;">
                <w:txbxContent>
                  <w:p w14:paraId="408A5CB2">
                    <w:pPr>
                      <w:pStyle w:val="1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EA417">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748D9">
    <w:pPr>
      <w:pStyle w:val="1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6912C">
    <w:pPr>
      <w:pStyle w:val="1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AA8B0">
    <w:pPr>
      <w:pStyle w:val="16"/>
      <w:pBdr>
        <w:bottom w:val="none" w:color="auto" w:sz="0" w:space="1"/>
      </w:pBdr>
      <w:rPr>
        <w:rFonts w:hint="eastAsia"/>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1F21B">
    <w:pPr>
      <w:pStyle w:val="16"/>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4C056">
    <w:pPr>
      <w:pStyle w:val="16"/>
      <w:pBdr>
        <w:bottom w:val="single" w:color="auto" w:sz="4" w:space="1"/>
      </w:pBdr>
      <w:jc w:val="both"/>
    </w:pPr>
    <w:r>
      <w:rPr>
        <w:rFonts w:hint="eastAsia" w:ascii="微软雅黑" w:hAnsi="微软雅黑" w:eastAsia="微软雅黑" w:cs="微软雅黑"/>
        <w:sz w:val="15"/>
        <w:szCs w:val="15"/>
        <w:lang w:val="en-US" w:eastAsia="zh-CN"/>
      </w:rPr>
      <w:t xml:space="preserve">   米脂县第三中学消防改造工程                                              </w:t>
    </w:r>
    <w:r>
      <w:rPr>
        <w:rFonts w:hint="eastAsia" w:ascii="微软雅黑" w:hAnsi="微软雅黑" w:eastAsia="微软雅黑" w:cs="微软雅黑"/>
        <w:sz w:val="15"/>
        <w:szCs w:val="15"/>
        <w:lang w:eastAsia="zh-CN"/>
      </w:rPr>
      <w:t>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AE14E">
    <w:pPr>
      <w:pStyle w:val="16"/>
      <w:pBdr>
        <w:bottom w:val="single" w:color="auto" w:sz="4" w:space="1"/>
      </w:pBdr>
      <w:jc w:val="left"/>
    </w:pPr>
    <w:r>
      <w:rPr>
        <w:rFonts w:hint="eastAsia" w:ascii="微软雅黑" w:hAnsi="微软雅黑" w:eastAsia="微软雅黑" w:cs="微软雅黑"/>
        <w:sz w:val="15"/>
        <w:szCs w:val="15"/>
        <w:lang w:val="en-US" w:eastAsia="zh-CN"/>
      </w:rPr>
      <w:t xml:space="preserve">米脂县第三中学消防改造工程                                                       </w:t>
    </w:r>
    <w:r>
      <w:rPr>
        <w:rFonts w:hint="eastAsia" w:ascii="微软雅黑" w:hAnsi="微软雅黑" w:eastAsia="微软雅黑" w:cs="微软雅黑"/>
        <w:sz w:val="15"/>
        <w:szCs w:val="15"/>
        <w:lang w:eastAsia="zh-CN"/>
      </w:rPr>
      <w:t>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970F0">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483560"/>
    <w:multiLevelType w:val="singleLevel"/>
    <w:tmpl w:val="88483560"/>
    <w:lvl w:ilvl="0" w:tentative="0">
      <w:start w:val="9"/>
      <w:numFmt w:val="chineseCounting"/>
      <w:suff w:val="nothing"/>
      <w:lvlText w:val="%1、"/>
      <w:lvlJc w:val="left"/>
      <w:rPr>
        <w:rFonts w:hint="eastAsia"/>
      </w:rPr>
    </w:lvl>
  </w:abstractNum>
  <w:abstractNum w:abstractNumId="1">
    <w:nsid w:val="B82A0AF4"/>
    <w:multiLevelType w:val="singleLevel"/>
    <w:tmpl w:val="B82A0AF4"/>
    <w:lvl w:ilvl="0" w:tentative="0">
      <w:start w:val="8"/>
      <w:numFmt w:val="decimal"/>
      <w:suff w:val="nothing"/>
      <w:lvlText w:val="%1、"/>
      <w:lvlJc w:val="left"/>
    </w:lvl>
  </w:abstractNum>
  <w:abstractNum w:abstractNumId="2">
    <w:nsid w:val="E38B1E2C"/>
    <w:multiLevelType w:val="singleLevel"/>
    <w:tmpl w:val="E38B1E2C"/>
    <w:lvl w:ilvl="0" w:tentative="0">
      <w:start w:val="1"/>
      <w:numFmt w:val="chineseCounting"/>
      <w:suff w:val="nothing"/>
      <w:lvlText w:val="%1、"/>
      <w:lvlJc w:val="left"/>
      <w:rPr>
        <w:rFonts w:hint="eastAsia"/>
      </w:rPr>
    </w:lvl>
  </w:abstractNum>
  <w:abstractNum w:abstractNumId="3">
    <w:nsid w:val="0EE81311"/>
    <w:multiLevelType w:val="singleLevel"/>
    <w:tmpl w:val="0EE81311"/>
    <w:lvl w:ilvl="0" w:tentative="0">
      <w:start w:val="1"/>
      <w:numFmt w:val="decimal"/>
      <w:suff w:val="nothing"/>
      <w:lvlText w:val="（%1）"/>
      <w:lvlJc w:val="left"/>
    </w:lvl>
  </w:abstractNum>
  <w:abstractNum w:abstractNumId="4">
    <w:nsid w:val="26DCB27A"/>
    <w:multiLevelType w:val="singleLevel"/>
    <w:tmpl w:val="26DCB27A"/>
    <w:lvl w:ilvl="0" w:tentative="0">
      <w:start w:val="5"/>
      <w:numFmt w:val="chineseCounting"/>
      <w:suff w:val="space"/>
      <w:lvlText w:val="第%1章"/>
      <w:lvlJc w:val="left"/>
      <w:rPr>
        <w:rFonts w:hint="eastAsia"/>
      </w:rPr>
    </w:lvl>
  </w:abstractNum>
  <w:abstractNum w:abstractNumId="5">
    <w:nsid w:val="4F8BD0B9"/>
    <w:multiLevelType w:val="singleLevel"/>
    <w:tmpl w:val="4F8BD0B9"/>
    <w:lvl w:ilvl="0" w:tentative="0">
      <w:start w:val="1"/>
      <w:numFmt w:val="decimal"/>
      <w:suff w:val="nothing"/>
      <w:lvlText w:val="%1."/>
      <w:lvlJc w:val="left"/>
      <w:pPr>
        <w:ind w:left="0" w:firstLine="840"/>
      </w:pPr>
    </w:lvl>
  </w:abstractNum>
  <w:abstractNum w:abstractNumId="6">
    <w:nsid w:val="56DE8286"/>
    <w:multiLevelType w:val="singleLevel"/>
    <w:tmpl w:val="56DE8286"/>
    <w:lvl w:ilvl="0" w:tentative="0">
      <w:start w:val="1"/>
      <w:numFmt w:val="decimal"/>
      <w:suff w:val="nothing"/>
      <w:lvlText w:val="%1、"/>
      <w:lvlJc w:val="left"/>
    </w:lvl>
  </w:abstractNum>
  <w:abstractNum w:abstractNumId="7">
    <w:nsid w:val="59361CB7"/>
    <w:multiLevelType w:val="singleLevel"/>
    <w:tmpl w:val="59361CB7"/>
    <w:lvl w:ilvl="0" w:tentative="0">
      <w:start w:val="2"/>
      <w:numFmt w:val="chineseCounting"/>
      <w:suff w:val="nothing"/>
      <w:lvlText w:val="（%1）"/>
      <w:lvlJc w:val="left"/>
    </w:lvl>
  </w:abstractNum>
  <w:abstractNum w:abstractNumId="8">
    <w:nsid w:val="64669FC1"/>
    <w:multiLevelType w:val="singleLevel"/>
    <w:tmpl w:val="64669FC1"/>
    <w:lvl w:ilvl="0" w:tentative="0">
      <w:start w:val="1"/>
      <w:numFmt w:val="chineseCounting"/>
      <w:suff w:val="nothing"/>
      <w:lvlText w:val="%1、"/>
      <w:lvlJc w:val="left"/>
      <w:rPr>
        <w:rFonts w:hint="eastAsia"/>
      </w:rPr>
    </w:lvl>
  </w:abstractNum>
  <w:num w:numId="1">
    <w:abstractNumId w:val="1"/>
  </w:num>
  <w:num w:numId="2">
    <w:abstractNumId w:val="3"/>
  </w:num>
  <w:num w:numId="3">
    <w:abstractNumId w:val="8"/>
  </w:num>
  <w:num w:numId="4">
    <w:abstractNumId w:val="0"/>
  </w:num>
  <w:num w:numId="5">
    <w:abstractNumId w:val="4"/>
  </w:num>
  <w:num w:numId="6">
    <w:abstractNumId w:val="2"/>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TrueTypeFonts/>
  <w:saveSubsetFonts/>
  <w:bordersDoNotSurroundHeader w:val="0"/>
  <w:bordersDoNotSurroundFooter w:val="0"/>
  <w:trackRevisions w:val="1"/>
  <w:documentProtection w:edit="trackedChanges" w:enforcement="1" w:cryptProviderType="rsaFull" w:cryptAlgorithmClass="hash" w:cryptAlgorithmType="typeAny" w:cryptAlgorithmSid="4" w:cryptSpinCount="0" w:hash="8Vv1QY1XOlxvp8qvp0ujn5LqY2w=" w:salt="1EE7JrnBHa5yo2h3YRp8+g=="/>
  <w:defaultTabStop w:val="420"/>
  <w:drawingGridHorizontalSpacing w:val="24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3E63AD"/>
    <w:rsid w:val="04272947"/>
    <w:rsid w:val="08675EC5"/>
    <w:rsid w:val="0C9738D4"/>
    <w:rsid w:val="12F157AA"/>
    <w:rsid w:val="19C43A53"/>
    <w:rsid w:val="19EF40C6"/>
    <w:rsid w:val="1A362B20"/>
    <w:rsid w:val="1BE926D3"/>
    <w:rsid w:val="1E27716B"/>
    <w:rsid w:val="1EAF3909"/>
    <w:rsid w:val="235268A6"/>
    <w:rsid w:val="28A17DCD"/>
    <w:rsid w:val="2B484271"/>
    <w:rsid w:val="2B7D5CE8"/>
    <w:rsid w:val="2C3E63AD"/>
    <w:rsid w:val="2DE66051"/>
    <w:rsid w:val="30D445A2"/>
    <w:rsid w:val="31C8654E"/>
    <w:rsid w:val="31DF0B35"/>
    <w:rsid w:val="32A45F3D"/>
    <w:rsid w:val="34803F5A"/>
    <w:rsid w:val="372C4753"/>
    <w:rsid w:val="37935191"/>
    <w:rsid w:val="37D4669E"/>
    <w:rsid w:val="37E167BB"/>
    <w:rsid w:val="3A202A16"/>
    <w:rsid w:val="3C7A2A93"/>
    <w:rsid w:val="40464190"/>
    <w:rsid w:val="4508410A"/>
    <w:rsid w:val="531E0F31"/>
    <w:rsid w:val="565A678F"/>
    <w:rsid w:val="5E4E141F"/>
    <w:rsid w:val="5F014792"/>
    <w:rsid w:val="60CF3D2C"/>
    <w:rsid w:val="62CE70EA"/>
    <w:rsid w:val="63643BBF"/>
    <w:rsid w:val="6FE02792"/>
    <w:rsid w:val="74632904"/>
    <w:rsid w:val="7551016A"/>
    <w:rsid w:val="79535D1B"/>
    <w:rsid w:val="7F263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30"/>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unhideWhenUsed/>
    <w:qFormat/>
    <w:uiPriority w:val="0"/>
    <w:pPr>
      <w:keepNext/>
      <w:keepLines/>
      <w:spacing w:line="360" w:lineRule="auto"/>
      <w:jc w:val="center"/>
      <w:outlineLvl w:val="1"/>
    </w:pPr>
    <w:rPr>
      <w:rFonts w:ascii="Arial" w:hAnsi="Arial" w:eastAsia="宋体" w:cs="Times New Roman"/>
      <w:b/>
      <w:sz w:val="32"/>
    </w:rPr>
  </w:style>
  <w:style w:type="paragraph" w:styleId="4">
    <w:name w:val="heading 3"/>
    <w:basedOn w:val="1"/>
    <w:next w:val="1"/>
    <w:link w:val="41"/>
    <w:unhideWhenUsed/>
    <w:qFormat/>
    <w:uiPriority w:val="0"/>
    <w:pPr>
      <w:keepNext/>
      <w:keepLines/>
      <w:spacing w:before="260" w:beforeLines="0" w:beforeAutospacing="0" w:after="260" w:afterLines="0" w:afterAutospacing="0" w:line="415" w:lineRule="auto"/>
      <w:jc w:val="left"/>
      <w:outlineLvl w:val="2"/>
    </w:pPr>
    <w:rPr>
      <w:rFonts w:ascii="Times New Roman" w:hAnsi="Times New Roman" w:eastAsia="宋体"/>
      <w:b/>
      <w:sz w:val="24"/>
    </w:rPr>
  </w:style>
  <w:style w:type="paragraph" w:styleId="5">
    <w:name w:val="heading 4"/>
    <w:basedOn w:val="1"/>
    <w:next w:val="1"/>
    <w:unhideWhenUsed/>
    <w:qFormat/>
    <w:uiPriority w:val="0"/>
    <w:pPr>
      <w:keepNext/>
      <w:keepLines/>
      <w:tabs>
        <w:tab w:val="left" w:pos="864"/>
      </w:tabs>
      <w:spacing w:before="120" w:line="360" w:lineRule="auto"/>
      <w:ind w:left="864" w:hanging="864"/>
      <w:outlineLvl w:val="3"/>
    </w:pPr>
    <w:rPr>
      <w:rFonts w:ascii="Arial" w:hAnsi="Arial" w:eastAsia="宋体"/>
      <w:b/>
      <w:bCs/>
      <w:sz w:val="24"/>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ind w:firstLine="420"/>
    </w:pPr>
    <w:rPr>
      <w:sz w:val="21"/>
    </w:rPr>
  </w:style>
  <w:style w:type="paragraph" w:styleId="8">
    <w:name w:val="Body Text"/>
    <w:basedOn w:val="1"/>
    <w:qFormat/>
    <w:uiPriority w:val="0"/>
    <w:pPr>
      <w:spacing w:after="120"/>
    </w:pPr>
    <w:rPr>
      <w:sz w:val="21"/>
      <w:szCs w:val="24"/>
    </w:rPr>
  </w:style>
  <w:style w:type="paragraph" w:styleId="9">
    <w:name w:val="Body Text Indent"/>
    <w:basedOn w:val="1"/>
    <w:next w:val="10"/>
    <w:qFormat/>
    <w:uiPriority w:val="0"/>
    <w:pPr>
      <w:spacing w:line="200" w:lineRule="exact"/>
      <w:ind w:firstLine="301"/>
    </w:pPr>
    <w:rPr>
      <w:rFonts w:ascii="宋体" w:hAnsi="Courier New"/>
      <w:spacing w:val="-4"/>
      <w:sz w:val="18"/>
    </w:rPr>
  </w:style>
  <w:style w:type="paragraph" w:styleId="10">
    <w:name w:val="envelope return"/>
    <w:basedOn w:val="1"/>
    <w:qFormat/>
    <w:uiPriority w:val="0"/>
    <w:pPr>
      <w:snapToGrid w:val="0"/>
    </w:pPr>
    <w:rPr>
      <w:rFonts w:ascii="Arial" w:hAnsi="Arial"/>
    </w:rPr>
  </w:style>
  <w:style w:type="paragraph" w:styleId="11">
    <w:name w:val="Block Text"/>
    <w:basedOn w:val="1"/>
    <w:next w:val="12"/>
    <w:unhideWhenUsed/>
    <w:qFormat/>
    <w:uiPriority w:val="99"/>
    <w:pPr>
      <w:ind w:left="1440" w:leftChars="700" w:right="700" w:rightChars="700"/>
    </w:pPr>
  </w:style>
  <w:style w:type="paragraph" w:styleId="12">
    <w:name w:val="Plain Text"/>
    <w:basedOn w:val="1"/>
    <w:next w:val="1"/>
    <w:unhideWhenUsed/>
    <w:qFormat/>
    <w:uiPriority w:val="0"/>
    <w:rPr>
      <w:rFonts w:ascii="宋体" w:hAnsi="Courier New" w:cs="Times New Roman"/>
      <w:sz w:val="21"/>
    </w:rPr>
  </w:style>
  <w:style w:type="paragraph" w:styleId="13">
    <w:name w:val="toc 3"/>
    <w:basedOn w:val="1"/>
    <w:next w:val="1"/>
    <w:qFormat/>
    <w:uiPriority w:val="0"/>
    <w:pPr>
      <w:ind w:left="840" w:leftChars="400"/>
    </w:pPr>
  </w:style>
  <w:style w:type="paragraph" w:styleId="14">
    <w:name w:val="Body Text Indent 2"/>
    <w:basedOn w:val="1"/>
    <w:unhideWhenUsed/>
    <w:qFormat/>
    <w:uiPriority w:val="99"/>
    <w:pPr>
      <w:spacing w:line="760" w:lineRule="exact"/>
      <w:ind w:firstLine="643" w:firstLineChars="200"/>
    </w:pPr>
    <w:rPr>
      <w:rFonts w:ascii="方正宋黑简体" w:eastAsia="方正宋黑简体"/>
      <w:b/>
      <w:bCs/>
      <w:sz w:val="32"/>
      <w:szCs w:val="20"/>
    </w:rPr>
  </w:style>
  <w:style w:type="paragraph" w:styleId="15">
    <w:name w:val="footer"/>
    <w:basedOn w:val="1"/>
    <w:qFormat/>
    <w:uiPriority w:val="99"/>
    <w:pPr>
      <w:tabs>
        <w:tab w:val="center" w:pos="4153"/>
        <w:tab w:val="right" w:pos="8306"/>
      </w:tabs>
      <w:snapToGrid w:val="0"/>
      <w:jc w:val="left"/>
    </w:pPr>
    <w:rPr>
      <w:sz w:val="18"/>
      <w:szCs w:val="18"/>
    </w:rPr>
  </w:style>
  <w:style w:type="paragraph" w:styleId="16">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rPr>
      <w:sz w:val="21"/>
      <w:szCs w:val="24"/>
    </w:rPr>
  </w:style>
  <w:style w:type="paragraph" w:styleId="18">
    <w:name w:val="Body Text Indent 3"/>
    <w:basedOn w:val="1"/>
    <w:qFormat/>
    <w:uiPriority w:val="0"/>
    <w:pPr>
      <w:spacing w:after="120" w:afterLines="0" w:afterAutospacing="0"/>
      <w:ind w:left="420" w:leftChars="200"/>
    </w:pPr>
    <w:rPr>
      <w:sz w:val="16"/>
    </w:rPr>
  </w:style>
  <w:style w:type="paragraph" w:styleId="19">
    <w:name w:val="toc 2"/>
    <w:basedOn w:val="1"/>
    <w:next w:val="1"/>
    <w:qFormat/>
    <w:uiPriority w:val="39"/>
    <w:pPr>
      <w:ind w:left="420" w:leftChars="200"/>
    </w:pPr>
    <w:rPr>
      <w:sz w:val="21"/>
      <w:szCs w:val="24"/>
    </w:rPr>
  </w:style>
  <w:style w:type="paragraph" w:styleId="20">
    <w:name w:val="Body Text 2"/>
    <w:qFormat/>
    <w:uiPriority w:val="0"/>
    <w:pPr>
      <w:widowControl w:val="0"/>
      <w:jc w:val="both"/>
    </w:pPr>
    <w:rPr>
      <w:rFonts w:ascii="楷体_GB2312" w:hAnsi="Copperplate Gothic Bold" w:eastAsia="楷体_GB2312" w:cs="Times New Roman"/>
      <w:kern w:val="2"/>
      <w:sz w:val="28"/>
      <w:lang w:val="en-US" w:eastAsia="zh-CN" w:bidi="ar-SA"/>
    </w:rPr>
  </w:style>
  <w:style w:type="paragraph" w:styleId="21">
    <w:name w:val="Normal (Web)"/>
    <w:basedOn w:val="1"/>
    <w:qFormat/>
    <w:uiPriority w:val="99"/>
    <w:rPr>
      <w:szCs w:val="24"/>
    </w:rPr>
  </w:style>
  <w:style w:type="paragraph" w:styleId="22">
    <w:name w:val="Body Text First Indent"/>
    <w:basedOn w:val="8"/>
    <w:next w:val="8"/>
    <w:qFormat/>
    <w:uiPriority w:val="0"/>
    <w:pPr>
      <w:widowControl w:val="0"/>
      <w:spacing w:after="120" w:afterLines="0"/>
      <w:ind w:firstLine="420" w:firstLineChars="100"/>
      <w:jc w:val="both"/>
    </w:pPr>
    <w:rPr>
      <w:rFonts w:ascii="宋体" w:hAnsi="Times New Roman" w:eastAsia="仿宋_GB2312" w:cs="Times New Roman"/>
      <w:sz w:val="28"/>
      <w:lang w:val="en-US" w:eastAsia="zh-CN" w:bidi="ar-SA"/>
    </w:rPr>
  </w:style>
  <w:style w:type="paragraph" w:styleId="23">
    <w:name w:val="Body Text First Indent 2"/>
    <w:basedOn w:val="9"/>
    <w:qFormat/>
    <w:uiPriority w:val="0"/>
    <w:pPr>
      <w:ind w:firstLine="420" w:firstLineChars="200"/>
    </w:pPr>
    <w:rPr>
      <w:rFonts w:ascii="仿宋_GB2312" w:eastAsia="仿宋_GB2312" w:cs="宋体"/>
      <w:szCs w:val="21"/>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sz w:val="20"/>
      <w:szCs w:val="20"/>
    </w:rPr>
  </w:style>
  <w:style w:type="character" w:styleId="28">
    <w:name w:val="Hyperlink"/>
    <w:basedOn w:val="26"/>
    <w:qFormat/>
    <w:uiPriority w:val="0"/>
    <w:rPr>
      <w:color w:val="0000FF"/>
      <w:u w:val="none"/>
    </w:rPr>
  </w:style>
  <w:style w:type="paragraph" w:customStyle="1" w:styleId="29">
    <w:name w:val="_Style 5"/>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30">
    <w:name w:val="标题 1 Char"/>
    <w:link w:val="2"/>
    <w:qFormat/>
    <w:uiPriority w:val="0"/>
    <w:rPr>
      <w:rFonts w:ascii="Times New Roman" w:hAnsi="Times New Roman" w:eastAsia="宋体"/>
      <w:b/>
      <w:kern w:val="44"/>
      <w:sz w:val="32"/>
      <w:szCs w:val="44"/>
    </w:rPr>
  </w:style>
  <w:style w:type="paragraph" w:customStyle="1" w:styleId="31">
    <w:name w:val="p15"/>
    <w:basedOn w:val="1"/>
    <w:qFormat/>
    <w:uiPriority w:val="99"/>
    <w:pPr>
      <w:widowControl/>
    </w:pPr>
    <w:rPr>
      <w:kern w:val="0"/>
      <w:sz w:val="21"/>
      <w:szCs w:val="21"/>
    </w:rPr>
  </w:style>
  <w:style w:type="paragraph" w:customStyle="1" w:styleId="32">
    <w:name w:val="正文缩进1"/>
    <w:basedOn w:val="1"/>
    <w:qFormat/>
    <w:uiPriority w:val="0"/>
    <w:pPr>
      <w:ind w:firstLine="200" w:firstLineChars="200"/>
    </w:pPr>
  </w:style>
  <w:style w:type="paragraph" w:customStyle="1" w:styleId="33">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34">
    <w:name w:val="Table Paragraph"/>
    <w:basedOn w:val="1"/>
    <w:qFormat/>
    <w:uiPriority w:val="1"/>
    <w:pPr>
      <w:autoSpaceDE w:val="0"/>
      <w:autoSpaceDN w:val="0"/>
      <w:jc w:val="left"/>
    </w:pPr>
    <w:rPr>
      <w:rFonts w:ascii="宋体" w:hAnsi="宋体" w:cs="宋体"/>
      <w:sz w:val="22"/>
      <w:szCs w:val="22"/>
      <w:lang w:val="zh-CN" w:bidi="zh-CN"/>
    </w:rPr>
  </w:style>
  <w:style w:type="table" w:customStyle="1" w:styleId="35">
    <w:name w:val="Table Normal"/>
    <w:unhideWhenUsed/>
    <w:qFormat/>
    <w:uiPriority w:val="0"/>
    <w:tblPr>
      <w:tblCellMar>
        <w:top w:w="0" w:type="dxa"/>
        <w:left w:w="0" w:type="dxa"/>
        <w:bottom w:w="0" w:type="dxa"/>
        <w:right w:w="0" w:type="dxa"/>
      </w:tblCellMar>
    </w:tblPr>
  </w:style>
  <w:style w:type="paragraph" w:customStyle="1" w:styleId="36">
    <w:name w:val="列出段落1"/>
    <w:basedOn w:val="1"/>
    <w:qFormat/>
    <w:uiPriority w:val="0"/>
    <w:pPr>
      <w:ind w:firstLine="420" w:firstLineChars="200"/>
    </w:pPr>
  </w:style>
  <w:style w:type="paragraph" w:customStyle="1" w:styleId="37">
    <w:name w:val="Table Text"/>
    <w:basedOn w:val="1"/>
    <w:semiHidden/>
    <w:qFormat/>
    <w:uiPriority w:val="0"/>
    <w:rPr>
      <w:rFonts w:ascii="Arial" w:hAnsi="Arial" w:eastAsia="Arial" w:cs="Arial"/>
      <w:sz w:val="21"/>
      <w:szCs w:val="21"/>
      <w:lang w:val="en-US" w:eastAsia="en-US" w:bidi="ar-SA"/>
    </w:rPr>
  </w:style>
  <w:style w:type="paragraph" w:customStyle="1" w:styleId="38">
    <w:name w:val="null3"/>
    <w:qFormat/>
    <w:uiPriority w:val="0"/>
    <w:rPr>
      <w:rFonts w:hint="eastAsia" w:ascii="Calibri" w:hAnsi="Calibri" w:eastAsia="宋体" w:cs="Times New Roman"/>
      <w:lang w:val="en-US" w:eastAsia="zh-Hans"/>
    </w:rPr>
  </w:style>
  <w:style w:type="paragraph" w:customStyle="1" w:styleId="39">
    <w:name w:val="正文（缩进 2 字符）"/>
    <w:qFormat/>
    <w:uiPriority w:val="0"/>
    <w:pPr>
      <w:spacing w:line="400" w:lineRule="exact"/>
      <w:ind w:firstLine="200" w:firstLineChars="200"/>
      <w:jc w:val="both"/>
    </w:pPr>
    <w:rPr>
      <w:rFonts w:ascii="Calibri Light" w:hAnsi="Calibri Light" w:eastAsia="华文仿宋" w:cs="Times New Roman"/>
      <w:kern w:val="2"/>
      <w:sz w:val="28"/>
      <w:szCs w:val="28"/>
      <w:lang w:val="en-US" w:eastAsia="zh-CN" w:bidi="ar-SA"/>
    </w:rPr>
  </w:style>
  <w:style w:type="paragraph" w:customStyle="1" w:styleId="40">
    <w:name w:val="目录"/>
    <w:basedOn w:val="1"/>
    <w:qFormat/>
    <w:uiPriority w:val="99"/>
    <w:pPr>
      <w:widowControl/>
      <w:jc w:val="center"/>
    </w:pPr>
    <w:rPr>
      <w:rFonts w:ascii="宋体" w:cs="宋体"/>
      <w:b/>
      <w:bCs/>
      <w:kern w:val="0"/>
      <w:sz w:val="36"/>
      <w:szCs w:val="36"/>
    </w:rPr>
  </w:style>
  <w:style w:type="character" w:customStyle="1" w:styleId="41">
    <w:name w:val="标题 3 Char1"/>
    <w:link w:val="4"/>
    <w:qFormat/>
    <w:uiPriority w:val="0"/>
    <w:rPr>
      <w:rFonts w:ascii="Times New Roman" w:hAnsi="Times New Roman" w:eastAsia="宋体"/>
      <w:b/>
      <w:sz w:val="24"/>
    </w:rPr>
  </w:style>
  <w:style w:type="paragraph" w:customStyle="1" w:styleId="42">
    <w:name w:val="正式文本"/>
    <w:basedOn w:val="1"/>
    <w:qFormat/>
    <w:uiPriority w:val="0"/>
    <w:pPr>
      <w:spacing w:line="540" w:lineRule="exact"/>
      <w:ind w:firstLine="200" w:firstLineChars="200"/>
    </w:pPr>
    <w:rPr>
      <w:rFonts w:hAnsi="Arial Narrow"/>
      <w:sz w:val="28"/>
    </w:rPr>
  </w:style>
  <w:style w:type="paragraph" w:customStyle="1" w:styleId="43">
    <w:name w:val="xl68"/>
    <w:basedOn w:val="1"/>
    <w:next w:val="1"/>
    <w:qFormat/>
    <w:uiPriority w:val="0"/>
    <w:pPr>
      <w:widowControl/>
      <w:spacing w:before="100" w:beforeLines="0" w:beforeAutospacing="1" w:after="100" w:afterLines="0" w:afterAutospacing="1"/>
      <w:jc w:val="left"/>
      <w:textAlignment w:val="center"/>
    </w:pPr>
    <w:rPr>
      <w:rFonts w:ascii="Arial" w:hAnsi="Arial"/>
      <w:kern w:val="0"/>
      <w:sz w:val="20"/>
    </w:rPr>
  </w:style>
  <w:style w:type="paragraph" w:customStyle="1" w:styleId="44">
    <w:name w:val="样式 WG标题3 + 行距: 固定值 18 磅"/>
    <w:basedOn w:val="1"/>
    <w:qFormat/>
    <w:uiPriority w:val="0"/>
    <w:pPr>
      <w:keepNext w:val="0"/>
      <w:keepLines w:val="0"/>
      <w:widowControl w:val="0"/>
      <w:suppressLineNumbers w:val="0"/>
      <w:autoSpaceDE w:val="0"/>
      <w:autoSpaceDN w:val="0"/>
      <w:adjustRightInd w:val="0"/>
      <w:spacing w:before="0" w:beforeAutospacing="0" w:after="0" w:afterAutospacing="0" w:line="360" w:lineRule="exact"/>
      <w:ind w:left="0" w:right="0" w:firstLine="200" w:firstLineChars="200"/>
      <w:jc w:val="both"/>
      <w:outlineLvl w:val="2"/>
    </w:pPr>
    <w:rPr>
      <w:rFonts w:hint="default" w:ascii="Times New Roman" w:hAnsi="Times New Roman" w:eastAsia="宋体" w:cs="宋体"/>
      <w:b/>
      <w:color w:val="000000"/>
      <w:kern w:val="20"/>
      <w:sz w:val="24"/>
      <w:szCs w:val="20"/>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4" Type="http://schemas.openxmlformats.org/officeDocument/2006/relationships/fontTable" Target="fontTable.xml"/><Relationship Id="rId53" Type="http://schemas.openxmlformats.org/officeDocument/2006/relationships/numbering" Target="numbering.xml"/><Relationship Id="rId52" Type="http://schemas.openxmlformats.org/officeDocument/2006/relationships/customXml" Target="../customXml/item1.xml"/><Relationship Id="rId51" Type="http://schemas.openxmlformats.org/officeDocument/2006/relationships/image" Target="media/image33.jpeg"/><Relationship Id="rId50" Type="http://schemas.openxmlformats.org/officeDocument/2006/relationships/image" Target="media/image32.jpeg"/><Relationship Id="rId5" Type="http://schemas.openxmlformats.org/officeDocument/2006/relationships/footer" Target="footer2.xml"/><Relationship Id="rId49" Type="http://schemas.openxmlformats.org/officeDocument/2006/relationships/image" Target="media/image31.jpeg"/><Relationship Id="rId48" Type="http://schemas.openxmlformats.org/officeDocument/2006/relationships/image" Target="media/image30.jpeg"/><Relationship Id="rId47" Type="http://schemas.openxmlformats.org/officeDocument/2006/relationships/image" Target="media/image29.jpeg"/><Relationship Id="rId46" Type="http://schemas.openxmlformats.org/officeDocument/2006/relationships/image" Target="media/image28.jpeg"/><Relationship Id="rId45" Type="http://schemas.openxmlformats.org/officeDocument/2006/relationships/image" Target="media/image27.jpeg"/><Relationship Id="rId44" Type="http://schemas.openxmlformats.org/officeDocument/2006/relationships/image" Target="media/image26.jpeg"/><Relationship Id="rId43" Type="http://schemas.openxmlformats.org/officeDocument/2006/relationships/image" Target="media/image25.jpeg"/><Relationship Id="rId42" Type="http://schemas.openxmlformats.org/officeDocument/2006/relationships/image" Target="media/image24.jpeg"/><Relationship Id="rId41" Type="http://schemas.openxmlformats.org/officeDocument/2006/relationships/image" Target="media/image23.jpeg"/><Relationship Id="rId40" Type="http://schemas.openxmlformats.org/officeDocument/2006/relationships/image" Target="media/image22.png"/><Relationship Id="rId4" Type="http://schemas.openxmlformats.org/officeDocument/2006/relationships/footer" Target="footer1.xml"/><Relationship Id="rId39" Type="http://schemas.openxmlformats.org/officeDocument/2006/relationships/image" Target="media/image21.png"/><Relationship Id="rId38" Type="http://schemas.openxmlformats.org/officeDocument/2006/relationships/image" Target="media/image20.jpeg"/><Relationship Id="rId37" Type="http://schemas.openxmlformats.org/officeDocument/2006/relationships/image" Target="media/image19.jpeg"/><Relationship Id="rId36" Type="http://schemas.openxmlformats.org/officeDocument/2006/relationships/image" Target="media/image18.png"/><Relationship Id="rId35" Type="http://schemas.openxmlformats.org/officeDocument/2006/relationships/image" Target="media/image17.png"/><Relationship Id="rId34" Type="http://schemas.openxmlformats.org/officeDocument/2006/relationships/image" Target="media/image16.png"/><Relationship Id="rId33" Type="http://schemas.openxmlformats.org/officeDocument/2006/relationships/image" Target="media/image15.png"/><Relationship Id="rId32" Type="http://schemas.openxmlformats.org/officeDocument/2006/relationships/image" Target="media/image14.png"/><Relationship Id="rId31" Type="http://schemas.openxmlformats.org/officeDocument/2006/relationships/image" Target="media/image13.png"/><Relationship Id="rId30" Type="http://schemas.openxmlformats.org/officeDocument/2006/relationships/image" Target="media/image12.png"/><Relationship Id="rId3" Type="http://schemas.openxmlformats.org/officeDocument/2006/relationships/header" Target="header1.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png"/><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119</Pages>
  <Words>18321</Words>
  <Characters>20385</Characters>
  <Lines>0</Lines>
  <Paragraphs>0</Paragraphs>
  <TotalTime>3</TotalTime>
  <ScaleCrop>false</ScaleCrop>
  <LinksUpToDate>false</LinksUpToDate>
  <CharactersWithSpaces>20724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2026-07-06T08:51:00Z</dcterms:created>
  <dc:creator> 陕西中冠世纪项目咨询有限公司</dc:creator>
  <cp:lastModifiedBy>L</cp:lastModifiedBy>
  <dcterms:modified xsi:type="dcterms:W3CDTF">2026-07-07T12:43:09Z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2D4FD808740246529167F1987D1DD759_13</vt:lpwstr>
  </property>
  <property fmtid="{D5CDD505-2E9C-101B-9397-08002B2CF9AE}" pid="4" name="KSOTemplateDocerSaveRecord">
    <vt:lpwstr>eyJoZGlkIjoiYzE3Njk5NDlmZWE5MWI0OGVjMDllZGMwNWY1ZDM4M2EiLCJ1c2VySWQiOiIxMjk0MTE1NzI3In0=</vt:lpwstr>
  </property>
</Properties>
</file>