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版本号：ZCSP-渭南市-2026-00227、DLCG2026-03820260713001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渭南市融入中欧班列经济圈高质量发展可行性研究咨询服务项目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ZCSP-渭南市-2026-00227、DLCG2026-038</w:t>
      </w:r>
      <w:r>
        <w:br/>
      </w:r>
      <w:r>
        <w:br/>
      </w:r>
      <w:r>
        <w:br/>
      </w:r>
    </w:p>
    <w:p>
      <w:pPr>
        <w:pStyle w:val="null3"/>
        <w:jc w:val="center"/>
        <w:outlineLvl w:val="2"/>
      </w:pPr>
      <w:r>
        <w:rPr>
          <w:rFonts w:ascii="仿宋_GB2312" w:hAnsi="仿宋_GB2312" w:cs="仿宋_GB2312" w:eastAsia="仿宋_GB2312"/>
          <w:sz w:val="28"/>
          <w:b/>
        </w:rPr>
        <w:t>渭南市商务局</w:t>
      </w:r>
    </w:p>
    <w:p>
      <w:pPr>
        <w:pStyle w:val="null3"/>
        <w:jc w:val="center"/>
        <w:outlineLvl w:val="2"/>
      </w:pPr>
      <w:r>
        <w:rPr>
          <w:rFonts w:ascii="仿宋_GB2312" w:hAnsi="仿宋_GB2312" w:cs="仿宋_GB2312" w:eastAsia="仿宋_GB2312"/>
          <w:sz w:val="28"/>
          <w:b/>
        </w:rPr>
        <w:t>陕西鼎力中创项目管理有限公司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陕西鼎力中创项目管理有限公司</w:t>
      </w:r>
      <w:r>
        <w:rPr>
          <w:rFonts w:ascii="仿宋_GB2312" w:hAnsi="仿宋_GB2312" w:cs="仿宋_GB2312" w:eastAsia="仿宋_GB2312"/>
        </w:rPr>
        <w:t>（以下简称“代理机构”）受</w:t>
      </w:r>
      <w:r>
        <w:rPr>
          <w:rFonts w:ascii="仿宋_GB2312" w:hAnsi="仿宋_GB2312" w:cs="仿宋_GB2312" w:eastAsia="仿宋_GB2312"/>
        </w:rPr>
        <w:t>渭南市商务局</w:t>
      </w:r>
      <w:r>
        <w:rPr>
          <w:rFonts w:ascii="仿宋_GB2312" w:hAnsi="仿宋_GB2312" w:cs="仿宋_GB2312" w:eastAsia="仿宋_GB2312"/>
        </w:rPr>
        <w:t>委托，拟对</w:t>
      </w:r>
      <w:r>
        <w:rPr>
          <w:rFonts w:ascii="仿宋_GB2312" w:hAnsi="仿宋_GB2312" w:cs="仿宋_GB2312" w:eastAsia="仿宋_GB2312"/>
        </w:rPr>
        <w:t>渭南市融入中欧班列经济圈高质量发展可行性研究咨询服务项目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ZCSP-渭南市-2026-00227、DLCG2026-038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渭南市融入中欧班列经济圈高质量发展可行性研究咨询服务项目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完成渭南市融入中欧班列经济圈高质量发展可行性研究，编制相关报告。</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采购包1（渭南市融入中欧班列经济圈高质量发展可行性研究咨询服务项目）：属于专门面向中小企业采购。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负责人）或授权代表身份证明：供应商应授权合法的人员参加磋商全过程，其中法定代表人（负责人）直接参加的，须提供法定代表人（负责人）身份证明，并与营业执照上信息一致。法定代表人（负责人）授权代表参加的，须提供法定代表人（负责人）授权书及授权代表身份证明；</w:t>
      </w:r>
    </w:p>
    <w:p>
      <w:pPr>
        <w:pStyle w:val="null3"/>
      </w:pPr>
      <w:r>
        <w:rPr>
          <w:rFonts w:ascii="仿宋_GB2312" w:hAnsi="仿宋_GB2312" w:cs="仿宋_GB2312" w:eastAsia="仿宋_GB2312"/>
        </w:rPr>
        <w:t>2、信用信息：供应商未列入“信用中国”网站（www.creditchina.gov.cn）失信被执行人、重大税收违法失信主体、政府采购严重违法失信行为记录名单和中国政府采购网（www.ccgp.gov.cn）政府采购严重违法失信行为记录名单；</w:t>
      </w:r>
    </w:p>
    <w:p>
      <w:pPr>
        <w:pStyle w:val="null3"/>
      </w:pPr>
      <w:r>
        <w:rPr>
          <w:rFonts w:ascii="仿宋_GB2312" w:hAnsi="仿宋_GB2312" w:cs="仿宋_GB2312" w:eastAsia="仿宋_GB2312"/>
        </w:rPr>
        <w:t>3、供应商不得存在下列情形：单位负责人为同一人或者存在直接控股、管理关系的不同供应商不得参加同一合同项下的政府采购活动。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渭南市商务局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渭南市车雷街69号市民综合服务中心东配楼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0913-2933630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陕西鼎力中创项目管理有限公司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渭南市临渭区乐天大街碧桂园翡翠公馆北门11栋商铺2层208号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郑琳娜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0913-2185335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采购包1：397,000.00元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开户名称：陕西鼎力中创项目管理有限公司</w:t>
            </w:r>
          </w:p>
          <w:p>
            <w:pPr>
              <w:pStyle w:val="null3"/>
            </w:pPr>
            <w:r>
              <w:rPr>
                <w:rFonts w:ascii="仿宋_GB2312" w:hAnsi="仿宋_GB2312" w:cs="仿宋_GB2312" w:eastAsia="仿宋_GB2312"/>
              </w:rPr>
              <w:t>开户银行：工行渭南仓程路支行</w:t>
            </w:r>
          </w:p>
          <w:p>
            <w:pPr>
              <w:pStyle w:val="null3"/>
            </w:pPr>
            <w:r>
              <w:rPr>
                <w:rFonts w:ascii="仿宋_GB2312" w:hAnsi="仿宋_GB2312" w:cs="仿宋_GB2312" w:eastAsia="仿宋_GB2312"/>
              </w:rPr>
              <w:t>银行账号：2605 0259 1910 0033 019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标准，成交供应商向采购代理机构一次性付清采购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渭南市商务局</w:t>
      </w:r>
      <w:r>
        <w:rPr>
          <w:rFonts w:ascii="仿宋_GB2312" w:hAnsi="仿宋_GB2312" w:cs="仿宋_GB2312" w:eastAsia="仿宋_GB2312"/>
        </w:rPr>
        <w:t>和</w:t>
      </w:r>
      <w:r>
        <w:rPr>
          <w:rFonts w:ascii="仿宋_GB2312" w:hAnsi="仿宋_GB2312" w:cs="仿宋_GB2312" w:eastAsia="仿宋_GB2312"/>
        </w:rPr>
        <w:t>陕西鼎力中创项目管理有限公司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渭南市商务局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陕西鼎力中创项目管理有限公司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渭南市商务局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陕西鼎力中创项目管理有限公司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供应商应保证在本项目中使用的任何技术、产品和服务（包括部分使用），不会产生因第三方提出侵犯其专利权、商标权或其它知识产权而引起的法律和经济纠纷，如存在前述情形，由供应商承担所有相关责任。 供应商交付成果后，其知识产权及所有权均归采购人所有，甲方拥有永久使用权、修改权、上报印发、对外公示、二次整合使用权利。</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符合国家、省市相关法律、法规、标准、规范；验收依据:按采购文件、响应文件及澄清函、项目检查情况等综合指标进行验收。各项指标均应符合验收标准及要求。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联系人：李杰</w:t>
      </w:r>
    </w:p>
    <w:p>
      <w:pPr>
        <w:pStyle w:val="null3"/>
      </w:pPr>
      <w:r>
        <w:rPr>
          <w:rFonts w:ascii="仿宋_GB2312" w:hAnsi="仿宋_GB2312" w:cs="仿宋_GB2312" w:eastAsia="仿宋_GB2312"/>
        </w:rPr>
        <w:t>联系电话：0913-2185335</w:t>
      </w:r>
    </w:p>
    <w:p>
      <w:pPr>
        <w:pStyle w:val="null3"/>
      </w:pPr>
      <w:r>
        <w:rPr>
          <w:rFonts w:ascii="仿宋_GB2312" w:hAnsi="仿宋_GB2312" w:cs="仿宋_GB2312" w:eastAsia="仿宋_GB2312"/>
        </w:rPr>
        <w:t>地址：渭南市临渭区乐天大街碧桂园翡翠公馆北门11栋商铺2层208号</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完成渭南市融入中欧班列经济圈高质量发展可行性研究，编制相关报告。</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397,000.00</w:t>
      </w:r>
    </w:p>
    <w:p>
      <w:pPr>
        <w:pStyle w:val="null3"/>
      </w:pPr>
      <w:r>
        <w:rPr>
          <w:rFonts w:ascii="仿宋_GB2312" w:hAnsi="仿宋_GB2312" w:cs="仿宋_GB2312" w:eastAsia="仿宋_GB2312"/>
        </w:rPr>
        <w:t>采购包最高限价（元）: 397,000.00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渭南市融入中欧班列经济圈高质量发展可行性研究咨询服务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397,000.00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标的名称：渭南市融入中欧班列经济圈高质量发展可行性研究咨询服务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00"/>
              <w:jc w:val="both"/>
            </w:pPr>
            <w:r>
              <w:rPr>
                <w:rFonts w:ascii="仿宋_GB2312" w:hAnsi="仿宋_GB2312" w:cs="仿宋_GB2312" w:eastAsia="仿宋_GB2312"/>
                <w:sz w:val="21"/>
              </w:rPr>
              <w:t>(一)供应商需组建专业项目团队，为工作提供研究咨询服务：</w:t>
            </w:r>
          </w:p>
          <w:p>
            <w:pPr>
              <w:pStyle w:val="null3"/>
              <w:ind w:firstLine="576"/>
              <w:jc w:val="both"/>
            </w:pPr>
            <w:r>
              <w:rPr>
                <w:rFonts w:ascii="仿宋_GB2312" w:hAnsi="仿宋_GB2312" w:cs="仿宋_GB2312" w:eastAsia="仿宋_GB2312"/>
                <w:sz w:val="21"/>
              </w:rPr>
              <w:t>1.政策研究与基础调研：依据《中华人民共和国国民经济和社会发展第十五个五年（2026-2030年）规划纲要》《“十四五”现代物流发展规划》《陕西省国民经济和社会发展第十五个五年规划纲要（2026–2030年）》《支持中欧班列长安号高质量发展的若干措施》《西安都市圈建设三年行动计划（2023—2025年）》及《渭南市“十四五”商贸物流发展规划》《渭南市现代物流高质量发展三年倍增行动方案》及渭南市“十五五”相关上位、专项规划等要求，深入调研渭南市各区县（市）物流、外贸及中欧班列等方面发展现状，系统梳理各区县（市）关于对外贸易及中欧班列协同发展的发展成效、相关重点项目与思路设想，分析存在的短板与制约因素。</w:t>
            </w:r>
          </w:p>
          <w:p>
            <w:pPr>
              <w:pStyle w:val="null3"/>
              <w:ind w:firstLine="600"/>
              <w:jc w:val="both"/>
            </w:pPr>
            <w:r>
              <w:rPr>
                <w:rFonts w:ascii="仿宋_GB2312" w:hAnsi="仿宋_GB2312" w:cs="仿宋_GB2312" w:eastAsia="仿宋_GB2312"/>
                <w:sz w:val="21"/>
              </w:rPr>
              <w:t>2.研究报告编制：立足渭南市发展实际和未来需求，编制《渭南市融入中欧班列经济圈高质量发展可行性（路径）研究报告》，内容应涵盖但不限于：渭南市现状分析、发展环境分析、发展总体思路与目标、重点任务与实施路径等。</w:t>
            </w:r>
          </w:p>
          <w:p>
            <w:pPr>
              <w:pStyle w:val="null3"/>
              <w:ind w:firstLine="602"/>
              <w:jc w:val="both"/>
            </w:pPr>
            <w:r>
              <w:rPr>
                <w:rFonts w:ascii="仿宋_GB2312" w:hAnsi="仿宋_GB2312" w:cs="仿宋_GB2312" w:eastAsia="仿宋_GB2312"/>
                <w:sz w:val="21"/>
              </w:rPr>
              <w:t>（二）服务成果要求</w:t>
            </w:r>
          </w:p>
          <w:p>
            <w:pPr>
              <w:pStyle w:val="null3"/>
              <w:ind w:firstLine="600"/>
              <w:jc w:val="both"/>
            </w:pPr>
            <w:r>
              <w:rPr>
                <w:rFonts w:ascii="仿宋_GB2312" w:hAnsi="仿宋_GB2312" w:cs="仿宋_GB2312" w:eastAsia="仿宋_GB2312"/>
                <w:sz w:val="21"/>
              </w:rPr>
              <w:t>包含可研报告的正式文稿(提供纸质版及可编辑电子版Word/PDF格式)、配套附件等全套资料。</w:t>
            </w:r>
          </w:p>
          <w:p>
            <w:pPr>
              <w:pStyle w:val="null3"/>
              <w:ind w:firstLine="600"/>
              <w:jc w:val="both"/>
            </w:pPr>
            <w:r>
              <w:rPr>
                <w:rFonts w:ascii="仿宋_GB2312" w:hAnsi="仿宋_GB2312" w:cs="仿宋_GB2312" w:eastAsia="仿宋_GB2312"/>
                <w:sz w:val="21"/>
              </w:rPr>
              <w:t>服务成果应结构完整、内容详实、数据准确，兼具战略前瞻性与实施操作性。</w:t>
            </w:r>
          </w:p>
          <w:p>
            <w:pPr>
              <w:pStyle w:val="null3"/>
              <w:ind w:firstLine="600"/>
              <w:jc w:val="both"/>
            </w:pPr>
            <w:r>
              <w:rPr>
                <w:rFonts w:ascii="仿宋_GB2312" w:hAnsi="仿宋_GB2312" w:cs="仿宋_GB2312" w:eastAsia="仿宋_GB2312"/>
                <w:sz w:val="21"/>
              </w:rPr>
              <w:t>服务成果符合国家、省、市政策、法律法规及相关规范标准要求。</w:t>
            </w:r>
          </w:p>
          <w:p>
            <w:pPr>
              <w:pStyle w:val="null3"/>
              <w:ind w:firstLine="600"/>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根据项目需求配置相应人员。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根据项目需求配置相应设施设备。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1.合同终止或服务期结束后，应按照采购人要求，做好资料交接和工作衔接，保证项目业务连续性。 2.项目实施过程资料等完整准确。 3.供应商应履行采购人保密义务。</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自合同签订之日起至2026年12月31日止。（若因工作需要导致超期，供应商仍需配合完成项目咨询服务及报告完善工作）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符合国家、省市相关法律、法规、标准、规范；验收依据:按采购文件、响应文件及澄清函、项目检查情况等综合指标进行验收。各项指标均应符合验收标准及要求。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预付款，合同签订生效后，乙方开具发票，达到付款条件起10个工作日内，支付合同总金额的60.0%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进度款，全部服务内容履行完毕，且乙方提交的最终成果通过甲方验收合格后，乙方开具发票，达到付款条件起10个工作日内，支付合同总金额的40.0%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1.成交单位在成交结果公告发布后3个工作日内提供叁套纸质磋商响应文件（经编标工具生成的文件直接打印并加盖公章），递交的纸质版文件内容确保与线上电子文件保持一致，不允许修改和补充。 2.供应商应根据《政府采购促进中小企业发展管理办法》、《关于印发中小企业划型标准规定的通知》(工信部联企业〔2011〕300号)要求和采购文件中明确的采购标的所属行业进行企业划型。 3.出具磋商保证金交纳凭证或担保机构出具的保函（未按磋商文件要求提供响应无效）。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1.1供应商应具备独立承担民事责任能力的法人、其他组织或自然人，提供合法有效的统一社会信用代码的营业执照副本或相关证明（自然人提供身份证复印件）； 1.2提供具有财务审计资质单位出具的2025年度的财务报告或响应文件提交截止时间前六个月内其基本账户银行出具的资信证明； 1.3供应商提供响应文件提交截止时间前一年内任意一个月的社会保障资金缴存证明或社保机构开具的社会保险参保缴费情况证明； 1.4供应商提供响应文件提交截止时间前一年内任意一个月的依法缴纳税收的相关证明，依法免税需提供相关证明材料； 1.5提供供应商参加政府采购活动前三年内经营活动中没有重大违法记录的书面声明； 1.6提供具有履行合同所必需的设备和专业技术能力的声明。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法定代表人（负责人）或授权代表身份证明</w:t>
            </w:r>
          </w:p>
        </w:tc>
        <w:tc>
          <w:tcPr>
            <w:tcW w:type="dxa" w:w="3322"/>
          </w:tcPr>
          <w:p>
            <w:pPr>
              <w:pStyle w:val="null3"/>
            </w:pPr>
            <w:r>
              <w:rPr>
                <w:rFonts w:ascii="仿宋_GB2312" w:hAnsi="仿宋_GB2312" w:cs="仿宋_GB2312" w:eastAsia="仿宋_GB2312"/>
              </w:rPr>
              <w:t>供应商应授权合法的人员参加磋商全过程，其中法定代表人（负责人）直接参加的，须提供法定代表人（负责人）身份证明，并与营业执照上信息一致。法定代表人（负责人）授权代表参加的，须提供法定代表人（负责人）授权书及授权代表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供应商未列入“信用中国”网站（www.creditchina.gov.cn）失信被执行人、重大税收违法失信主体、政府采购严重违法失信行为记录名单和中国政府采购网（www.ccgp.gov.cn）政府采购严重违法失信行为记录名单；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供应商不得存在下列情形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磋商响应文件签署、盖章</w:t>
            </w:r>
          </w:p>
        </w:tc>
        <w:tc>
          <w:tcPr>
            <w:tcW w:type="dxa" w:w="3322"/>
          </w:tcPr>
          <w:p>
            <w:pPr>
              <w:pStyle w:val="null3"/>
            </w:pPr>
            <w:r>
              <w:rPr>
                <w:rFonts w:ascii="仿宋_GB2312" w:hAnsi="仿宋_GB2312" w:cs="仿宋_GB2312" w:eastAsia="仿宋_GB2312"/>
              </w:rPr>
              <w:t>磋商响应文件签署、盖章满足磋商文件的要求。</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标的清单 报价表 服务内容及服务要求应答表.docx 商务应答表.docx 响应函 服务方案.docx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投标（响应）有效期</w:t>
            </w:r>
          </w:p>
        </w:tc>
        <w:tc>
          <w:tcPr>
            <w:tcW w:type="dxa" w:w="3322"/>
          </w:tcPr>
          <w:p>
            <w:pPr>
              <w:pStyle w:val="null3"/>
            </w:pPr>
            <w:r>
              <w:rPr>
                <w:rFonts w:ascii="仿宋_GB2312" w:hAnsi="仿宋_GB2312" w:cs="仿宋_GB2312" w:eastAsia="仿宋_GB2312"/>
              </w:rPr>
              <w:t>投标（响应）有效期（90日历天）满足磋商文件的要求。</w:t>
            </w:r>
          </w:p>
        </w:tc>
        <w:tc>
          <w:tcPr>
            <w:tcW w:type="dxa" w:w="1661"/>
          </w:tcPr>
          <w:p>
            <w:pPr>
              <w:pStyle w:val="null3"/>
            </w:pPr>
            <w:r>
              <w:rPr>
                <w:rFonts w:ascii="仿宋_GB2312" w:hAnsi="仿宋_GB2312" w:cs="仿宋_GB2312" w:eastAsia="仿宋_GB2312"/>
              </w:rPr>
              <w:t>商务应答表.docx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供应商磋商报价未出现选择性报价，未超出采购最高限价。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w:t>
            </w:r>
          </w:p>
        </w:tc>
        <w:tc>
          <w:tcPr>
            <w:tcW w:type="dxa" w:w="3322"/>
          </w:tcPr>
          <w:p>
            <w:pPr>
              <w:pStyle w:val="null3"/>
            </w:pPr>
            <w:r>
              <w:rPr>
                <w:rFonts w:ascii="仿宋_GB2312" w:hAnsi="仿宋_GB2312" w:cs="仿宋_GB2312" w:eastAsia="仿宋_GB2312"/>
              </w:rPr>
              <w:t>合同履行期满足或优于采购要求。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响应文件中对合同草案条款未附加采购人难以接受的条件。</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质量标准达到国家现行行业验收规范“合格”标准及磋商文件要求。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磋商响应内容</w:t>
            </w:r>
          </w:p>
        </w:tc>
        <w:tc>
          <w:tcPr>
            <w:tcW w:type="dxa" w:w="3322"/>
          </w:tcPr>
          <w:p>
            <w:pPr>
              <w:pStyle w:val="null3"/>
            </w:pPr>
            <w:r>
              <w:rPr>
                <w:rFonts w:ascii="仿宋_GB2312" w:hAnsi="仿宋_GB2312" w:cs="仿宋_GB2312" w:eastAsia="仿宋_GB2312"/>
              </w:rPr>
              <w:t>供应商提供的货物(服务)无实质性遗漏。</w:t>
            </w:r>
          </w:p>
        </w:tc>
        <w:tc>
          <w:tcPr>
            <w:tcW w:type="dxa" w:w="1661"/>
          </w:tcPr>
          <w:p>
            <w:pPr>
              <w:pStyle w:val="null3"/>
            </w:pPr>
            <w:r>
              <w:rPr>
                <w:rFonts w:ascii="仿宋_GB2312" w:hAnsi="仿宋_GB2312" w:cs="仿宋_GB2312" w:eastAsia="仿宋_GB2312"/>
              </w:rPr>
              <w:t>服务内容及服务要求应答表.docx 商务应答表.docx 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对本项目的理解与重难点分析</w:t>
            </w:r>
          </w:p>
        </w:tc>
        <w:tc>
          <w:tcPr>
            <w:tcW w:type="dxa" w:w="2492"/>
          </w:tcPr>
          <w:p>
            <w:pPr>
              <w:pStyle w:val="null3"/>
            </w:pPr>
            <w:r>
              <w:rPr>
                <w:rFonts w:ascii="仿宋_GB2312" w:hAnsi="仿宋_GB2312" w:cs="仿宋_GB2312" w:eastAsia="仿宋_GB2312"/>
              </w:rPr>
              <w:t>一、评审内容：对本项目的理解与重难点分析，包括但不限于：①现状分析；②重难点分析；③对应解决方案等。 二、评审标准：以上3项，以序号①、②、③为项数，内容无缺项且无缺陷的得6分，其中每有一项内容存在缺项扣2分，每项内容中每有一处存在缺陷的扣0.5分，扣完为止，未提供不得分。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一、评审内容：针对本项目制定服务方案，包括但不限于：①服务目标、内容及标准；②服务方法及策略；③项目实施团队及管理保障方案；④评审与验收配合方案等。 二、评审标准：以上4项，以序号①、②、③、④为项数，内容无缺项且无缺陷的得12分，其中每有一项内容存在缺项扣3分，每项内容中每有一处存在缺陷的扣0.5分，扣完为止，未提供不得分。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实施进度计划</w:t>
            </w:r>
          </w:p>
        </w:tc>
        <w:tc>
          <w:tcPr>
            <w:tcW w:type="dxa" w:w="2492"/>
          </w:tcPr>
          <w:p>
            <w:pPr>
              <w:pStyle w:val="null3"/>
            </w:pPr>
            <w:r>
              <w:rPr>
                <w:rFonts w:ascii="仿宋_GB2312" w:hAnsi="仿宋_GB2312" w:cs="仿宋_GB2312" w:eastAsia="仿宋_GB2312"/>
              </w:rPr>
              <w:t>一、评审内容：供应商针对本项目制定实施进度计划，包括但不限于：①实施进度方案；②进度保障措施；③突发情况的应急措施等； 二、评审标准：以上3项，以序号①、②、③为项数，内容无缺项且无缺陷的得6分，其中每有一项内容存在缺项扣2分，每项内容中每有一处存在缺陷的扣0.5分，扣完为止，未提供不得分。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工作流程</w:t>
            </w:r>
          </w:p>
        </w:tc>
        <w:tc>
          <w:tcPr>
            <w:tcW w:type="dxa" w:w="2492"/>
          </w:tcPr>
          <w:p>
            <w:pPr>
              <w:pStyle w:val="null3"/>
            </w:pPr>
            <w:r>
              <w:rPr>
                <w:rFonts w:ascii="仿宋_GB2312" w:hAnsi="仿宋_GB2312" w:cs="仿宋_GB2312" w:eastAsia="仿宋_GB2312"/>
              </w:rPr>
              <w:t>一、评审内容：供应商针对本项目制定工作流程，包括但不限于：①前期准备；②报告编制；③审核、修改、上报等。 二、评审标准：以上3项，以序号①、②、③为项数，内容无缺项且无缺陷的得6分，其中每有一项内容存在缺项扣2分，每项内容中每有一处存在缺陷的扣0.5分，扣完为止，未提供不得分。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一、评审内容：供应商针对本项目制定质量保障方案，包括但不限于：①质量目标；②质量控制措施；③评审意见整改完善机制等。 二、评审标准：以上3项，以序号①、②、③为项数，内容无缺项且无缺陷的得6分，其中每有一项内容存在缺项扣2分，每项内容中每有一处存在缺陷的扣0.5分，扣完为止，未提供不得分。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一、评审内容：针对本项目制定具体保密措施，包括但不限于：①保密防范措施；②出现泄露秘密情况的追责制度等。 二、评审标准：以上2项，以序号①、②为项数，内容无缺项且无缺陷的得4分，其中每有一项内容存在缺项扣2分，每项内容中每有一处存在缺陷的扣0.5分，扣完为止，未提供不得分。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项目负责人：提供项目负责人2023年7月1日至响应文件递交截止之日类似项目业绩（不限于可研编制、规划编制、研究类项目编制等）证明材料，每项有效业绩得2分，满分4分。 注：提供有效的业绩证明材料及在本单位缴纳一年内任意一个月社保缴纳证明或劳动合同，加盖单位公章，未提供或有遗漏的不予计分。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项目组人员</w:t>
            </w:r>
          </w:p>
        </w:tc>
        <w:tc>
          <w:tcPr>
            <w:tcW w:type="dxa" w:w="2492"/>
          </w:tcPr>
          <w:p>
            <w:pPr>
              <w:pStyle w:val="null3"/>
            </w:pPr>
            <w:r>
              <w:rPr>
                <w:rFonts w:ascii="仿宋_GB2312" w:hAnsi="仿宋_GB2312" w:cs="仿宋_GB2312" w:eastAsia="仿宋_GB2312"/>
              </w:rPr>
              <w:t>项目组人员组成（除项目负责人外）：①拟派项目组人员配备不少于3人，3人得2分，4人得4分，5人及以上得6分，最高得6分；人员总数不足3人的，本项不得分。 ②拟派项目组成员具有相关专业高级职称及以上，每提供 1 人得 2 分；具有相关专业中级职称，每提供 1 人得 1 分，本项最高 3 分。注：本条第②项拟派人员须提供对应职称证书复印件并加盖供应商单位公章，未按要求提供的不予计分。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提供以下服务承诺：①服务质量达到采购文件要求的承诺；②保质保量提交完整成果资料的承诺；③接受采购人对服务的监督及管理的承诺；④承诺验收前，项目团队的人员保持稳定的承诺；⑤配合相关评审、验收工作，达到有关主管部门审批要求的承诺；⑥本项目服务成果资料知识产权归采购人所有的承诺。 二、评审标准：以上6项，需提供加盖供应商公章的书面承诺文件，每提供1项不低于要求的有效书面承诺得2分，最高得12分。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7月1日起至响应文件递交截止之日类似项目业绩（不限于可研编制、规划编制、研究类项目编制等），每提供一项有效业绩得3分，最高得15分。注：提供合同复印件或中标（成交）通知书复印件加盖公章。如提供中标（成交）通知书，以中标（成交）通知书发放时间为准；如提供合同，以合同签订日期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满足竞争性磋商文件要求且磋商价格最低的磋商报价为评标基准价，其价格分为满分。其他供应商的价格分统一按照下列公式计算：磋商报价得分=（评标基准价/有效报价）×价格权重（20%）×100。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详见附件：合同-渭南市融入中欧班列经济圈可行性研究报告.docx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