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391A9">
      <w:pPr>
        <w:jc w:val="center"/>
        <w:rPr>
          <w:rFonts w:hint="eastAsia" w:ascii="宋体" w:hAnsi="宋体" w:eastAsia="宋体" w:cs="宋体"/>
          <w:b/>
          <w:bCs/>
          <w:color w:val="000000"/>
          <w:sz w:val="48"/>
          <w:szCs w:val="48"/>
          <w:lang w:eastAsia="zh-CN"/>
        </w:rPr>
      </w:pPr>
    </w:p>
    <w:p w14:paraId="0A657133">
      <w:pPr>
        <w:jc w:val="center"/>
        <w:rPr>
          <w:rFonts w:hint="eastAsia" w:eastAsiaTheme="minorEastAsia"/>
          <w:color w:val="auto"/>
          <w:lang w:eastAsia="zh-CN"/>
        </w:rPr>
      </w:pPr>
      <w:r>
        <w:rPr>
          <w:rFonts w:hint="eastAsia" w:ascii="宋体" w:hAnsi="宋体" w:eastAsia="宋体" w:cs="宋体"/>
          <w:b/>
          <w:bCs/>
          <w:color w:val="000000"/>
          <w:sz w:val="48"/>
          <w:szCs w:val="48"/>
          <w:lang w:eastAsia="zh-CN"/>
        </w:rPr>
        <w:t>渭南市融入中欧班列经济圈高质量发展可行性研究咨询服务项目</w:t>
      </w:r>
    </w:p>
    <w:p w14:paraId="2D65B8E2">
      <w:pPr>
        <w:jc w:val="center"/>
        <w:rPr>
          <w:rFonts w:hint="eastAsia" w:ascii="宋体" w:hAnsi="宋体" w:eastAsia="宋体" w:cs="宋体"/>
          <w:b/>
          <w:color w:val="auto"/>
          <w:sz w:val="72"/>
          <w:szCs w:val="72"/>
        </w:rPr>
      </w:pPr>
    </w:p>
    <w:p w14:paraId="31BB3148">
      <w:pPr>
        <w:jc w:val="center"/>
        <w:rPr>
          <w:rFonts w:ascii="宋体" w:hAnsi="宋体" w:eastAsia="宋体" w:cs="宋体"/>
          <w:b/>
          <w:color w:val="auto"/>
          <w:sz w:val="72"/>
          <w:szCs w:val="72"/>
        </w:rPr>
      </w:pPr>
      <w:r>
        <w:rPr>
          <w:rFonts w:hint="eastAsia" w:ascii="宋体" w:hAnsi="宋体" w:eastAsia="宋体" w:cs="宋体"/>
          <w:b/>
          <w:color w:val="auto"/>
          <w:sz w:val="72"/>
          <w:szCs w:val="72"/>
        </w:rPr>
        <w:t>合</w:t>
      </w:r>
    </w:p>
    <w:p w14:paraId="2E5BFCFD">
      <w:pPr>
        <w:jc w:val="center"/>
        <w:rPr>
          <w:rFonts w:ascii="宋体" w:hAnsi="宋体" w:eastAsia="宋体" w:cs="宋体"/>
          <w:b/>
          <w:color w:val="auto"/>
          <w:sz w:val="72"/>
          <w:szCs w:val="72"/>
        </w:rPr>
      </w:pPr>
    </w:p>
    <w:p w14:paraId="5860F8BE">
      <w:pPr>
        <w:jc w:val="center"/>
        <w:rPr>
          <w:rFonts w:ascii="宋体" w:hAnsi="宋体" w:eastAsia="宋体" w:cs="宋体"/>
          <w:b/>
          <w:color w:val="auto"/>
          <w:sz w:val="72"/>
          <w:szCs w:val="72"/>
        </w:rPr>
      </w:pPr>
      <w:r>
        <w:rPr>
          <w:rFonts w:hint="eastAsia" w:ascii="宋体" w:hAnsi="宋体" w:eastAsia="宋体" w:cs="宋体"/>
          <w:b/>
          <w:color w:val="auto"/>
          <w:sz w:val="72"/>
          <w:szCs w:val="72"/>
        </w:rPr>
        <w:t>同</w:t>
      </w:r>
    </w:p>
    <w:p w14:paraId="40889F3B">
      <w:pPr>
        <w:jc w:val="center"/>
        <w:rPr>
          <w:rFonts w:ascii="宋体" w:hAnsi="宋体" w:eastAsia="宋体" w:cs="宋体"/>
          <w:b/>
          <w:color w:val="auto"/>
          <w:sz w:val="72"/>
          <w:szCs w:val="72"/>
        </w:rPr>
      </w:pPr>
    </w:p>
    <w:p w14:paraId="68445413">
      <w:pPr>
        <w:jc w:val="center"/>
        <w:rPr>
          <w:rFonts w:ascii="宋体" w:hAnsi="宋体" w:eastAsia="宋体" w:cs="宋体"/>
          <w:b/>
          <w:color w:val="auto"/>
          <w:sz w:val="72"/>
          <w:szCs w:val="72"/>
        </w:rPr>
      </w:pPr>
      <w:r>
        <w:rPr>
          <w:rFonts w:hint="eastAsia" w:ascii="宋体" w:hAnsi="宋体" w:eastAsia="宋体" w:cs="宋体"/>
          <w:b/>
          <w:color w:val="auto"/>
          <w:sz w:val="72"/>
          <w:szCs w:val="72"/>
        </w:rPr>
        <w:t>书</w:t>
      </w:r>
    </w:p>
    <w:p w14:paraId="4D5A72E2">
      <w:pPr>
        <w:rPr>
          <w:rFonts w:ascii="宋体" w:hAnsi="宋体" w:eastAsia="宋体" w:cs="宋体"/>
          <w:b/>
          <w:color w:val="auto"/>
          <w:sz w:val="72"/>
          <w:szCs w:val="72"/>
        </w:rPr>
      </w:pPr>
    </w:p>
    <w:p w14:paraId="7349CC33">
      <w:pPr>
        <w:rPr>
          <w:rFonts w:ascii="宋体" w:hAnsi="宋体" w:eastAsia="宋体" w:cs="宋体"/>
          <w:b/>
          <w:color w:val="auto"/>
          <w:sz w:val="28"/>
          <w:szCs w:val="28"/>
        </w:rPr>
      </w:pPr>
    </w:p>
    <w:tbl>
      <w:tblPr>
        <w:tblStyle w:val="7"/>
        <w:tblW w:w="4741" w:type="dxa"/>
        <w:jc w:val="center"/>
        <w:tblLayout w:type="fixed"/>
        <w:tblCellMar>
          <w:top w:w="0" w:type="dxa"/>
          <w:left w:w="108" w:type="dxa"/>
          <w:bottom w:w="0" w:type="dxa"/>
          <w:right w:w="108" w:type="dxa"/>
        </w:tblCellMar>
      </w:tblPr>
      <w:tblGrid>
        <w:gridCol w:w="38"/>
        <w:gridCol w:w="4703"/>
      </w:tblGrid>
      <w:tr w14:paraId="68CEC462">
        <w:trPr>
          <w:trHeight w:val="766" w:hRule="atLeast"/>
          <w:jc w:val="center"/>
        </w:trPr>
        <w:tc>
          <w:tcPr>
            <w:tcW w:w="4741" w:type="dxa"/>
            <w:gridSpan w:val="2"/>
          </w:tcPr>
          <w:p w14:paraId="0CBE3166">
            <w:pP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甲方：</w:t>
            </w:r>
          </w:p>
        </w:tc>
      </w:tr>
      <w:tr w14:paraId="6112ACDF">
        <w:tblPrEx>
          <w:tblCellMar>
            <w:top w:w="0" w:type="dxa"/>
            <w:left w:w="108" w:type="dxa"/>
            <w:bottom w:w="0" w:type="dxa"/>
            <w:right w:w="108" w:type="dxa"/>
          </w:tblCellMar>
        </w:tblPrEx>
        <w:trPr>
          <w:gridBefore w:val="1"/>
          <w:wBefore w:w="38" w:type="dxa"/>
          <w:trHeight w:val="765" w:hRule="atLeast"/>
          <w:jc w:val="center"/>
        </w:trPr>
        <w:tc>
          <w:tcPr>
            <w:tcW w:w="4703" w:type="dxa"/>
          </w:tcPr>
          <w:p w14:paraId="2629D950">
            <w:pPr>
              <w:rPr>
                <w:rFonts w:ascii="宋体" w:hAnsi="宋体" w:eastAsia="宋体" w:cs="宋体"/>
                <w:b/>
                <w:color w:val="auto"/>
                <w:sz w:val="28"/>
                <w:szCs w:val="28"/>
              </w:rPr>
            </w:pPr>
            <w:r>
              <w:rPr>
                <w:rFonts w:hint="eastAsia" w:ascii="宋体" w:hAnsi="宋体" w:eastAsia="宋体" w:cs="宋体"/>
                <w:b/>
                <w:color w:val="auto"/>
                <w:sz w:val="28"/>
                <w:szCs w:val="28"/>
              </w:rPr>
              <w:t xml:space="preserve">乙方： </w:t>
            </w:r>
          </w:p>
        </w:tc>
      </w:tr>
      <w:tr w14:paraId="77873BA5">
        <w:tblPrEx>
          <w:tblCellMar>
            <w:top w:w="0" w:type="dxa"/>
            <w:left w:w="108" w:type="dxa"/>
            <w:bottom w:w="0" w:type="dxa"/>
            <w:right w:w="108" w:type="dxa"/>
          </w:tblCellMar>
        </w:tblPrEx>
        <w:trPr>
          <w:gridBefore w:val="1"/>
          <w:wBefore w:w="38" w:type="dxa"/>
          <w:trHeight w:val="998" w:hRule="atLeast"/>
          <w:jc w:val="center"/>
        </w:trPr>
        <w:tc>
          <w:tcPr>
            <w:tcW w:w="4703" w:type="dxa"/>
          </w:tcPr>
          <w:p w14:paraId="228B23CA">
            <w:pPr>
              <w:rPr>
                <w:rFonts w:ascii="宋体" w:hAnsi="宋体" w:eastAsia="宋体" w:cs="宋体"/>
                <w:b/>
                <w:color w:val="auto"/>
                <w:sz w:val="28"/>
                <w:szCs w:val="28"/>
              </w:rPr>
            </w:pPr>
            <w:r>
              <w:rPr>
                <w:rFonts w:hint="eastAsia" w:ascii="宋体" w:hAnsi="宋体" w:eastAsia="宋体" w:cs="宋体"/>
                <w:b/>
                <w:color w:val="auto"/>
                <w:sz w:val="28"/>
                <w:szCs w:val="28"/>
              </w:rPr>
              <w:t>日期：</w:t>
            </w:r>
            <w:r>
              <w:rPr>
                <w:rFonts w:hint="eastAsia" w:ascii="宋体" w:hAnsi="宋体" w:eastAsia="宋体" w:cs="宋体"/>
                <w:b/>
                <w:color w:val="auto"/>
                <w:sz w:val="28"/>
                <w:szCs w:val="28"/>
                <w:lang w:eastAsia="zh-CN"/>
              </w:rPr>
              <w:t>二〇二</w:t>
            </w:r>
            <w:r>
              <w:rPr>
                <w:rFonts w:hint="eastAsia" w:ascii="宋体" w:hAnsi="宋体" w:eastAsia="宋体" w:cs="宋体"/>
                <w:b/>
                <w:color w:val="auto"/>
                <w:sz w:val="28"/>
                <w:szCs w:val="28"/>
                <w:lang w:val="en-US" w:eastAsia="zh-CN"/>
              </w:rPr>
              <w:t>六</w:t>
            </w:r>
            <w:r>
              <w:rPr>
                <w:rFonts w:hint="eastAsia" w:ascii="宋体" w:hAnsi="宋体" w:eastAsia="宋体" w:cs="宋体"/>
                <w:b/>
                <w:color w:val="auto"/>
                <w:sz w:val="28"/>
                <w:szCs w:val="28"/>
                <w:lang w:eastAsia="zh-CN"/>
              </w:rPr>
              <w:t>年</w:t>
            </w:r>
            <w:r>
              <w:rPr>
                <w:rFonts w:hint="eastAsia" w:ascii="宋体" w:hAnsi="宋体" w:eastAsia="宋体" w:cs="宋体"/>
                <w:b/>
                <w:color w:val="auto"/>
                <w:sz w:val="28"/>
                <w:szCs w:val="28"/>
              </w:rPr>
              <w:t xml:space="preserve">  月</w:t>
            </w:r>
          </w:p>
        </w:tc>
      </w:tr>
    </w:tbl>
    <w:p w14:paraId="51A54C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3FA714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153001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2799D5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6C124E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75DA91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color w:val="000000"/>
          <w:kern w:val="0"/>
          <w:sz w:val="24"/>
          <w:szCs w:val="24"/>
          <w:lang w:val="en-US" w:eastAsia="zh-CN" w:bidi="ar"/>
        </w:rPr>
      </w:pPr>
    </w:p>
    <w:p w14:paraId="55395B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甲方（委托方）：</w:t>
      </w:r>
      <w:r>
        <w:rPr>
          <w:rFonts w:hint="eastAsia" w:ascii="宋体" w:hAnsi="宋体" w:eastAsia="宋体" w:cs="宋体"/>
          <w:color w:val="000000"/>
          <w:kern w:val="0"/>
          <w:sz w:val="24"/>
          <w:szCs w:val="24"/>
          <w:u w:val="single"/>
          <w:lang w:val="en-US" w:eastAsia="zh-CN" w:bidi="ar"/>
        </w:rPr>
        <w:t xml:space="preserve">                        </w:t>
      </w:r>
    </w:p>
    <w:p w14:paraId="5F54E8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乙方（受托方）：________________________</w:t>
      </w:r>
    </w:p>
    <w:p w14:paraId="10FBD38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根据《中华人民共和国民法典》</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lang w:val="en-US" w:eastAsia="zh-CN"/>
        </w:rPr>
        <w:t>中华人民共和国政府采购法</w:t>
      </w:r>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及相关法律法规的规定，甲乙双方在平等、自愿、公平、协商一致的基础上，就甲方委托乙方提供</w:t>
      </w:r>
      <w:r>
        <w:rPr>
          <w:rFonts w:hint="eastAsia" w:ascii="宋体" w:hAnsi="宋体" w:cs="宋体"/>
          <w:color w:val="auto"/>
          <w:spacing w:val="0"/>
          <w:sz w:val="24"/>
          <w:szCs w:val="24"/>
          <w:highlight w:val="none"/>
          <w:u w:val="single"/>
          <w:lang w:val="en-US" w:eastAsia="zh-CN"/>
        </w:rPr>
        <w:t xml:space="preserve">  （项目名称）  </w:t>
      </w:r>
      <w:r>
        <w:rPr>
          <w:rFonts w:hint="eastAsia" w:ascii="宋体" w:hAnsi="宋体" w:eastAsia="宋体" w:cs="宋体"/>
          <w:color w:val="auto"/>
          <w:spacing w:val="0"/>
          <w:sz w:val="24"/>
          <w:szCs w:val="24"/>
          <w:highlight w:val="none"/>
        </w:rPr>
        <w:t>的有关事宜达成如下协议：</w:t>
      </w:r>
    </w:p>
    <w:p w14:paraId="1FAD76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一、项目基本情况</w:t>
      </w:r>
    </w:p>
    <w:p w14:paraId="1859B7D2">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项目名称：________________________</w:t>
      </w:r>
    </w:p>
    <w:p w14:paraId="468539F0">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服务期限：</w:t>
      </w:r>
      <w:r>
        <w:rPr>
          <w:rFonts w:hint="eastAsia" w:ascii="宋体" w:hAnsi="宋体" w:eastAsia="宋体" w:cs="宋体"/>
          <w:color w:val="000000"/>
          <w:sz w:val="24"/>
          <w:szCs w:val="24"/>
          <w:u w:val="single"/>
          <w:lang w:val="en-US" w:eastAsia="zh-CN"/>
        </w:rPr>
        <w:t xml:space="preserve">                        </w:t>
      </w:r>
    </w:p>
    <w:p w14:paraId="3BD49382">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服务地点：</w:t>
      </w:r>
      <w:r>
        <w:rPr>
          <w:rFonts w:hint="eastAsia" w:ascii="宋体" w:hAnsi="宋体" w:eastAsia="宋体" w:cs="宋体"/>
          <w:color w:val="000000"/>
          <w:sz w:val="24"/>
          <w:szCs w:val="24"/>
          <w:u w:val="single"/>
          <w:lang w:val="en-US" w:eastAsia="zh-CN"/>
        </w:rPr>
        <w:t xml:space="preserve">                        </w:t>
      </w:r>
    </w:p>
    <w:p w14:paraId="031097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二、项目服务内容</w:t>
      </w:r>
    </w:p>
    <w:p w14:paraId="14FEEB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乙方</w:t>
      </w:r>
      <w:r>
        <w:rPr>
          <w:rFonts w:hint="eastAsia" w:ascii="宋体" w:hAnsi="宋体" w:eastAsia="宋体" w:cs="宋体"/>
          <w:color w:val="000000"/>
          <w:sz w:val="24"/>
          <w:szCs w:val="24"/>
        </w:rPr>
        <w:t>需组建专业项目团队，为工作提供研究咨询服务：</w:t>
      </w:r>
    </w:p>
    <w:p w14:paraId="60CA60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政策研究与基础调研：依据《中华人民共和国国民经济和社会发展第十五个五年（2026-2030年）规划纲要》《“十四五”现代物流发展规划》《陕西省国民经济和社会发展第十五个五年规划纲要（2026–2030年）》《支持中欧班列长安号高质量发展的若干措施》《西安都市圈建设三年行动计划（2023—2025年）》及《渭南市“十四五”商贸物流发展规划》《渭南市现代物流高质量发展三年倍增行动方案》及渭南市“十五五”相关上位、专项规划等要求，深入调研渭南市各区县（市）物流、外贸及中欧班列等方面发展现状，系统梳理各区县（市）关于对外贸易及中欧班列协同发展的发展成效、相关重点项目与思路设想，分析存在的短板与制约因素。</w:t>
      </w:r>
    </w:p>
    <w:p w14:paraId="5770608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2.研究报告编制：立足渭南市发展实际和未来需求，编制《渭南市融入中欧班列经济圈高质量发展可行性</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路径</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研究报告》，内容应涵盖但不限于：渭南市现状分析、发展环境分析、发展总体思路与目标、重点任务与实施路径等。</w:t>
      </w:r>
    </w:p>
    <w:p w14:paraId="73F3E4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p>
    <w:p w14:paraId="74AC77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三、成果内容及要求</w:t>
      </w:r>
    </w:p>
    <w:p w14:paraId="537B38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包含可研报告的正式文稿(提供纸质版及可编辑电子版Word/PDF格式)、配套附件等全套资料。</w:t>
      </w:r>
    </w:p>
    <w:p w14:paraId="3E02EA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服务成果应结构完整、内容详实、数据准确，兼具战略前瞻性与实施操作性。</w:t>
      </w:r>
    </w:p>
    <w:p w14:paraId="55B82C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服务成果符合国家、省、市政策、法律法规及相关规范标准要求。</w:t>
      </w:r>
    </w:p>
    <w:p w14:paraId="23EE9A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四、合同金额及付款方式</w:t>
      </w:r>
    </w:p>
    <w:p w14:paraId="0C98D0A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u w:val="single"/>
          <w:lang w:val="en-US" w:eastAsia="zh-CN" w:bidi="ar"/>
        </w:rPr>
      </w:pPr>
      <w:r>
        <w:rPr>
          <w:rFonts w:hint="eastAsia" w:ascii="宋体" w:hAnsi="宋体" w:eastAsia="宋体" w:cs="宋体"/>
          <w:color w:val="auto"/>
          <w:kern w:val="0"/>
          <w:sz w:val="24"/>
          <w:szCs w:val="24"/>
          <w:lang w:val="en-US" w:eastAsia="zh-CN" w:bidi="ar"/>
        </w:rPr>
        <w:t>1.合同总价款为人民币：</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u w:val="none"/>
          <w:lang w:val="en-US" w:eastAsia="zh-CN" w:bidi="ar"/>
        </w:rPr>
        <w:t>元（人民币大写：</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u w:val="none"/>
          <w:lang w:val="en-US" w:eastAsia="zh-CN" w:bidi="ar"/>
        </w:rPr>
        <w:t>）。</w:t>
      </w:r>
    </w:p>
    <w:p w14:paraId="11502F3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2.付款方式：</w:t>
      </w:r>
      <w:r>
        <w:rPr>
          <w:rFonts w:hint="eastAsia" w:ascii="宋体" w:hAnsi="宋体" w:eastAsia="宋体" w:cs="宋体"/>
          <w:color w:val="auto"/>
          <w:kern w:val="0"/>
          <w:sz w:val="24"/>
          <w:szCs w:val="24"/>
          <w:u w:val="single"/>
          <w:lang w:val="en-US" w:eastAsia="zh-CN" w:bidi="ar"/>
        </w:rPr>
        <w:t xml:space="preserve">                      </w:t>
      </w:r>
    </w:p>
    <w:p w14:paraId="42EB255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3.乙方账户信息</w:t>
      </w:r>
    </w:p>
    <w:p w14:paraId="43643E4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户  名：</w:t>
      </w:r>
    </w:p>
    <w:p w14:paraId="2AAAC7E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开户行：</w:t>
      </w:r>
    </w:p>
    <w:p w14:paraId="761E4BC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地  址：</w:t>
      </w:r>
    </w:p>
    <w:p w14:paraId="02BA56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行  号：</w:t>
      </w:r>
    </w:p>
    <w:p w14:paraId="3E4BDB5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账  号：</w:t>
      </w:r>
    </w:p>
    <w:p w14:paraId="1F8F41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五、甲乙双方权利与义务</w:t>
      </w:r>
    </w:p>
    <w:p w14:paraId="5DB451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（一）甲方权利义务</w:t>
      </w:r>
    </w:p>
    <w:p w14:paraId="746F2A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1.权利 </w:t>
      </w:r>
    </w:p>
    <w:p w14:paraId="38587D7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auto"/>
          <w:sz w:val="24"/>
          <w:szCs w:val="24"/>
          <w:highlight w:val="none"/>
          <w:lang w:val="en-US" w:eastAsia="zh-CN"/>
        </w:rPr>
        <w:t>甲方有权对乙方的工作质量和工作进度进行督促和检查，乙方对甲方的合理合规意见和建议应当采纳并及时修正；</w:t>
      </w:r>
    </w:p>
    <w:p w14:paraId="420D346B">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auto"/>
          <w:sz w:val="24"/>
          <w:szCs w:val="24"/>
          <w:highlight w:val="none"/>
          <w:lang w:val="en-US" w:eastAsia="zh-CN"/>
        </w:rPr>
        <w:t>甲方有权对乙方的工作内容提出不超出行业相关技术、标准的要求；</w:t>
      </w:r>
    </w:p>
    <w:p w14:paraId="361BB4B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kern w:val="0"/>
          <w:sz w:val="24"/>
          <w:szCs w:val="24"/>
          <w:lang w:val="en-US" w:eastAsia="zh-CN" w:bidi="ar"/>
        </w:rPr>
        <w:t>（3）</w:t>
      </w:r>
      <w:r>
        <w:rPr>
          <w:rFonts w:hint="eastAsia" w:ascii="宋体" w:hAnsi="宋体" w:eastAsia="宋体" w:cs="宋体"/>
          <w:color w:val="auto"/>
          <w:sz w:val="24"/>
          <w:szCs w:val="24"/>
          <w:highlight w:val="none"/>
          <w:lang w:val="en-US" w:eastAsia="zh-CN"/>
        </w:rPr>
        <w:t>甲方有权就乙方的工作人员和具体工作安排提出意见及建议，乙方应当及时反馈并妥善安排，保障项目及时高效完成。</w:t>
      </w:r>
    </w:p>
    <w:p w14:paraId="64793043">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p>
    <w:p w14:paraId="111540A4">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p>
    <w:p w14:paraId="4293C074">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义务 </w:t>
      </w:r>
    </w:p>
    <w:p w14:paraId="070E0F56">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highlight w:val="none"/>
          <w:lang w:val="en-US" w:eastAsia="zh-CN"/>
        </w:rPr>
        <w:t>甲方应及时、准确地向乙方提供本项目所需资料及基础数据，并保证所提供资料的真实性、合法性。如因甲方基础资料提供不真实、不及时致使乙方项目推进迟延，乙方有权请求项目时间延期；</w:t>
      </w:r>
    </w:p>
    <w:p w14:paraId="619563A2">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56" w:firstLineChars="200"/>
        <w:jc w:val="left"/>
        <w:textAlignment w:val="auto"/>
        <w:rPr>
          <w:rFonts w:hint="eastAsia" w:ascii="宋体" w:hAnsi="宋体" w:eastAsia="宋体" w:cs="宋体"/>
          <w:color w:val="000000"/>
          <w:spacing w:val="-6"/>
          <w:kern w:val="0"/>
          <w:sz w:val="24"/>
          <w:szCs w:val="24"/>
          <w:lang w:val="en-US" w:eastAsia="zh-CN" w:bidi="ar"/>
        </w:rPr>
      </w:pPr>
      <w:r>
        <w:rPr>
          <w:rFonts w:hint="eastAsia" w:ascii="宋体" w:hAnsi="宋体" w:eastAsia="宋体" w:cs="宋体"/>
          <w:color w:val="auto"/>
          <w:spacing w:val="-6"/>
          <w:sz w:val="24"/>
          <w:szCs w:val="24"/>
          <w:highlight w:val="none"/>
          <w:lang w:val="en-US" w:eastAsia="zh-CN"/>
        </w:rPr>
        <w:t>甲方应就乙方反馈的问题及时作出明确答复，不得无故拖延致使项目延期，如有此类现象乙方有权作出相应免责声明，甲方应就相应不利后果承担责任；</w:t>
      </w:r>
    </w:p>
    <w:p w14:paraId="0DB4CCFE">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highlight w:val="none"/>
          <w:lang w:val="en-US" w:eastAsia="zh-CN"/>
        </w:rPr>
        <w:t>甲方应当根据合同约定的付款日期和金额，按时足额向乙方支付款项；</w:t>
      </w:r>
    </w:p>
    <w:p w14:paraId="29AEA147">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highlight w:val="none"/>
          <w:lang w:val="en-US" w:eastAsia="zh-CN"/>
        </w:rPr>
        <w:t>如项目成果需要评审，甲方应当及时组织评审活动，如因甲方组织评审迟延致使项目延期，相应不利后果由甲方承担</w:t>
      </w:r>
      <w:r>
        <w:rPr>
          <w:rFonts w:hint="eastAsia" w:ascii="宋体" w:hAnsi="宋体" w:eastAsia="宋体" w:cs="宋体"/>
          <w:color w:val="000000"/>
          <w:kern w:val="0"/>
          <w:sz w:val="24"/>
          <w:szCs w:val="24"/>
          <w:lang w:val="en-US" w:eastAsia="zh-CN" w:bidi="ar"/>
        </w:rPr>
        <w:t>。</w:t>
      </w:r>
    </w:p>
    <w:p w14:paraId="0950F3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（二）乙方权利义务</w:t>
      </w:r>
    </w:p>
    <w:p w14:paraId="4974D3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1.权利 </w:t>
      </w:r>
    </w:p>
    <w:p w14:paraId="416E780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（1）乙方有权要求甲方按照项目资料清单及时提供项目编制所需的相应文本及数据资料；</w:t>
      </w:r>
    </w:p>
    <w:p w14:paraId="44623372">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（2）乙方有权要求甲方支持并充分配合乙方开展调研工作，甲方应当在职权范围内提供相应便利，如因甲方不予积极配合调研工作致使项目质量或进度无法得到保障，乙方概不承担相应责任；</w:t>
      </w:r>
    </w:p>
    <w:p w14:paraId="159B230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（3）乙方有权要求甲方参与项目的相关部门及工作人员积极配合开展工作，如因甲方相关部门及工作人员的故意及过失等原因致使项目拖延，乙方概不承担相应责任；</w:t>
      </w:r>
    </w:p>
    <w:p w14:paraId="61043D6E">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（4）乙方有权要求甲方按时、足额支付合同约定的金额。</w:t>
      </w:r>
    </w:p>
    <w:p w14:paraId="0ECD55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2.义务 </w:t>
      </w:r>
    </w:p>
    <w:p w14:paraId="628A80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（1）组建稳定专业项目团队，固定项目负责人全程对接，严格按照国家规范、合同约定时限完成全部咨询服务；</w:t>
      </w:r>
    </w:p>
    <w:p w14:paraId="3BB7EF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（2）如实开展调研、测算、论证，保证报告客观真实； </w:t>
      </w:r>
    </w:p>
    <w:p w14:paraId="6E38BC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（3）遇政策重大调整、自然灾害等不可抗力无法按期交付成果，须 3 个工作日内书面告知甲方，共同协商工期调整方案，不得无故拖延； </w:t>
      </w:r>
    </w:p>
    <w:p w14:paraId="03135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（4）按合同约定时限交付全部成果，并配合甲方评审、答辩、汇报、整改； </w:t>
      </w:r>
    </w:p>
    <w:p w14:paraId="4D122FD3">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textAlignment w:val="auto"/>
        <w:outlineLvl w:val="9"/>
        <w:rPr>
          <w:rFonts w:hint="eastAsia" w:ascii="宋体" w:hAnsi="宋体" w:eastAsia="宋体" w:cs="宋体"/>
          <w:color w:val="auto"/>
          <w:spacing w:val="0"/>
          <w:sz w:val="24"/>
          <w:szCs w:val="24"/>
          <w:highlight w:val="none"/>
        </w:rPr>
      </w:pPr>
      <w:r>
        <w:rPr>
          <w:rFonts w:hint="eastAsia" w:ascii="宋体" w:hAnsi="宋体" w:eastAsia="宋体" w:cs="宋体"/>
          <w:color w:val="000000"/>
          <w:sz w:val="24"/>
          <w:szCs w:val="24"/>
        </w:rPr>
        <w:t>六、</w:t>
      </w:r>
      <w:r>
        <w:rPr>
          <w:rFonts w:hint="eastAsia" w:ascii="宋体" w:hAnsi="宋体" w:eastAsia="宋体" w:cs="宋体"/>
          <w:b/>
          <w:bCs/>
          <w:color w:val="auto"/>
          <w:spacing w:val="0"/>
          <w:sz w:val="24"/>
          <w:szCs w:val="24"/>
          <w:highlight w:val="none"/>
        </w:rPr>
        <w:t>违约责任：</w:t>
      </w:r>
    </w:p>
    <w:p w14:paraId="2CEA4B00">
      <w:pPr>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依据《中华人民共和国民法典》的相关条款和本合同约定，乙方未全面履行合同义务或拒绝继续履行合同义务，给甲方带来经济损失，甲方有权单方终止合同，并向</w:t>
      </w:r>
      <w:r>
        <w:rPr>
          <w:rFonts w:hint="eastAsia" w:ascii="宋体" w:hAnsi="宋体" w:eastAsia="宋体" w:cs="宋体"/>
          <w:color w:val="auto"/>
          <w:sz w:val="24"/>
          <w:szCs w:val="24"/>
          <w:highlight w:val="none"/>
          <w:lang w:val="en-US" w:eastAsia="zh-Hans"/>
        </w:rPr>
        <w:t>乙</w:t>
      </w:r>
      <w:r>
        <w:rPr>
          <w:rFonts w:hint="eastAsia" w:ascii="宋体" w:hAnsi="宋体" w:eastAsia="宋体" w:cs="宋体"/>
          <w:color w:val="auto"/>
          <w:sz w:val="24"/>
          <w:szCs w:val="24"/>
          <w:highlight w:val="none"/>
        </w:rPr>
        <w:t>方索赔。甲方违约的，应赔偿乙方的直接经济损失。</w:t>
      </w:r>
    </w:p>
    <w:p w14:paraId="057FA42D">
      <w:pPr>
        <w:keepNext w:val="0"/>
        <w:keepLines w:val="0"/>
        <w:pageBreakBefore w:val="0"/>
        <w:widowControl w:val="0"/>
        <w:kinsoku/>
        <w:wordWrap/>
        <w:overflowPunct/>
        <w:topLinePunct w:val="0"/>
        <w:autoSpaceDE/>
        <w:autoSpaceDN/>
        <w:bidi w:val="0"/>
        <w:adjustRightInd/>
        <w:snapToGrid/>
        <w:spacing w:line="560" w:lineRule="exact"/>
        <w:ind w:left="0" w:right="0" w:firstLine="456"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auto"/>
          <w:spacing w:val="-6"/>
          <w:sz w:val="24"/>
          <w:szCs w:val="24"/>
          <w:highlight w:val="none"/>
        </w:rPr>
        <w:t>因履行本合同或与本合同相关的事项而产生的争议，合同各方应本着友好之原则协商解决；协商不成的，任何一方有权向本合同签订地有管辖权的法院提起诉讼。</w:t>
      </w:r>
    </w:p>
    <w:p w14:paraId="20056E6B">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知识产权约定</w:t>
      </w:r>
    </w:p>
    <w:p w14:paraId="680BDC6E">
      <w:pPr>
        <w:keepNext w:val="0"/>
        <w:keepLines w:val="0"/>
        <w:pageBreakBefore w:val="0"/>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乙方应保证在本项目中使用的任何技术、产品和服务（包括部分使用），不会产生因第三方提出侵犯其专利权、商标权或其它知识产权而引起的法律和经济纠纷，如存在前述情形，由乙方承担所有相关责任。</w:t>
      </w:r>
    </w:p>
    <w:p w14:paraId="0908E392">
      <w:pPr>
        <w:keepNext w:val="0"/>
        <w:keepLines w:val="0"/>
        <w:pageBreakBefore w:val="0"/>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乙方交付成果后，其知识产权及所有权均归采购人所有，甲方拥有永久使用权、修改权、上报印发、对外公示、二次整合使用权利。</w:t>
      </w:r>
    </w:p>
    <w:p w14:paraId="40802B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八、保密条款</w:t>
      </w:r>
    </w:p>
    <w:p w14:paraId="08728121">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auto"/>
          <w:sz w:val="24"/>
          <w:szCs w:val="24"/>
          <w:highlight w:val="none"/>
          <w:lang w:val="en-US" w:eastAsia="zh-CN"/>
        </w:rPr>
        <w:t>在项目执行期间，甲、乙双方共同按要求履行保密事宜，不得向任何第三方泄露与项目有关的信息，如因合理需求需要向第三方披露相关信息，应当征得合同相对方的书面同意，否则一方有权追究另一方的泄密责任</w:t>
      </w:r>
      <w:r>
        <w:rPr>
          <w:rFonts w:hint="eastAsia" w:ascii="宋体" w:hAnsi="宋体" w:eastAsia="宋体" w:cs="宋体"/>
          <w:color w:val="000000"/>
          <w:sz w:val="24"/>
          <w:szCs w:val="24"/>
        </w:rPr>
        <w:t>。</w:t>
      </w:r>
    </w:p>
    <w:p w14:paraId="2A72C0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九、验收标准</w:t>
      </w:r>
    </w:p>
    <w:p w14:paraId="2850B0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符合国家、省市相关法律、法规、标准、规范；验收依据:按采购文件、响应文件及澄清函、项目检查情况等综合指标进行验收。各项指标均应符合验收标准及要求。</w:t>
      </w:r>
    </w:p>
    <w:p w14:paraId="3D1453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p>
    <w:p w14:paraId="09A5BE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十、不可抗力</w:t>
      </w:r>
    </w:p>
    <w:p w14:paraId="5135E487">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不可抗力指不能预见、不能避免、不能克服的客观情况，包含自然灾害、战争、国家重大政策强制调整、疫情封控等。</w:t>
      </w:r>
    </w:p>
    <w:p w14:paraId="4B6F9806">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发生不可抗力一方应在3日内书面通知对方，并提供有效证明材料；双方根据不可抗力影响程度协商工期顺延</w:t>
      </w:r>
      <w:r>
        <w:rPr>
          <w:rFonts w:hint="eastAsia" w:ascii="宋体" w:hAnsi="宋体" w:eastAsia="宋体" w:cs="宋体"/>
          <w:color w:val="000000"/>
          <w:sz w:val="24"/>
          <w:szCs w:val="24"/>
          <w:lang w:val="en-US" w:eastAsia="zh-CN"/>
        </w:rPr>
        <w:t>等</w:t>
      </w:r>
      <w:r>
        <w:rPr>
          <w:rFonts w:hint="eastAsia" w:ascii="宋体" w:hAnsi="宋体" w:eastAsia="宋体" w:cs="宋体"/>
          <w:color w:val="000000"/>
          <w:sz w:val="24"/>
          <w:szCs w:val="24"/>
        </w:rPr>
        <w:t>。</w:t>
      </w:r>
    </w:p>
    <w:p w14:paraId="69691603">
      <w:pPr>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因不可抗力导致合同无法全部履行，</w:t>
      </w:r>
      <w:r>
        <w:rPr>
          <w:rFonts w:hint="eastAsia" w:ascii="宋体" w:hAnsi="宋体" w:eastAsia="宋体" w:cs="宋体"/>
          <w:color w:val="auto"/>
          <w:sz w:val="24"/>
          <w:szCs w:val="24"/>
          <w:highlight w:val="none"/>
          <w:lang w:val="en-US" w:eastAsia="zh-CN"/>
        </w:rPr>
        <w:t>双方可协商解除</w:t>
      </w:r>
      <w:r>
        <w:rPr>
          <w:rFonts w:hint="eastAsia" w:ascii="宋体" w:hAnsi="宋体" w:eastAsia="宋体" w:cs="宋体"/>
          <w:color w:val="000000"/>
          <w:sz w:val="24"/>
          <w:szCs w:val="24"/>
        </w:rPr>
        <w:t>。</w:t>
      </w:r>
    </w:p>
    <w:p w14:paraId="055E70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2"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十</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、合同</w:t>
      </w:r>
      <w:r>
        <w:rPr>
          <w:rFonts w:hint="eastAsia" w:ascii="宋体" w:hAnsi="宋体" w:eastAsia="宋体" w:cs="宋体"/>
          <w:color w:val="000000"/>
          <w:sz w:val="24"/>
          <w:szCs w:val="24"/>
          <w:lang w:val="en-US" w:eastAsia="zh-CN"/>
        </w:rPr>
        <w:t>生效</w:t>
      </w:r>
    </w:p>
    <w:p w14:paraId="0A3A873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1.本合同自双方签字盖章之日起生效。一式</w:t>
      </w:r>
      <w:r>
        <w:rPr>
          <w:rFonts w:hint="eastAsia" w:ascii="宋体" w:hAnsi="宋体" w:eastAsia="宋体" w:cs="宋体"/>
          <w:color w:val="auto"/>
          <w:sz w:val="24"/>
          <w:szCs w:val="24"/>
          <w:highlight w:val="none"/>
          <w:u w:val="single"/>
          <w:lang w:val="en-US" w:eastAsia="zh-CN"/>
        </w:rPr>
        <w:t>陆</w:t>
      </w:r>
      <w:r>
        <w:rPr>
          <w:rFonts w:hint="eastAsia" w:ascii="宋体" w:hAnsi="宋体" w:eastAsia="宋体" w:cs="宋体"/>
          <w:color w:val="auto"/>
          <w:sz w:val="24"/>
          <w:szCs w:val="24"/>
          <w:highlight w:val="none"/>
        </w:rPr>
        <w:t>份，具有同等法律效力，其中甲方</w:t>
      </w:r>
      <w:r>
        <w:rPr>
          <w:rFonts w:hint="eastAsia" w:ascii="宋体" w:hAnsi="宋体" w:eastAsia="宋体" w:cs="宋体"/>
          <w:color w:val="auto"/>
          <w:sz w:val="24"/>
          <w:szCs w:val="24"/>
          <w:highlight w:val="none"/>
          <w:u w:val="single"/>
          <w:lang w:val="en-US" w:eastAsia="zh-CN"/>
        </w:rPr>
        <w:t>贰</w:t>
      </w:r>
      <w:r>
        <w:rPr>
          <w:rFonts w:hint="eastAsia" w:ascii="宋体" w:hAnsi="宋体" w:eastAsia="宋体" w:cs="宋体"/>
          <w:color w:val="auto"/>
          <w:sz w:val="24"/>
          <w:szCs w:val="24"/>
          <w:highlight w:val="none"/>
        </w:rPr>
        <w:t>份，乙方</w:t>
      </w:r>
      <w:r>
        <w:rPr>
          <w:rFonts w:hint="eastAsia" w:ascii="宋体" w:hAnsi="宋体" w:eastAsia="宋体" w:cs="宋体"/>
          <w:color w:val="auto"/>
          <w:sz w:val="24"/>
          <w:szCs w:val="24"/>
          <w:highlight w:val="none"/>
          <w:u w:val="single"/>
          <w:lang w:val="en-US" w:eastAsia="zh-CN"/>
        </w:rPr>
        <w:t>贰</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val="en-US" w:eastAsia="zh-CN"/>
        </w:rPr>
        <w:t>相关单位</w:t>
      </w:r>
      <w:r>
        <w:rPr>
          <w:rFonts w:hint="eastAsia" w:ascii="宋体" w:hAnsi="宋体" w:eastAsia="宋体" w:cs="宋体"/>
          <w:color w:val="auto"/>
          <w:sz w:val="24"/>
          <w:szCs w:val="24"/>
          <w:highlight w:val="none"/>
          <w:u w:val="single"/>
          <w:lang w:val="en-US" w:eastAsia="zh-CN"/>
        </w:rPr>
        <w:t>贰</w:t>
      </w:r>
      <w:r>
        <w:rPr>
          <w:rFonts w:hint="eastAsia" w:ascii="宋体" w:hAnsi="宋体" w:eastAsia="宋体" w:cs="宋体"/>
          <w:color w:val="auto"/>
          <w:sz w:val="24"/>
          <w:szCs w:val="24"/>
          <w:highlight w:val="none"/>
        </w:rPr>
        <w:t>份。</w:t>
      </w:r>
    </w:p>
    <w:p w14:paraId="062C60D0">
      <w:pPr>
        <w:keepNext w:val="0"/>
        <w:keepLines w:val="0"/>
        <w:pageBreakBefore w:val="0"/>
        <w:widowControl w:val="0"/>
        <w:kinsoku/>
        <w:wordWrap/>
        <w:overflowPunct/>
        <w:topLinePunct w:val="0"/>
        <w:autoSpaceDE/>
        <w:autoSpaceDN/>
        <w:bidi w:val="0"/>
        <w:adjustRightInd/>
        <w:snapToGrid/>
        <w:spacing w:line="560" w:lineRule="exact"/>
        <w:ind w:firstLine="456"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2.本项目</w:t>
      </w:r>
      <w:r>
        <w:rPr>
          <w:rFonts w:hint="eastAsia" w:ascii="宋体" w:hAnsi="宋体" w:eastAsia="宋体" w:cs="宋体"/>
          <w:color w:val="auto"/>
          <w:spacing w:val="-6"/>
          <w:sz w:val="24"/>
          <w:szCs w:val="24"/>
          <w:highlight w:val="none"/>
          <w:lang w:val="en-US" w:eastAsia="zh-CN"/>
        </w:rPr>
        <w:t>磋商文件</w:t>
      </w:r>
      <w:r>
        <w:rPr>
          <w:rFonts w:hint="eastAsia" w:ascii="宋体" w:hAnsi="宋体" w:eastAsia="宋体" w:cs="宋体"/>
          <w:color w:val="auto"/>
          <w:spacing w:val="-6"/>
          <w:sz w:val="24"/>
          <w:szCs w:val="24"/>
          <w:highlight w:val="none"/>
          <w:u w:val="none"/>
        </w:rPr>
        <w:t>(包括</w:t>
      </w:r>
      <w:r>
        <w:rPr>
          <w:rFonts w:hint="eastAsia" w:ascii="宋体" w:hAnsi="宋体" w:eastAsia="宋体" w:cs="宋体"/>
          <w:color w:val="auto"/>
          <w:spacing w:val="-6"/>
          <w:sz w:val="24"/>
          <w:szCs w:val="24"/>
          <w:highlight w:val="none"/>
          <w:u w:val="none"/>
          <w:lang w:val="en-US" w:eastAsia="zh-CN"/>
        </w:rPr>
        <w:t>磋商响应文件</w:t>
      </w:r>
      <w:r>
        <w:rPr>
          <w:rFonts w:hint="eastAsia" w:ascii="宋体" w:hAnsi="宋体" w:eastAsia="宋体" w:cs="宋体"/>
          <w:color w:val="auto"/>
          <w:spacing w:val="-6"/>
          <w:sz w:val="24"/>
          <w:szCs w:val="24"/>
          <w:highlight w:val="none"/>
          <w:u w:val="none"/>
        </w:rPr>
        <w:t>、</w:t>
      </w:r>
      <w:r>
        <w:rPr>
          <w:rFonts w:hint="eastAsia" w:ascii="宋体" w:hAnsi="宋体" w:eastAsia="宋体" w:cs="宋体"/>
          <w:color w:val="auto"/>
          <w:spacing w:val="-6"/>
          <w:sz w:val="24"/>
          <w:szCs w:val="24"/>
          <w:highlight w:val="none"/>
          <w:u w:val="none"/>
          <w:lang w:val="en-US" w:eastAsia="zh-CN"/>
        </w:rPr>
        <w:t>成交通知书</w:t>
      </w:r>
      <w:r>
        <w:rPr>
          <w:rFonts w:hint="eastAsia" w:ascii="宋体" w:hAnsi="宋体" w:eastAsia="宋体" w:cs="宋体"/>
          <w:color w:val="auto"/>
          <w:spacing w:val="-6"/>
          <w:sz w:val="24"/>
          <w:szCs w:val="24"/>
          <w:highlight w:val="none"/>
          <w:u w:val="none"/>
        </w:rPr>
        <w:t>)、本合同附件以及合同</w:t>
      </w:r>
      <w:r>
        <w:rPr>
          <w:rFonts w:hint="eastAsia" w:ascii="宋体" w:hAnsi="宋体" w:eastAsia="宋体" w:cs="宋体"/>
          <w:color w:val="auto"/>
          <w:spacing w:val="-6"/>
          <w:sz w:val="24"/>
          <w:szCs w:val="24"/>
          <w:highlight w:val="none"/>
        </w:rPr>
        <w:t>履行过程中形成的各种书面文件，经双方签署确认后为本合同的组成部分，与本合同具有同等法律效力，解释的顺序除有特别说明外，以文件生成时间在后的为准。</w:t>
      </w:r>
    </w:p>
    <w:p w14:paraId="0FA21363">
      <w:pPr>
        <w:keepNext w:val="0"/>
        <w:keepLines w:val="0"/>
        <w:pageBreakBefore w:val="0"/>
        <w:widowControl w:val="0"/>
        <w:kinsoku/>
        <w:wordWrap/>
        <w:overflowPunct/>
        <w:topLinePunct w:val="0"/>
        <w:autoSpaceDE/>
        <w:autoSpaceDN/>
        <w:bidi w:val="0"/>
        <w:adjustRightInd/>
        <w:snapToGrid/>
        <w:spacing w:line="560" w:lineRule="exact"/>
        <w:ind w:firstLine="456" w:firstLineChars="200"/>
        <w:jc w:val="left"/>
        <w:textAlignment w:val="auto"/>
        <w:rPr>
          <w:rFonts w:hint="eastAsia" w:ascii="宋体" w:hAnsi="宋体" w:eastAsia="宋体" w:cs="宋体"/>
          <w:color w:val="auto"/>
          <w:spacing w:val="-6"/>
          <w:sz w:val="24"/>
          <w:szCs w:val="24"/>
          <w:highlight w:val="none"/>
          <w:shd w:val="clear" w:color="auto" w:fill="auto"/>
        </w:rPr>
      </w:pPr>
      <w:r>
        <w:rPr>
          <w:rFonts w:hint="eastAsia" w:ascii="宋体" w:hAnsi="宋体" w:eastAsia="宋体" w:cs="宋体"/>
          <w:color w:val="auto"/>
          <w:spacing w:val="-6"/>
          <w:sz w:val="24"/>
          <w:szCs w:val="24"/>
          <w:highlight w:val="none"/>
          <w:shd w:val="clear" w:color="auto" w:fill="auto"/>
        </w:rPr>
        <w:t>3.本合同未尽事宜，双方可协商签订补充协议，补充协议与本合同具有同等法律效力。</w:t>
      </w:r>
    </w:p>
    <w:p w14:paraId="141548F9">
      <w:pPr>
        <w:keepNext w:val="0"/>
        <w:keepLines w:val="0"/>
        <w:pageBreakBefore w:val="0"/>
        <w:widowControl w:val="0"/>
        <w:kinsoku/>
        <w:wordWrap/>
        <w:overflowPunct/>
        <w:topLinePunct w:val="0"/>
        <w:autoSpaceDE/>
        <w:autoSpaceDN/>
        <w:bidi w:val="0"/>
        <w:adjustRightInd/>
        <w:snapToGrid/>
        <w:spacing w:line="560" w:lineRule="exact"/>
        <w:ind w:firstLine="456" w:firstLineChars="200"/>
        <w:jc w:val="left"/>
        <w:textAlignment w:val="auto"/>
        <w:rPr>
          <w:rFonts w:hint="eastAsia" w:ascii="宋体" w:hAnsi="宋体" w:eastAsia="宋体" w:cs="宋体"/>
          <w:color w:val="auto"/>
          <w:spacing w:val="-6"/>
          <w:sz w:val="24"/>
          <w:szCs w:val="24"/>
          <w:highlight w:val="none"/>
          <w:shd w:val="clear" w:color="auto" w:fill="auto"/>
        </w:rPr>
      </w:pPr>
      <w:bookmarkStart w:id="0" w:name="_GoBack"/>
      <w:bookmarkEnd w:id="0"/>
    </w:p>
    <w:tbl>
      <w:tblPr>
        <w:tblStyle w:val="7"/>
        <w:tblW w:w="9269" w:type="dxa"/>
        <w:tblInd w:w="0" w:type="dxa"/>
        <w:tblLayout w:type="fixed"/>
        <w:tblCellMar>
          <w:top w:w="0" w:type="dxa"/>
          <w:left w:w="108" w:type="dxa"/>
          <w:bottom w:w="0" w:type="dxa"/>
          <w:right w:w="108" w:type="dxa"/>
        </w:tblCellMar>
      </w:tblPr>
      <w:tblGrid>
        <w:gridCol w:w="4637"/>
        <w:gridCol w:w="4632"/>
      </w:tblGrid>
      <w:tr w14:paraId="30BB1129">
        <w:tblPrEx>
          <w:tblCellMar>
            <w:top w:w="0" w:type="dxa"/>
            <w:left w:w="108" w:type="dxa"/>
            <w:bottom w:w="0" w:type="dxa"/>
            <w:right w:w="108" w:type="dxa"/>
          </w:tblCellMar>
        </w:tblPrEx>
        <w:trPr>
          <w:trHeight w:val="840" w:hRule="atLeast"/>
        </w:trPr>
        <w:tc>
          <w:tcPr>
            <w:tcW w:w="4637" w:type="dxa"/>
            <w:noWrap w:val="0"/>
            <w:vAlign w:val="top"/>
          </w:tcPr>
          <w:p w14:paraId="71E162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w:t>
            </w:r>
          </w:p>
        </w:tc>
        <w:tc>
          <w:tcPr>
            <w:tcW w:w="4632" w:type="dxa"/>
            <w:noWrap w:val="0"/>
            <w:vAlign w:val="top"/>
          </w:tcPr>
          <w:p w14:paraId="11E0EB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乙方名称： </w:t>
            </w:r>
          </w:p>
        </w:tc>
      </w:tr>
      <w:tr w14:paraId="712AEEDF">
        <w:tblPrEx>
          <w:tblCellMar>
            <w:top w:w="0" w:type="dxa"/>
            <w:left w:w="108" w:type="dxa"/>
            <w:bottom w:w="0" w:type="dxa"/>
            <w:right w:w="108" w:type="dxa"/>
          </w:tblCellMar>
        </w:tblPrEx>
        <w:trPr>
          <w:trHeight w:val="840" w:hRule="atLeast"/>
        </w:trPr>
        <w:tc>
          <w:tcPr>
            <w:tcW w:w="4637" w:type="dxa"/>
            <w:noWrap w:val="0"/>
            <w:vAlign w:val="top"/>
          </w:tcPr>
          <w:p w14:paraId="4E1D95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法定代表人或授权委托人（签字）：</w:t>
            </w:r>
          </w:p>
        </w:tc>
        <w:tc>
          <w:tcPr>
            <w:tcW w:w="4632" w:type="dxa"/>
            <w:noWrap w:val="0"/>
            <w:vAlign w:val="top"/>
          </w:tcPr>
          <w:p w14:paraId="075E5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法定代表人或授权委托人（签字）：</w:t>
            </w:r>
          </w:p>
        </w:tc>
      </w:tr>
      <w:tr w14:paraId="5E913559">
        <w:tblPrEx>
          <w:tblCellMar>
            <w:top w:w="0" w:type="dxa"/>
            <w:left w:w="108" w:type="dxa"/>
            <w:bottom w:w="0" w:type="dxa"/>
            <w:right w:w="108" w:type="dxa"/>
          </w:tblCellMar>
        </w:tblPrEx>
        <w:trPr>
          <w:trHeight w:val="840" w:hRule="atLeast"/>
        </w:trPr>
        <w:tc>
          <w:tcPr>
            <w:tcW w:w="4637" w:type="dxa"/>
            <w:noWrap w:val="0"/>
            <w:vAlign w:val="top"/>
          </w:tcPr>
          <w:p w14:paraId="0E89E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4632" w:type="dxa"/>
            <w:noWrap w:val="0"/>
            <w:vAlign w:val="top"/>
          </w:tcPr>
          <w:p w14:paraId="4D9A94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r>
      <w:tr w14:paraId="3B5DD53C">
        <w:tblPrEx>
          <w:tblCellMar>
            <w:top w:w="0" w:type="dxa"/>
            <w:left w:w="108" w:type="dxa"/>
            <w:bottom w:w="0" w:type="dxa"/>
            <w:right w:w="108" w:type="dxa"/>
          </w:tblCellMar>
        </w:tblPrEx>
        <w:trPr>
          <w:trHeight w:val="840" w:hRule="atLeast"/>
        </w:trPr>
        <w:tc>
          <w:tcPr>
            <w:tcW w:w="4637" w:type="dxa"/>
            <w:noWrap w:val="0"/>
            <w:vAlign w:val="top"/>
          </w:tcPr>
          <w:p w14:paraId="3845FF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4632" w:type="dxa"/>
            <w:noWrap w:val="0"/>
            <w:vAlign w:val="top"/>
          </w:tcPr>
          <w:p w14:paraId="3CE96A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r>
      <w:tr w14:paraId="176458B5">
        <w:tblPrEx>
          <w:tblCellMar>
            <w:top w:w="0" w:type="dxa"/>
            <w:left w:w="108" w:type="dxa"/>
            <w:bottom w:w="0" w:type="dxa"/>
            <w:right w:w="108" w:type="dxa"/>
          </w:tblCellMar>
        </w:tblPrEx>
        <w:trPr>
          <w:trHeight w:val="840" w:hRule="atLeast"/>
        </w:trPr>
        <w:tc>
          <w:tcPr>
            <w:tcW w:w="4637" w:type="dxa"/>
            <w:noWrap w:val="0"/>
            <w:vAlign w:val="top"/>
          </w:tcPr>
          <w:p w14:paraId="12358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4632" w:type="dxa"/>
            <w:noWrap w:val="0"/>
            <w:vAlign w:val="top"/>
          </w:tcPr>
          <w:p w14:paraId="3056A663">
            <w:pPr>
              <w:keepNext w:val="0"/>
              <w:keepLines w:val="0"/>
              <w:pageBreakBefore w:val="0"/>
              <w:widowControl w:val="0"/>
              <w:kinsoku/>
              <w:wordWrap/>
              <w:overflowPunct/>
              <w:topLinePunct w:val="0"/>
              <w:autoSpaceDE/>
              <w:autoSpaceDN/>
              <w:bidi w:val="0"/>
              <w:adjustRightInd/>
              <w:snapToGrid/>
              <w:spacing w:line="560" w:lineRule="exact"/>
              <w:ind w:left="1320" w:hanging="1320" w:hangingChars="5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tc>
      </w:tr>
      <w:tr w14:paraId="2FFB48BA">
        <w:tblPrEx>
          <w:tblCellMar>
            <w:top w:w="0" w:type="dxa"/>
            <w:left w:w="108" w:type="dxa"/>
            <w:bottom w:w="0" w:type="dxa"/>
            <w:right w:w="108" w:type="dxa"/>
          </w:tblCellMar>
        </w:tblPrEx>
        <w:trPr>
          <w:trHeight w:val="840" w:hRule="atLeast"/>
        </w:trPr>
        <w:tc>
          <w:tcPr>
            <w:tcW w:w="4637" w:type="dxa"/>
            <w:noWrap w:val="0"/>
            <w:vAlign w:val="top"/>
          </w:tcPr>
          <w:p w14:paraId="5AC0F0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签订日期</w:t>
            </w:r>
            <w:r>
              <w:rPr>
                <w:rFonts w:hint="eastAsia" w:ascii="宋体" w:hAnsi="宋体" w:eastAsia="宋体" w:cs="宋体"/>
                <w:color w:val="auto"/>
                <w:sz w:val="24"/>
                <w:szCs w:val="24"/>
                <w:highlight w:val="none"/>
              </w:rPr>
              <w:t>：</w:t>
            </w:r>
          </w:p>
        </w:tc>
        <w:tc>
          <w:tcPr>
            <w:tcW w:w="4632" w:type="dxa"/>
            <w:noWrap w:val="0"/>
            <w:vAlign w:val="top"/>
          </w:tcPr>
          <w:p w14:paraId="5ABE58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签订日期</w:t>
            </w:r>
            <w:r>
              <w:rPr>
                <w:rFonts w:hint="eastAsia" w:ascii="宋体" w:hAnsi="宋体" w:eastAsia="宋体" w:cs="宋体"/>
                <w:color w:val="auto"/>
                <w:sz w:val="24"/>
                <w:szCs w:val="24"/>
                <w:highlight w:val="none"/>
              </w:rPr>
              <w:t>：</w:t>
            </w:r>
          </w:p>
        </w:tc>
      </w:tr>
    </w:tbl>
    <w:p w14:paraId="03B797E6"/>
    <w:p w14:paraId="3B61E1F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CAAD4"/>
    <w:multiLevelType w:val="multilevel"/>
    <w:tmpl w:val="B72CAAD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5F12D2"/>
    <w:multiLevelType w:val="singleLevel"/>
    <w:tmpl w:val="C45F12D2"/>
    <w:lvl w:ilvl="0" w:tentative="0">
      <w:start w:val="1"/>
      <w:numFmt w:val="decimal"/>
      <w:suff w:val="nothing"/>
      <w:lvlText w:val="（%1）"/>
      <w:lvlJc w:val="left"/>
    </w:lvl>
  </w:abstractNum>
  <w:abstractNum w:abstractNumId="2">
    <w:nsid w:val="D9E6D815"/>
    <w:multiLevelType w:val="multilevel"/>
    <w:tmpl w:val="D9E6D81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E7D9E9C"/>
    <w:multiLevelType w:val="singleLevel"/>
    <w:tmpl w:val="1E7D9E9C"/>
    <w:lvl w:ilvl="0" w:tentative="0">
      <w:start w:val="7"/>
      <w:numFmt w:val="chineseCounting"/>
      <w:suff w:val="nothing"/>
      <w:lvlText w:val="%1、"/>
      <w:lvlJc w:val="left"/>
      <w:rPr>
        <w:rFonts w:hint="eastAsia"/>
      </w:rPr>
    </w:lvl>
  </w:abstractNum>
  <w:abstractNum w:abstractNumId="4">
    <w:nsid w:val="59C173E1"/>
    <w:multiLevelType w:val="singleLevel"/>
    <w:tmpl w:val="59C173E1"/>
    <w:lvl w:ilvl="0" w:tentative="0">
      <w:start w:val="2"/>
      <w:numFmt w:val="decimal"/>
      <w:lvlText w:val="%1."/>
      <w:lvlJc w:val="left"/>
      <w:pPr>
        <w:tabs>
          <w:tab w:val="left" w:pos="312"/>
        </w:tabs>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E01D4"/>
    <w:rsid w:val="03276D48"/>
    <w:rsid w:val="0C1E01D4"/>
    <w:rsid w:val="157B7F4A"/>
    <w:rsid w:val="1740428B"/>
    <w:rsid w:val="19576AAE"/>
    <w:rsid w:val="356150CE"/>
    <w:rsid w:val="356168F4"/>
    <w:rsid w:val="6477429E"/>
    <w:rsid w:val="71E82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3"/>
    <w:basedOn w:val="1"/>
    <w:qFormat/>
    <w:uiPriority w:val="0"/>
    <w:pPr>
      <w:jc w:val="center"/>
    </w:pPr>
    <w:rPr>
      <w:b/>
      <w:spacing w:val="-20"/>
      <w:w w:val="110"/>
      <w:sz w:val="52"/>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2531</Words>
  <Characters>2615</Characters>
  <Lines>0</Lines>
  <Paragraphs>0</Paragraphs>
  <TotalTime>19</TotalTime>
  <ScaleCrop>false</ScaleCrop>
  <LinksUpToDate>false</LinksUpToDate>
  <CharactersWithSpaces>2779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2026-07-08T03:49:00Z</dcterms:created>
  <dc:creator>WPS_1694750927</dc:creator>
  <cp:lastModifiedBy>WPS_1694750927</cp:lastModifiedBy>
  <dcterms:modified xsi:type="dcterms:W3CDTF">2026-07-15T09:22:39Z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61EFEAA7690D42B1A72383682993D423_13</vt:lpwstr>
  </property>
  <property fmtid="{D5CDD505-2E9C-101B-9397-08002B2CF9AE}" pid="4" name="KSOTemplateDocerSaveRecord">
    <vt:lpwstr>eyJoZGlkIjoiYzM4YmI2MjE4NWU2YzEyOTFiM2M5MDYzYTgzZGJkZDYiLCJ1c2VySWQiOiIxNTMyNTc4MzYyIn0=</vt:lpwstr>
  </property>
</Properties>
</file>