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版本号：RDLC-CGZB-202601520260518001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（货物类）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项目名称：</w:t>
      </w:r>
      <w:r>
        <w:rPr>
          <w:rFonts w:ascii="仿宋_GB2312" w:hAnsi="仿宋_GB2312" w:cs="仿宋_GB2312" w:eastAsia="仿宋_GB2312"/>
          <w:sz w:val="15"/>
          <w:b/>
        </w:rPr>
        <w:t>血管造影机维修采购项目</w:t>
      </w:r>
    </w:p>
    <w:p>
      <w:pPr>
        <w:pStyle w:val="null3"/>
        <w:jc w:val="center"/>
        <w:outlineLvl w:val="5"/>
      </w:pPr>
      <w:r>
        <w:rPr>
          <w:rFonts w:ascii="仿宋_GB2312" w:hAnsi="仿宋_GB2312" w:cs="仿宋_GB2312" w:eastAsia="仿宋_GB2312"/>
          <w:sz w:val="15"/>
          <w:b/>
        </w:rPr>
        <w:t xml:space="preserve">项目编号: </w:t>
      </w:r>
      <w:r>
        <w:rPr>
          <w:rFonts w:ascii="仿宋_GB2312" w:hAnsi="仿宋_GB2312" w:cs="仿宋_GB2312" w:eastAsia="仿宋_GB2312"/>
          <w:sz w:val="15"/>
          <w:b/>
        </w:rPr>
        <w:t>RDLC-CGZB-2026015</w:t>
      </w:r>
      <w:r>
        <w:br/>
      </w:r>
      <w:r>
        <w:br/>
      </w:r>
      <w:r>
        <w:br/>
      </w:r>
      <w:r>
        <w:br/>
      </w:r>
      <w:r>
        <w:br/>
      </w:r>
    </w:p>
    <w:p>
      <w:pPr>
        <w:pStyle w:val="null3"/>
        <w:jc w:val="center"/>
        <w:outlineLvl w:val="5"/>
      </w:pPr>
      <w:r>
        <w:rPr>
          <w:rFonts w:ascii="仿宋_GB2312" w:hAnsi="仿宋_GB2312" w:cs="仿宋_GB2312" w:eastAsia="仿宋_GB2312"/>
          <w:sz w:val="15"/>
          <w:b/>
        </w:rPr>
        <w:t>商洛市中心医院</w:t>
      </w:r>
    </w:p>
    <w:p>
      <w:pPr>
        <w:pStyle w:val="null3"/>
        <w:jc w:val="center"/>
        <w:outlineLvl w:val="5"/>
      </w:pPr>
      <w:r>
        <w:rPr>
          <w:rFonts w:ascii="仿宋_GB2312" w:hAnsi="仿宋_GB2312" w:cs="仿宋_GB2312" w:eastAsia="仿宋_GB2312"/>
          <w:sz w:val="15"/>
          <w:b/>
        </w:rPr>
        <w:t>陕西润达隆成建设有限公司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2026年05月19日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陕西润达隆成建设有限公司</w:t>
      </w:r>
      <w:r>
        <w:rPr>
          <w:rFonts w:ascii="仿宋_GB2312" w:hAnsi="仿宋_GB2312" w:cs="仿宋_GB2312" w:eastAsia="仿宋_GB2312"/>
        </w:rPr>
        <w:t>（以下简称“代理机构”）受</w:t>
      </w:r>
      <w:r>
        <w:rPr>
          <w:rFonts w:ascii="仿宋_GB2312" w:hAnsi="仿宋_GB2312" w:cs="仿宋_GB2312" w:eastAsia="仿宋_GB2312"/>
        </w:rPr>
        <w:t>商洛市中心医院</w:t>
      </w:r>
      <w:r>
        <w:rPr>
          <w:rFonts w:ascii="仿宋_GB2312" w:hAnsi="仿宋_GB2312" w:cs="仿宋_GB2312" w:eastAsia="仿宋_GB2312"/>
        </w:rPr>
        <w:t>委托，拟对</w:t>
      </w:r>
      <w:r>
        <w:rPr>
          <w:rFonts w:ascii="仿宋_GB2312" w:hAnsi="仿宋_GB2312" w:cs="仿宋_GB2312" w:eastAsia="仿宋_GB2312"/>
        </w:rPr>
        <w:t>血管造影机维修采购项目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RDLC-CGZB-2026015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血管造影机维修采购项目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根据工作需要，现亟需为医院血管造影机购置更换原厂球管一个。需满足的要求:保障科室日常诊疗需求，更好地为广大人民群众提供高效、优质的医疗服务。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授权委托书：供应商应授权合法的人员参加谈判，其中法定代表人直接参加的，须出具法定代表人证明书；被授权代表参加的，须出具法定代表人授权书。供应商需在项目电子化交易系统中按要求上传相应证明文件并进行电子签章。</w:t>
      </w:r>
    </w:p>
    <w:p>
      <w:pPr>
        <w:pStyle w:val="null3"/>
      </w:pPr>
      <w:r>
        <w:rPr>
          <w:rFonts w:ascii="仿宋_GB2312" w:hAnsi="仿宋_GB2312" w:cs="仿宋_GB2312" w:eastAsia="仿宋_GB2312"/>
        </w:rPr>
        <w:t>3、供应商信用要求：供应商不得为“信用中国”网站（www.creditchina.gov.cn）列入失信被执行人、重大税收违法失信主体、政府采购严重违法失信行为记录名单，不得为“中国政府采购网”（ccgp.gov.cn）政府采购严重违法失信行为记录名单中的供应商。</w:t>
      </w:r>
    </w:p>
    <w:p>
      <w:pPr>
        <w:pStyle w:val="null3"/>
      </w:pPr>
      <w:r>
        <w:rPr>
          <w:rFonts w:ascii="仿宋_GB2312" w:hAnsi="仿宋_GB2312" w:cs="仿宋_GB2312" w:eastAsia="仿宋_GB2312"/>
        </w:rPr>
        <w:t>4、制造商授权：提供有效期内的设备制造商原厂授权书。</w:t>
      </w:r>
    </w:p>
    <w:p>
      <w:pPr>
        <w:pStyle w:val="null3"/>
      </w:pPr>
      <w:r>
        <w:rPr>
          <w:rFonts w:ascii="仿宋_GB2312" w:hAnsi="仿宋_GB2312" w:cs="仿宋_GB2312" w:eastAsia="仿宋_GB2312"/>
        </w:rPr>
        <w:t>5、控股、管理关系：单位负责人为同一人或者存在直接控股、管理关系的不同供应商，不得参与同一合同项下的政府采购活动；为本项目提供整体设计、规范编制或者项目管理、监理、检测等服务的供应商，不得参加本项目磋商</w:t>
      </w:r>
    </w:p>
    <w:p>
      <w:pPr>
        <w:pStyle w:val="null3"/>
      </w:pPr>
      <w:r>
        <w:rPr>
          <w:rFonts w:ascii="仿宋_GB2312" w:hAnsi="仿宋_GB2312" w:cs="仿宋_GB2312" w:eastAsia="仿宋_GB2312"/>
        </w:rPr>
        <w:t>6、投标保证金：投标保证金交纳凭证</w:t>
      </w:r>
    </w:p>
    <w:p>
      <w:pPr>
        <w:pStyle w:val="null3"/>
      </w:pPr>
      <w:r>
        <w:rPr>
          <w:rFonts w:ascii="仿宋_GB2312" w:hAnsi="仿宋_GB2312" w:cs="仿宋_GB2312" w:eastAsia="仿宋_GB2312"/>
        </w:rPr>
        <w:t>7、法律、行政法规规定的其他条件：提供相关承诺书，格式自拟</w:t>
      </w:r>
    </w:p>
    <w:p>
      <w:pPr>
        <w:pStyle w:val="null3"/>
      </w:pPr>
      <w:r>
        <w:rPr>
          <w:rFonts w:ascii="仿宋_GB2312" w:hAnsi="仿宋_GB2312" w:cs="仿宋_GB2312" w:eastAsia="仿宋_GB2312"/>
        </w:rPr>
        <w:t>8、非联合体投标：提供非联合体投标承诺</w:t>
      </w:r>
    </w:p>
    <w:p>
      <w:pPr>
        <w:pStyle w:val="null3"/>
        <w:ind w:firstLine="480"/>
      </w:pPr>
      <w:r>
        <w:rPr>
          <w:rFonts w:ascii="仿宋_GB2312" w:hAnsi="仿宋_GB2312" w:cs="仿宋_GB2312" w:eastAsia="仿宋_GB2312"/>
        </w:rPr>
        <w:t>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商洛市中心医院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陕西省商洛市商州区商鞅大道中段37号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0914-2180023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陕西润达隆成建设有限公司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陕西省商洛市商州区民生路全兴紫苑2号商铺（设计院对面斗记普洱茶二楼）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闫路路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13299188863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本项目各包预算金额如下：</w:t>
            </w:r>
          </w:p>
          <w:p>
            <w:pPr>
              <w:pStyle w:val="null3"/>
            </w:pPr>
            <w:r>
              <w:rPr>
                <w:rFonts w:ascii="仿宋_GB2312" w:hAnsi="仿宋_GB2312" w:cs="仿宋_GB2312" w:eastAsia="仿宋_GB2312"/>
              </w:rPr>
              <w:t>采购包1：1,200,000.00元</w:t>
            </w:r>
            <w:r>
              <w:rPr>
                <w:rFonts w:ascii="仿宋_GB2312" w:hAnsi="仿宋_GB2312" w:cs="仿宋_GB2312" w:eastAsia="仿宋_GB2312"/>
              </w:rPr>
              <w:t>供应商的包件采购报价高于包件采购预算的，其响应文件将按无效处理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采购包1：1,200,000.00元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开户名称：陕西润达隆成建设有限公司</w:t>
            </w:r>
          </w:p>
          <w:p>
            <w:pPr>
              <w:pStyle w:val="null3"/>
            </w:pPr>
            <w:r>
              <w:rPr>
                <w:rFonts w:ascii="仿宋_GB2312" w:hAnsi="仿宋_GB2312" w:cs="仿宋_GB2312" w:eastAsia="仿宋_GB2312"/>
              </w:rPr>
              <w:t>开户银行：中国建设银行股份有限公司商洛分行营业部</w:t>
            </w:r>
          </w:p>
          <w:p>
            <w:pPr>
              <w:pStyle w:val="null3"/>
            </w:pPr>
            <w:r>
              <w:rPr>
                <w:rFonts w:ascii="仿宋_GB2312" w:hAnsi="仿宋_GB2312" w:cs="仿宋_GB2312" w:eastAsia="仿宋_GB2312"/>
              </w:rPr>
              <w:t>银行账号：61050167001400001670</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代理服务费收费标准：代理服务费收费标准：确定成交人后3日内，由成交人按国家计委颁发的《招标代理服务收费管理暂行办法》（计价格[2002]1980号）的规定下浮20%向采购代理机构一次付清采购代理服务费。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w:t>
            </w:r>
          </w:p>
          <w:p>
            <w:pPr>
              <w:pStyle w:val="null3"/>
            </w:pPr>
            <w:r>
              <w:rPr>
                <w:rFonts w:ascii="仿宋_GB2312" w:hAnsi="仿宋_GB2312" w:cs="仿宋_GB2312" w:eastAsia="仿宋_GB2312"/>
              </w:rPr>
              <w:t>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商洛市中心医院</w:t>
      </w:r>
      <w:r>
        <w:rPr>
          <w:rFonts w:ascii="仿宋_GB2312" w:hAnsi="仿宋_GB2312" w:cs="仿宋_GB2312" w:eastAsia="仿宋_GB2312"/>
        </w:rPr>
        <w:t>和</w:t>
      </w:r>
      <w:r>
        <w:rPr>
          <w:rFonts w:ascii="仿宋_GB2312" w:hAnsi="仿宋_GB2312" w:cs="仿宋_GB2312" w:eastAsia="仿宋_GB2312"/>
        </w:rPr>
        <w:t>陕西润达隆成建设有限公司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享有。对采购文件中供应商参加本次政府采购活动应当具备的条件、项目技术、服务、商务及其他要求，评审标准由采购人负责解释。除上述采购文件内容，其他内容由</w:t>
      </w:r>
      <w:r>
        <w:rPr>
          <w:rFonts w:ascii="仿宋_GB2312" w:hAnsi="仿宋_GB2312" w:cs="仿宋_GB2312" w:eastAsia="仿宋_GB2312"/>
        </w:rPr>
        <w:t>陕西润达隆成建设有限公司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商洛市中心医院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陕西润达隆成建设有限公司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 xml:space="preserve"> 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（五）协商办法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三、响应文件报价出现前后不一致的，按照第五章要求进行修正。修正后的报价经供应商通过项目电子化交易系统进行确认，并加盖供应商（法定名称）电子印章，供应商未在规定时间内报价的，其响应无效。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 xml:space="preserve"> 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按照招标文件、投标文件及合同文本约定</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陕西润达隆成建设有限公司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陕西润达隆成建设有限公司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陕西润达隆成建设有限公司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sz w:val="20"/>
        </w:rPr>
        <w:t>医院介入手术室所用血管造影机近期出现故障，为保障介入诊疗工作安全、有序、规范运行，切实维护患者健康权益，现亟需采购原厂专用球管</w:t>
      </w:r>
      <w:r>
        <w:rPr>
          <w:rFonts w:ascii="仿宋_GB2312" w:hAnsi="仿宋_GB2312" w:cs="仿宋_GB2312" w:eastAsia="仿宋_GB2312"/>
          <w:sz w:val="20"/>
        </w:rPr>
        <w:t>1只及配套维修服务。确保</w:t>
      </w:r>
      <w:r>
        <w:rPr>
          <w:rFonts w:ascii="仿宋_GB2312" w:hAnsi="仿宋_GB2312" w:cs="仿宋_GB2312" w:eastAsia="仿宋_GB2312"/>
          <w:sz w:val="20"/>
        </w:rPr>
        <w:t>所更换配件均为原厂、全新、测试合格的配件，维修后设备性能不降低，整机运行达到原厂标准。</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血管造影机专用球管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1,200,000.00</w:t>
            </w:r>
          </w:p>
        </w:tc>
        <w:tc>
          <w:tcPr>
            <w:tcW w:type="dxa" w:w="755"/>
          </w:tcPr>
          <w:p>
            <w:pPr>
              <w:pStyle w:val="null3"/>
            </w:pPr>
            <w:r>
              <w:rPr>
                <w:rFonts w:ascii="仿宋_GB2312" w:hAnsi="仿宋_GB2312" w:cs="仿宋_GB2312" w:eastAsia="仿宋_GB2312"/>
              </w:rPr>
              <w:t>只</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标的名称：血管造影机专用球管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44"/>
              <w:gridCol w:w="2402"/>
            </w:tblGrid>
            <w:tr>
              <w:tc>
                <w:tcPr>
                  <w:tcW w:type="dxa" w:w="1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项目</w:t>
                  </w:r>
                </w:p>
              </w:tc>
              <w:tc>
                <w:tcPr>
                  <w:tcW w:type="dxa" w:w="2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血管造影</w:t>
                  </w:r>
                  <w:r>
                    <w:rPr>
                      <w:rFonts w:ascii="仿宋_GB2312" w:hAnsi="仿宋_GB2312" w:cs="仿宋_GB2312" w:eastAsia="仿宋_GB2312"/>
                      <w:sz w:val="21"/>
                      <w:b/>
                      <w:color w:val="000000"/>
                    </w:rPr>
                    <w:t>X射线机球管参数</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提供投标型号球管的原版技术白皮书（</w:t>
                  </w:r>
                  <w:r>
                    <w:rPr>
                      <w:rFonts w:ascii="仿宋_GB2312" w:hAnsi="仿宋_GB2312" w:cs="仿宋_GB2312" w:eastAsia="仿宋_GB2312"/>
                      <w:sz w:val="18"/>
                      <w:color w:val="000000"/>
                    </w:rPr>
                    <w:t>DATA SHEET），且以下应标参数均以此技术白皮书为准</w:t>
                  </w:r>
                  <w:r>
                    <w:rPr>
                      <w:rFonts w:ascii="仿宋_GB2312" w:hAnsi="仿宋_GB2312" w:cs="仿宋_GB2312" w:eastAsia="仿宋_GB2312"/>
                      <w:sz w:val="18"/>
                      <w:color w:val="000000"/>
                    </w:rPr>
                    <w:t>。</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靶材料</w:t>
                  </w:r>
                  <w:r>
                    <w:rPr>
                      <w:rFonts w:ascii="仿宋_GB2312" w:hAnsi="仿宋_GB2312" w:cs="仿宋_GB2312" w:eastAsia="仿宋_GB2312"/>
                      <w:sz w:val="18"/>
                      <w:color w:val="000000"/>
                    </w:rPr>
                    <w:t>：</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钨</w:t>
                  </w:r>
                  <w:r>
                    <w:rPr>
                      <w:rFonts w:ascii="仿宋_GB2312" w:hAnsi="仿宋_GB2312" w:cs="仿宋_GB2312" w:eastAsia="仿宋_GB2312"/>
                      <w:sz w:val="18"/>
                      <w:color w:val="000000"/>
                    </w:rPr>
                    <w:t>-铼聚焦轨道，由石墨作为衬底的钼合金基片</w:t>
                  </w:r>
                  <w:r>
                    <w:rPr>
                      <w:rFonts w:ascii="仿宋_GB2312" w:hAnsi="仿宋_GB2312" w:cs="仿宋_GB2312" w:eastAsia="仿宋_GB2312"/>
                      <w:sz w:val="18"/>
                      <w:color w:val="000000"/>
                    </w:rPr>
                    <w:t>（</w:t>
                  </w:r>
                  <w:r>
                    <w:rPr>
                      <w:rFonts w:ascii="仿宋_GB2312" w:hAnsi="仿宋_GB2312" w:cs="仿宋_GB2312" w:eastAsia="仿宋_GB2312"/>
                      <w:sz w:val="18"/>
                      <w:color w:val="000000"/>
                    </w:rPr>
                    <w:t>IEC 60601-2-28)</w:t>
                  </w:r>
                  <w:r>
                    <w:rPr>
                      <w:rFonts w:ascii="仿宋_GB2312" w:hAnsi="仿宋_GB2312" w:cs="仿宋_GB2312" w:eastAsia="仿宋_GB2312"/>
                      <w:sz w:val="18"/>
                      <w:color w:val="000000"/>
                    </w:rPr>
                    <w:t>。</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焦点数量：</w:t>
                  </w:r>
                  <w:r>
                    <w:rPr>
                      <w:rFonts w:ascii="仿宋_GB2312" w:hAnsi="仿宋_GB2312" w:cs="仿宋_GB2312" w:eastAsia="仿宋_GB2312"/>
                      <w:sz w:val="18"/>
                      <w:color w:val="000000"/>
                    </w:rPr>
                    <w:t>≥</w:t>
                  </w:r>
                  <w:r>
                    <w:rPr>
                      <w:rFonts w:ascii="仿宋_GB2312" w:hAnsi="仿宋_GB2312" w:cs="仿宋_GB2312" w:eastAsia="仿宋_GB2312"/>
                      <w:sz w:val="18"/>
                      <w:color w:val="000000"/>
                    </w:rPr>
                    <w:t>3</w:t>
                  </w:r>
                  <w:r>
                    <w:rPr>
                      <w:rFonts w:ascii="仿宋_GB2312" w:hAnsi="仿宋_GB2312" w:cs="仿宋_GB2312" w:eastAsia="仿宋_GB2312"/>
                      <w:sz w:val="18"/>
                      <w:color w:val="000000"/>
                    </w:rPr>
                    <w:t>个</w:t>
                  </w:r>
                  <w:r>
                    <w:rPr>
                      <w:rFonts w:ascii="仿宋_GB2312" w:hAnsi="仿宋_GB2312" w:cs="仿宋_GB2312" w:eastAsia="仿宋_GB2312"/>
                      <w:sz w:val="18"/>
                      <w:color w:val="000000"/>
                    </w:rPr>
                    <w:t>。</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焦点尺寸（</w:t>
                  </w:r>
                  <w:r>
                    <w:rPr>
                      <w:rFonts w:ascii="仿宋_GB2312" w:hAnsi="仿宋_GB2312" w:cs="仿宋_GB2312" w:eastAsia="仿宋_GB2312"/>
                      <w:sz w:val="18"/>
                      <w:color w:val="000000"/>
                    </w:rPr>
                    <w:t>IEC 336/1993）</w:t>
                  </w:r>
                  <w:r>
                    <w:rPr>
                      <w:rFonts w:ascii="仿宋_GB2312" w:hAnsi="仿宋_GB2312" w:cs="仿宋_GB2312" w:eastAsia="仿宋_GB2312"/>
                      <w:sz w:val="18"/>
                      <w:color w:val="000000"/>
                    </w:rPr>
                    <w:t>：</w:t>
                  </w:r>
                  <w:r>
                    <w:rPr>
                      <w:rFonts w:ascii="仿宋_GB2312" w:hAnsi="仿宋_GB2312" w:cs="仿宋_GB2312" w:eastAsia="仿宋_GB2312"/>
                      <w:sz w:val="18"/>
                      <w:color w:val="000000"/>
                    </w:rPr>
                    <w:t>0.3</w:t>
                  </w:r>
                  <w:r>
                    <w:rPr>
                      <w:rFonts w:ascii="仿宋_GB2312" w:hAnsi="仿宋_GB2312" w:cs="仿宋_GB2312" w:eastAsia="仿宋_GB2312"/>
                      <w:sz w:val="18"/>
                      <w:color w:val="000000"/>
                    </w:rPr>
                    <w:t>、</w:t>
                  </w:r>
                  <w:r>
                    <w:rPr>
                      <w:rFonts w:ascii="仿宋_GB2312" w:hAnsi="仿宋_GB2312" w:cs="仿宋_GB2312" w:eastAsia="仿宋_GB2312"/>
                      <w:sz w:val="18"/>
                      <w:color w:val="000000"/>
                    </w:rPr>
                    <w:t>0.6</w:t>
                  </w:r>
                  <w:r>
                    <w:rPr>
                      <w:rFonts w:ascii="仿宋_GB2312" w:hAnsi="仿宋_GB2312" w:cs="仿宋_GB2312" w:eastAsia="仿宋_GB2312"/>
                      <w:sz w:val="18"/>
                      <w:color w:val="000000"/>
                    </w:rPr>
                    <w:t>、</w:t>
                  </w:r>
                  <w:r>
                    <w:rPr>
                      <w:rFonts w:ascii="仿宋_GB2312" w:hAnsi="仿宋_GB2312" w:cs="仿宋_GB2312" w:eastAsia="仿宋_GB2312"/>
                      <w:sz w:val="18"/>
                      <w:color w:val="000000"/>
                    </w:rPr>
                    <w:t>1.0</w:t>
                  </w:r>
                  <w:r>
                    <w:rPr>
                      <w:rFonts w:ascii="仿宋_GB2312" w:hAnsi="仿宋_GB2312" w:cs="仿宋_GB2312" w:eastAsia="仿宋_GB2312"/>
                      <w:sz w:val="18"/>
                      <w:color w:val="000000"/>
                    </w:rPr>
                    <w:t>。</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5</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阳极标称输入功率</w:t>
                  </w:r>
                  <w:r>
                    <w:rPr>
                      <w:rFonts w:ascii="仿宋_GB2312" w:hAnsi="仿宋_GB2312" w:cs="仿宋_GB2312" w:eastAsia="仿宋_GB2312"/>
                      <w:sz w:val="18"/>
                      <w:color w:val="000000"/>
                    </w:rPr>
                    <w:t>：</w:t>
                  </w:r>
                  <w:r>
                    <w:rPr>
                      <w:rFonts w:ascii="仿宋_GB2312" w:hAnsi="仿宋_GB2312" w:cs="仿宋_GB2312" w:eastAsia="仿宋_GB2312"/>
                      <w:sz w:val="18"/>
                      <w:color w:val="000000"/>
                    </w:rPr>
                    <w:t>大焦点</w:t>
                  </w:r>
                  <w:r>
                    <w:rPr>
                      <w:rFonts w:ascii="仿宋_GB2312" w:hAnsi="仿宋_GB2312" w:cs="仿宋_GB2312" w:eastAsia="仿宋_GB2312"/>
                      <w:sz w:val="18"/>
                      <w:color w:val="000000"/>
                    </w:rPr>
                    <w:t>≥110</w:t>
                  </w:r>
                  <w:r>
                    <w:rPr>
                      <w:rFonts w:ascii="仿宋_GB2312" w:hAnsi="仿宋_GB2312" w:cs="仿宋_GB2312" w:eastAsia="仿宋_GB2312"/>
                      <w:sz w:val="18"/>
                      <w:color w:val="000000"/>
                    </w:rPr>
                    <w:t>kW</w:t>
                  </w:r>
                  <w:r>
                    <w:rPr>
                      <w:rFonts w:ascii="仿宋_GB2312" w:hAnsi="仿宋_GB2312" w:cs="仿宋_GB2312" w:eastAsia="仿宋_GB2312"/>
                      <w:sz w:val="18"/>
                      <w:color w:val="000000"/>
                    </w:rPr>
                    <w:t>；</w:t>
                  </w:r>
                  <w:r>
                    <w:rPr>
                      <w:rFonts w:ascii="仿宋_GB2312" w:hAnsi="仿宋_GB2312" w:cs="仿宋_GB2312" w:eastAsia="仿宋_GB2312"/>
                      <w:sz w:val="18"/>
                      <w:color w:val="000000"/>
                    </w:rPr>
                    <w:t>中焦点</w:t>
                  </w:r>
                  <w:r>
                    <w:rPr>
                      <w:rFonts w:ascii="仿宋_GB2312" w:hAnsi="仿宋_GB2312" w:cs="仿宋_GB2312" w:eastAsia="仿宋_GB2312"/>
                      <w:sz w:val="18"/>
                      <w:color w:val="000000"/>
                    </w:rPr>
                    <w:t>≥</w:t>
                  </w:r>
                  <w:r>
                    <w:rPr>
                      <w:rFonts w:ascii="仿宋_GB2312" w:hAnsi="仿宋_GB2312" w:cs="仿宋_GB2312" w:eastAsia="仿宋_GB2312"/>
                      <w:sz w:val="18"/>
                      <w:color w:val="000000"/>
                    </w:rPr>
                    <w:t>55</w:t>
                  </w:r>
                  <w:r>
                    <w:rPr>
                      <w:rFonts w:ascii="仿宋_GB2312" w:hAnsi="仿宋_GB2312" w:cs="仿宋_GB2312" w:eastAsia="仿宋_GB2312"/>
                      <w:sz w:val="18"/>
                      <w:color w:val="000000"/>
                    </w:rPr>
                    <w:t>kW</w:t>
                  </w:r>
                  <w:r>
                    <w:rPr>
                      <w:rFonts w:ascii="仿宋_GB2312" w:hAnsi="仿宋_GB2312" w:cs="仿宋_GB2312" w:eastAsia="仿宋_GB2312"/>
                      <w:sz w:val="18"/>
                      <w:color w:val="000000"/>
                    </w:rPr>
                    <w:t>；</w:t>
                  </w:r>
                  <w:r>
                    <w:rPr>
                      <w:rFonts w:ascii="仿宋_GB2312" w:hAnsi="仿宋_GB2312" w:cs="仿宋_GB2312" w:eastAsia="仿宋_GB2312"/>
                      <w:sz w:val="18"/>
                      <w:color w:val="000000"/>
                    </w:rPr>
                    <w:t>小焦点</w:t>
                  </w:r>
                  <w:r>
                    <w:rPr>
                      <w:rFonts w:ascii="仿宋_GB2312" w:hAnsi="仿宋_GB2312" w:cs="仿宋_GB2312" w:eastAsia="仿宋_GB2312"/>
                      <w:sz w:val="18"/>
                      <w:color w:val="000000"/>
                    </w:rPr>
                    <w:t>≥</w:t>
                  </w:r>
                  <w:r>
                    <w:rPr>
                      <w:rFonts w:ascii="仿宋_GB2312" w:hAnsi="仿宋_GB2312" w:cs="仿宋_GB2312" w:eastAsia="仿宋_GB2312"/>
                      <w:sz w:val="18"/>
                      <w:color w:val="000000"/>
                    </w:rPr>
                    <w:t>20.0</w:t>
                  </w:r>
                  <w:r>
                    <w:rPr>
                      <w:rFonts w:ascii="仿宋_GB2312" w:hAnsi="仿宋_GB2312" w:cs="仿宋_GB2312" w:eastAsia="仿宋_GB2312"/>
                      <w:sz w:val="18"/>
                      <w:color w:val="000000"/>
                    </w:rPr>
                    <w:t>kW</w:t>
                  </w:r>
                  <w:r>
                    <w:rPr>
                      <w:rFonts w:ascii="仿宋_GB2312" w:hAnsi="仿宋_GB2312" w:cs="仿宋_GB2312" w:eastAsia="仿宋_GB2312"/>
                      <w:sz w:val="18"/>
                      <w:color w:val="000000"/>
                    </w:rPr>
                    <w:t>。</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6</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最大阳极热容量</w:t>
                  </w:r>
                  <w:r>
                    <w:rPr>
                      <w:rFonts w:ascii="仿宋_GB2312" w:hAnsi="仿宋_GB2312" w:cs="仿宋_GB2312" w:eastAsia="仿宋_GB2312"/>
                      <w:sz w:val="18"/>
                      <w:color w:val="000000"/>
                    </w:rPr>
                    <w:t>≥</w:t>
                  </w:r>
                  <w:r>
                    <w:rPr>
                      <w:rFonts w:ascii="仿宋_GB2312" w:hAnsi="仿宋_GB2312" w:cs="仿宋_GB2312" w:eastAsia="仿宋_GB2312"/>
                      <w:sz w:val="18"/>
                      <w:color w:val="000000"/>
                    </w:rPr>
                    <w:t>3.7</w:t>
                  </w:r>
                  <w:r>
                    <w:rPr>
                      <w:rFonts w:ascii="仿宋_GB2312" w:hAnsi="仿宋_GB2312" w:cs="仿宋_GB2312" w:eastAsia="仿宋_GB2312"/>
                      <w:sz w:val="18"/>
                      <w:color w:val="000000"/>
                    </w:rPr>
                    <w:t>MHU</w:t>
                  </w:r>
                  <w:r>
                    <w:rPr>
                      <w:rFonts w:ascii="仿宋_GB2312" w:hAnsi="仿宋_GB2312" w:cs="仿宋_GB2312" w:eastAsia="仿宋_GB2312"/>
                      <w:sz w:val="18"/>
                      <w:color w:val="000000"/>
                    </w:rPr>
                    <w:t>。</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7</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球管最大耐受电压</w:t>
                  </w:r>
                  <w:r>
                    <w:rPr>
                      <w:rFonts w:ascii="仿宋_GB2312" w:hAnsi="仿宋_GB2312" w:cs="仿宋_GB2312" w:eastAsia="仿宋_GB2312"/>
                      <w:sz w:val="18"/>
                      <w:color w:val="000000"/>
                    </w:rPr>
                    <w:t>≥180KV</w:t>
                  </w:r>
                  <w:r>
                    <w:rPr>
                      <w:rFonts w:ascii="仿宋_GB2312" w:hAnsi="仿宋_GB2312" w:cs="仿宋_GB2312" w:eastAsia="仿宋_GB2312"/>
                      <w:sz w:val="18"/>
                      <w:color w:val="000000"/>
                    </w:rPr>
                    <w:t>。</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8</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标称管电压</w:t>
                  </w:r>
                  <w:r>
                    <w:rPr>
                      <w:rFonts w:ascii="仿宋_GB2312" w:hAnsi="仿宋_GB2312" w:cs="仿宋_GB2312" w:eastAsia="仿宋_GB2312"/>
                      <w:sz w:val="18"/>
                      <w:color w:val="000000"/>
                    </w:rPr>
                    <w:t>≥125kV</w:t>
                  </w:r>
                  <w:r>
                    <w:rPr>
                      <w:rFonts w:ascii="仿宋_GB2312" w:hAnsi="仿宋_GB2312" w:cs="仿宋_GB2312" w:eastAsia="仿宋_GB2312"/>
                      <w:sz w:val="18"/>
                      <w:color w:val="000000"/>
                    </w:rPr>
                    <w:t>。</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9</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防震铝材管套，内衬铅，装备压力和温度安全开关</w:t>
                  </w:r>
                  <w:r>
                    <w:rPr>
                      <w:rFonts w:ascii="仿宋_GB2312" w:hAnsi="仿宋_GB2312" w:cs="仿宋_GB2312" w:eastAsia="仿宋_GB2312"/>
                      <w:sz w:val="18"/>
                      <w:color w:val="000000"/>
                    </w:rPr>
                    <w:t>。</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10</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服务方须通过</w:t>
                  </w:r>
                  <w:r>
                    <w:rPr>
                      <w:rFonts w:ascii="仿宋_GB2312" w:hAnsi="仿宋_GB2312" w:cs="仿宋_GB2312" w:eastAsia="仿宋_GB2312"/>
                      <w:sz w:val="18"/>
                      <w:color w:val="000000"/>
                    </w:rPr>
                    <w:t>ISO9001国际标准质量管理体系、ISO27001信息安全国际标准质量管理体系、ISO13485国际标准质量管理体系</w:t>
                  </w:r>
                  <w:r>
                    <w:rPr>
                      <w:rFonts w:ascii="仿宋_GB2312" w:hAnsi="仿宋_GB2312" w:cs="仿宋_GB2312" w:eastAsia="仿宋_GB2312"/>
                      <w:sz w:val="18"/>
                      <w:color w:val="000000"/>
                    </w:rPr>
                    <w:t>认证</w:t>
                  </w:r>
                  <w:r>
                    <w:rPr>
                      <w:rFonts w:ascii="仿宋_GB2312" w:hAnsi="仿宋_GB2312" w:cs="仿宋_GB2312" w:eastAsia="仿宋_GB2312"/>
                      <w:sz w:val="18"/>
                      <w:color w:val="000000"/>
                    </w:rPr>
                    <w:t>书</w:t>
                  </w:r>
                  <w:r>
                    <w:rPr>
                      <w:rFonts w:ascii="仿宋_GB2312" w:hAnsi="仿宋_GB2312" w:cs="仿宋_GB2312" w:eastAsia="仿宋_GB2312"/>
                      <w:sz w:val="18"/>
                      <w:color w:val="000000"/>
                    </w:rPr>
                    <w:t>（提供复印件）</w:t>
                  </w:r>
                  <w:r>
                    <w:rPr>
                      <w:rFonts w:ascii="仿宋_GB2312" w:hAnsi="仿宋_GB2312" w:cs="仿宋_GB2312" w:eastAsia="仿宋_GB2312"/>
                      <w:sz w:val="18"/>
                      <w:color w:val="000000"/>
                    </w:rPr>
                    <w:t>。</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11</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服务方维修工程师可</w:t>
                  </w:r>
                  <w:r>
                    <w:rPr>
                      <w:rFonts w:ascii="仿宋_GB2312" w:hAnsi="仿宋_GB2312" w:cs="仿宋_GB2312" w:eastAsia="仿宋_GB2312"/>
                      <w:sz w:val="18"/>
                      <w:color w:val="000000"/>
                    </w:rPr>
                    <w:t>查阅</w:t>
                  </w:r>
                  <w:r>
                    <w:rPr>
                      <w:rFonts w:ascii="仿宋_GB2312" w:hAnsi="仿宋_GB2312" w:cs="仿宋_GB2312" w:eastAsia="仿宋_GB2312"/>
                      <w:sz w:val="18"/>
                      <w:color w:val="000000"/>
                    </w:rPr>
                    <w:t>全套原厂诊断软件，并保证能够解决所有需要原厂</w:t>
                  </w:r>
                  <w:r>
                    <w:rPr>
                      <w:rFonts w:ascii="仿宋_GB2312" w:hAnsi="仿宋_GB2312" w:cs="仿宋_GB2312" w:eastAsia="仿宋_GB2312"/>
                      <w:sz w:val="18"/>
                      <w:color w:val="000000"/>
                    </w:rPr>
                    <w:t>service key才能解决的设备故障，提供能及时获取并实施原厂系统安全性软硬件改版通知</w:t>
                  </w:r>
                  <w:r>
                    <w:rPr>
                      <w:rFonts w:ascii="仿宋_GB2312" w:hAnsi="仿宋_GB2312" w:cs="仿宋_GB2312" w:eastAsia="仿宋_GB2312"/>
                      <w:sz w:val="18"/>
                      <w:color w:val="000000"/>
                    </w:rPr>
                    <w:t>（</w:t>
                  </w:r>
                  <w:r>
                    <w:rPr>
                      <w:rFonts w:ascii="仿宋_GB2312" w:hAnsi="仿宋_GB2312" w:cs="仿宋_GB2312" w:eastAsia="仿宋_GB2312"/>
                      <w:sz w:val="18"/>
                      <w:color w:val="000000"/>
                    </w:rPr>
                    <w:t>FMI)能力的证明，保修期内免费提供设备（含独立工作站）的系统软件升级补丁和技术支持，保证所有系统软件为最新版本</w:t>
                  </w:r>
                  <w:r>
                    <w:rPr>
                      <w:rFonts w:ascii="仿宋_GB2312" w:hAnsi="仿宋_GB2312" w:cs="仿宋_GB2312" w:eastAsia="仿宋_GB2312"/>
                      <w:sz w:val="18"/>
                      <w:color w:val="000000"/>
                    </w:rPr>
                    <w:t>。</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12</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服务方必须具备</w:t>
                  </w:r>
                  <w:r>
                    <w:rPr>
                      <w:rFonts w:ascii="仿宋_GB2312" w:hAnsi="仿宋_GB2312" w:cs="仿宋_GB2312" w:eastAsia="仿宋_GB2312"/>
                      <w:sz w:val="18"/>
                      <w:color w:val="000000"/>
                    </w:rPr>
                    <w:t>400及800客户服务专线电话，全年365天开通，并设有不少于10人</w:t>
                  </w:r>
                  <w:r>
                    <w:rPr>
                      <w:rFonts w:ascii="仿宋_GB2312" w:hAnsi="仿宋_GB2312" w:cs="仿宋_GB2312" w:eastAsia="仿宋_GB2312"/>
                      <w:sz w:val="18"/>
                      <w:color w:val="000000"/>
                    </w:rPr>
                    <w:t>专门</w:t>
                  </w:r>
                  <w:r>
                    <w:rPr>
                      <w:rFonts w:ascii="仿宋_GB2312" w:hAnsi="仿宋_GB2312" w:cs="仿宋_GB2312" w:eastAsia="仿宋_GB2312"/>
                      <w:sz w:val="18"/>
                      <w:color w:val="000000"/>
                    </w:rPr>
                    <w:t>接听，每天开通服务时间</w:t>
                  </w:r>
                  <w:r>
                    <w:rPr>
                      <w:rFonts w:ascii="仿宋_GB2312" w:hAnsi="仿宋_GB2312" w:cs="仿宋_GB2312" w:eastAsia="仿宋_GB2312"/>
                      <w:sz w:val="18"/>
                      <w:color w:val="000000"/>
                    </w:rPr>
                    <w:t>≥</w:t>
                  </w:r>
                  <w:r>
                    <w:rPr>
                      <w:rFonts w:ascii="仿宋_GB2312" w:hAnsi="仿宋_GB2312" w:cs="仿宋_GB2312" w:eastAsia="仿宋_GB2312"/>
                      <w:sz w:val="18"/>
                      <w:color w:val="000000"/>
                    </w:rPr>
                    <w:t>12小时；响应时间≤1小时，到场时间48</w:t>
                  </w:r>
                  <w:r>
                    <w:rPr>
                      <w:rFonts w:ascii="仿宋_GB2312" w:hAnsi="仿宋_GB2312" w:cs="仿宋_GB2312" w:eastAsia="仿宋_GB2312"/>
                      <w:sz w:val="18"/>
                      <w:color w:val="000000"/>
                    </w:rPr>
                    <w:t>小时内</w:t>
                  </w:r>
                  <w:r>
                    <w:rPr>
                      <w:rFonts w:ascii="仿宋_GB2312" w:hAnsi="仿宋_GB2312" w:cs="仿宋_GB2312" w:eastAsia="仿宋_GB2312"/>
                      <w:sz w:val="18"/>
                      <w:color w:val="000000"/>
                    </w:rPr>
                    <w:t>保证设备的正常运行开机保证率</w:t>
                  </w:r>
                  <w:r>
                    <w:rPr>
                      <w:rFonts w:ascii="仿宋_GB2312" w:hAnsi="仿宋_GB2312" w:cs="仿宋_GB2312" w:eastAsia="仿宋_GB2312"/>
                      <w:sz w:val="18"/>
                      <w:color w:val="000000"/>
                    </w:rPr>
                    <w:t>≥</w:t>
                  </w:r>
                  <w:r>
                    <w:rPr>
                      <w:rFonts w:ascii="仿宋_GB2312" w:hAnsi="仿宋_GB2312" w:cs="仿宋_GB2312" w:eastAsia="仿宋_GB2312"/>
                      <w:sz w:val="18"/>
                      <w:color w:val="000000"/>
                    </w:rPr>
                    <w:t>95%</w:t>
                  </w:r>
                  <w:r>
                    <w:rPr>
                      <w:rFonts w:ascii="仿宋_GB2312" w:hAnsi="仿宋_GB2312" w:cs="仿宋_GB2312" w:eastAsia="仿宋_GB2312"/>
                      <w:sz w:val="18"/>
                      <w:color w:val="000000"/>
                    </w:rPr>
                    <w:t>。</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13</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服务方在陕西省内有长期稳定的办公场所</w:t>
                  </w:r>
                  <w:r>
                    <w:rPr>
                      <w:rFonts w:ascii="仿宋_GB2312" w:hAnsi="仿宋_GB2312" w:cs="仿宋_GB2312" w:eastAsia="仿宋_GB2312"/>
                      <w:sz w:val="18"/>
                      <w:color w:val="000000"/>
                    </w:rPr>
                    <w:t>，拥有</w:t>
                  </w:r>
                  <w:r>
                    <w:rPr>
                      <w:rFonts w:ascii="仿宋_GB2312" w:hAnsi="仿宋_GB2312" w:cs="仿宋_GB2312" w:eastAsia="仿宋_GB2312"/>
                      <w:sz w:val="18"/>
                      <w:color w:val="000000"/>
                    </w:rPr>
                    <w:t>专业的技术支持团队，针对此设备</w:t>
                  </w:r>
                  <w:r>
                    <w:rPr>
                      <w:rFonts w:ascii="仿宋_GB2312" w:hAnsi="仿宋_GB2312" w:cs="仿宋_GB2312" w:eastAsia="仿宋_GB2312"/>
                      <w:sz w:val="18"/>
                      <w:color w:val="000000"/>
                    </w:rPr>
                    <w:t>配备</w:t>
                  </w:r>
                  <w:r>
                    <w:rPr>
                      <w:rFonts w:ascii="仿宋_GB2312" w:hAnsi="仿宋_GB2312" w:cs="仿宋_GB2312" w:eastAsia="仿宋_GB2312"/>
                      <w:sz w:val="18"/>
                      <w:color w:val="000000"/>
                    </w:rPr>
                    <w:t>≥2人的专职工程师，提供姓名和原厂授权资质证</w:t>
                  </w:r>
                  <w:r>
                    <w:rPr>
                      <w:rFonts w:ascii="仿宋_GB2312" w:hAnsi="仿宋_GB2312" w:cs="仿宋_GB2312" w:eastAsia="仿宋_GB2312"/>
                      <w:sz w:val="18"/>
                      <w:color w:val="000000"/>
                    </w:rPr>
                    <w:t>，且</w:t>
                  </w:r>
                  <w:r>
                    <w:rPr>
                      <w:rFonts w:ascii="仿宋_GB2312" w:hAnsi="仿宋_GB2312" w:cs="仿宋_GB2312" w:eastAsia="仿宋_GB2312"/>
                      <w:sz w:val="18"/>
                      <w:color w:val="000000"/>
                    </w:rPr>
                    <w:t>在考核合格有效期内</w:t>
                  </w:r>
                  <w:r>
                    <w:rPr>
                      <w:rFonts w:ascii="仿宋_GB2312" w:hAnsi="仿宋_GB2312" w:cs="仿宋_GB2312" w:eastAsia="仿宋_GB2312"/>
                      <w:sz w:val="18"/>
                      <w:color w:val="000000"/>
                    </w:rPr>
                    <w:t>，</w:t>
                  </w:r>
                  <w:r>
                    <w:rPr>
                      <w:rFonts w:ascii="仿宋_GB2312" w:hAnsi="仿宋_GB2312" w:cs="仿宋_GB2312" w:eastAsia="仿宋_GB2312"/>
                      <w:sz w:val="18"/>
                      <w:color w:val="000000"/>
                    </w:rPr>
                    <w:t>保证能够随时取得设备生产者研发和工厂的技术、物力支持。</w:t>
                  </w:r>
                  <w:r>
                    <w:rPr>
                      <w:rFonts w:ascii="仿宋_GB2312" w:hAnsi="仿宋_GB2312" w:cs="仿宋_GB2312" w:eastAsia="仿宋_GB2312"/>
                      <w:sz w:val="18"/>
                      <w:color w:val="000000"/>
                    </w:rPr>
                    <w:t>（</w:t>
                  </w:r>
                  <w:r>
                    <w:rPr>
                      <w:rFonts w:ascii="仿宋_GB2312" w:hAnsi="仿宋_GB2312" w:cs="仿宋_GB2312" w:eastAsia="仿宋_GB2312"/>
                      <w:sz w:val="18"/>
                      <w:color w:val="000000"/>
                    </w:rPr>
                    <w:t>提供复印件</w:t>
                  </w:r>
                  <w:r>
                    <w:rPr>
                      <w:rFonts w:ascii="仿宋_GB2312" w:hAnsi="仿宋_GB2312" w:cs="仿宋_GB2312" w:eastAsia="仿宋_GB2312"/>
                      <w:sz w:val="18"/>
                      <w:color w:val="000000"/>
                    </w:rPr>
                    <w:t>)</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14</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服务方需提供设备原厂的</w:t>
                  </w:r>
                  <w:r>
                    <w:rPr>
                      <w:rFonts w:ascii="仿宋_GB2312" w:hAnsi="仿宋_GB2312" w:cs="仿宋_GB2312" w:eastAsia="仿宋_GB2312"/>
                      <w:sz w:val="18"/>
                      <w:color w:val="000000"/>
                    </w:rPr>
                    <w:t>Insite数字化远程故障诊断系统。</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15</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投标人需提供球管中华人民共和国医疗器械注册证书</w:t>
                  </w:r>
                  <w:r>
                    <w:rPr>
                      <w:rFonts w:ascii="仿宋_GB2312" w:hAnsi="仿宋_GB2312" w:cs="仿宋_GB2312" w:eastAsia="仿宋_GB2312"/>
                      <w:sz w:val="18"/>
                      <w:color w:val="000000"/>
                    </w:rPr>
                    <w:t>，</w:t>
                  </w:r>
                  <w:r>
                    <w:rPr>
                      <w:rFonts w:ascii="仿宋_GB2312" w:hAnsi="仿宋_GB2312" w:cs="仿宋_GB2312" w:eastAsia="仿宋_GB2312"/>
                      <w:sz w:val="18"/>
                      <w:color w:val="000000"/>
                    </w:rPr>
                    <w:t>球管安装校验需按原厂标准完成。</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16</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投标人须</w:t>
                  </w:r>
                  <w:r>
                    <w:rPr>
                      <w:rFonts w:ascii="仿宋_GB2312" w:hAnsi="仿宋_GB2312" w:cs="仿宋_GB2312" w:eastAsia="仿宋_GB2312"/>
                      <w:sz w:val="18"/>
                      <w:color w:val="000000"/>
                    </w:rPr>
                    <w:t>具有制造商</w:t>
                  </w:r>
                  <w:r>
                    <w:rPr>
                      <w:rFonts w:ascii="仿宋_GB2312" w:hAnsi="仿宋_GB2312" w:cs="仿宋_GB2312" w:eastAsia="仿宋_GB2312"/>
                      <w:sz w:val="18"/>
                      <w:color w:val="000000"/>
                    </w:rPr>
                    <w:t>原厂授权。</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17</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球管质保时间</w:t>
                  </w:r>
                  <w:r>
                    <w:rPr>
                      <w:rFonts w:ascii="仿宋_GB2312" w:hAnsi="仿宋_GB2312" w:cs="仿宋_GB2312" w:eastAsia="仿宋_GB2312"/>
                      <w:sz w:val="18"/>
                      <w:color w:val="000000"/>
                    </w:rPr>
                    <w:t>≥12个月。</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商洛市中心医院指定地点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进度款，银行转账。以实际中标价为依据结算。设备维修、维护等技术服务完毕，设备运行正常，经甲、乙双方共同验收合格后，由乙方开具全额发票，达到付款条件起30个工作日内，支付合同总金额的100.0%</w:t>
      </w:r>
    </w:p>
    <w:p>
      <w:pPr>
        <w:pStyle w:val="null3"/>
        <w:jc w:val="left"/>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由采购人组织专家进行项目验收，专家评审通过即视为项目验收合格。并提供整个完善项目过程的所有资料。</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ind w:firstLine="480"/>
        <w:jc w:val="left"/>
      </w:pPr>
      <w:r>
        <w:rPr>
          <w:rFonts w:ascii="仿宋_GB2312" w:hAnsi="仿宋_GB2312" w:cs="仿宋_GB2312" w:eastAsia="仿宋_GB2312"/>
        </w:rPr>
        <w:t xml:space="preserve">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按照招标文件、投标文件及合同文本约定</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按照招标文件、投标文件及合同文本约定</w:t>
      </w:r>
    </w:p>
    <w:p>
      <w:pPr>
        <w:pStyle w:val="null3"/>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落实财库〔2026〕2号《关于推动解决政府采购异常低价问题的通知》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供应商应提供的资格证明文件.docx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应授权合法的人员参加谈判，其中法定代表人直接参加的，须出具法定代表人证明书；被授权代表参加的，须出具法定代表人授权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供应商信用要求</w:t>
            </w:r>
          </w:p>
        </w:tc>
        <w:tc>
          <w:tcPr>
            <w:tcW w:type="dxa" w:w="3322"/>
          </w:tcPr>
          <w:p>
            <w:pPr>
              <w:pStyle w:val="null3"/>
            </w:pPr>
            <w:r>
              <w:rPr>
                <w:rFonts w:ascii="仿宋_GB2312" w:hAnsi="仿宋_GB2312" w:cs="仿宋_GB2312" w:eastAsia="仿宋_GB2312"/>
              </w:rPr>
              <w:t>供应商不得为“信用中国”网站（www.creditchina.gov.cn）列入失信被执行人、重大税收违法失信主体、政府采购严重违法失信行为记录名单，不得为“中国政府采购网”（ccgp.gov.cn）政府采购严重违法失信行为记录名单中的供应商。</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制造商授权</w:t>
            </w:r>
          </w:p>
        </w:tc>
        <w:tc>
          <w:tcPr>
            <w:tcW w:type="dxa" w:w="3322"/>
          </w:tcPr>
          <w:p>
            <w:pPr>
              <w:pStyle w:val="null3"/>
            </w:pPr>
            <w:r>
              <w:rPr>
                <w:rFonts w:ascii="仿宋_GB2312" w:hAnsi="仿宋_GB2312" w:cs="仿宋_GB2312" w:eastAsia="仿宋_GB2312"/>
              </w:rPr>
              <w:t>提供有效期内的设备制造商原厂授权书。</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单位负责人为同一人或者存在直接控股、管理关系的不同供应商，不得参与同一合同项下的政府采购活动；为本项目提供整体设计、规范编制或者项目管理、监理、检测等服务的供应商，不得参加本项目磋商</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投标保证金交纳凭证</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提供相关承诺书，格式自拟</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提供非联合体投标承诺</w:t>
            </w:r>
          </w:p>
        </w:tc>
        <w:tc>
          <w:tcPr>
            <w:tcW w:type="dxa" w:w="1661"/>
          </w:tcPr>
          <w:p>
            <w:pPr>
              <w:pStyle w:val="null3"/>
            </w:pPr>
            <w:r>
              <w:rPr>
                <w:rFonts w:ascii="仿宋_GB2312" w:hAnsi="仿宋_GB2312" w:cs="仿宋_GB2312" w:eastAsia="仿宋_GB2312"/>
              </w:rPr>
              <w:t>供应商应提供的资格证明文件.docx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 xml:space="preserve"> （二）审查供应商响应文件等是否满足单一来源采购文件要求，并作出评价；</w:t>
      </w:r>
    </w:p>
    <w:p>
      <w:pPr>
        <w:pStyle w:val="null3"/>
        <w:ind w:firstLine="480"/>
        <w:jc w:val="left"/>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（四）推荐成交候选供应商，或者受采购人委托确定成交供应商；</w:t>
      </w:r>
    </w:p>
    <w:p>
      <w:pPr>
        <w:pStyle w:val="null3"/>
        <w:ind w:firstLine="480"/>
        <w:jc w:val="left"/>
      </w:pPr>
      <w:r>
        <w:rPr>
          <w:rFonts w:ascii="仿宋_GB2312" w:hAnsi="仿宋_GB2312" w:cs="仿宋_GB2312" w:eastAsia="仿宋_GB2312"/>
        </w:rPr>
        <w:t>（五）起草评审报告并进行签署；</w:t>
      </w:r>
    </w:p>
    <w:p>
      <w:pPr>
        <w:pStyle w:val="null3"/>
        <w:ind w:firstLine="480"/>
        <w:jc w:val="left"/>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3"/>
      </w:pPr>
      <w:r>
        <w:rPr>
          <w:rFonts w:ascii="仿宋_GB2312" w:hAnsi="仿宋_GB2312" w:cs="仿宋_GB2312" w:eastAsia="仿宋_GB2312"/>
          <w:sz w:val="24"/>
          <w:b/>
        </w:rPr>
        <w:t>5.2.2.熟悉和理解采购文件和停止评审</w:t>
      </w:r>
    </w:p>
    <w:p>
      <w:pPr>
        <w:pStyle w:val="null3"/>
        <w:ind w:firstLine="480"/>
        <w:jc w:val="left"/>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rFonts w:ascii="仿宋_GB2312" w:hAnsi="仿宋_GB2312" w:cs="仿宋_GB2312" w:eastAsia="仿宋_GB2312"/>
        </w:rPr>
        <w:t>二、本采购文件有下列情形之一的，协商小组应当停止评审：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（一）采购文件的规定存在歧义、重大缺陷的；</w:t>
      </w:r>
    </w:p>
    <w:p>
      <w:pPr>
        <w:pStyle w:val="null3"/>
        <w:ind w:firstLine="480"/>
        <w:jc w:val="left"/>
      </w:pPr>
      <w:r>
        <w:rPr>
          <w:rFonts w:ascii="仿宋_GB2312" w:hAnsi="仿宋_GB2312" w:cs="仿宋_GB2312" w:eastAsia="仿宋_GB2312"/>
        </w:rPr>
        <w:t>（二）采购文件明显以不合理条件对供应商实行差别待遇或者歧视待遇的；</w:t>
      </w:r>
    </w:p>
    <w:p>
      <w:pPr>
        <w:pStyle w:val="null3"/>
        <w:ind w:firstLine="480"/>
        <w:jc w:val="left"/>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（五）采购文件将供应商的资格条件列为评分因素的；</w:t>
      </w:r>
    </w:p>
    <w:p>
      <w:pPr>
        <w:pStyle w:val="null3"/>
        <w:ind w:firstLine="480"/>
        <w:jc w:val="left"/>
      </w:pPr>
      <w:r>
        <w:rPr>
          <w:rFonts w:ascii="仿宋_GB2312" w:hAnsi="仿宋_GB2312" w:cs="仿宋_GB2312" w:eastAsia="仿宋_GB2312"/>
        </w:rPr>
        <w:t>（六）采购文件载明的成交原则不合法的；</w:t>
      </w:r>
    </w:p>
    <w:p>
      <w:pPr>
        <w:pStyle w:val="null3"/>
        <w:ind w:firstLine="480"/>
        <w:jc w:val="left"/>
      </w:pPr>
      <w:r>
        <w:rPr>
          <w:rFonts w:ascii="仿宋_GB2312" w:hAnsi="仿宋_GB2312" w:cs="仿宋_GB2312" w:eastAsia="仿宋_GB2312"/>
        </w:rPr>
        <w:t>（七）采购文件有违反国家其他有关强制性规定的情形。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产品技术参数表 供应商应提供的资格证明文件.docx 残疾人福利性单位声明函 中小企业声明函 商务应答表 标的清单 报价表 项目实施方案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残疾人福利性单位声明函 商务应答表 标的清单 报价表 项目实施方案 响应函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一、协商会议在项目电子化交易系统进行。协商会议由代理机构在线主持，供应商代表在线参加。</w:t>
      </w:r>
    </w:p>
    <w:p>
      <w:pPr>
        <w:pStyle w:val="null3"/>
        <w:ind w:firstLine="480"/>
      </w:pPr>
      <w:r>
        <w:rPr>
          <w:rFonts w:ascii="仿宋_GB2312" w:hAnsi="仿宋_GB2312" w:cs="仿宋_GB2312" w:eastAsia="仿宋_GB2312"/>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jc w:val="left"/>
      </w:pPr>
      <w:r>
        <w:rPr>
          <w:rFonts w:ascii="仿宋_GB2312" w:hAnsi="仿宋_GB2312" w:cs="仿宋_GB2312" w:eastAsia="仿宋_GB2312"/>
        </w:rPr>
        <w:t>（一）因情况变化，不再符合规定的单一来源采购方式适用情形的；</w:t>
      </w:r>
    </w:p>
    <w:p>
      <w:pPr>
        <w:pStyle w:val="null3"/>
        <w:jc w:val="left"/>
      </w:pPr>
      <w:r>
        <w:rPr>
          <w:rFonts w:ascii="仿宋_GB2312" w:hAnsi="仿宋_GB2312" w:cs="仿宋_GB2312" w:eastAsia="仿宋_GB2312"/>
        </w:rPr>
        <w:t>（二）出现影响采购公正的违法、违规行为的；</w:t>
      </w:r>
    </w:p>
    <w:p>
      <w:pPr>
        <w:pStyle w:val="null3"/>
        <w:jc w:val="left"/>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 xml:space="preserve"> 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详见附件：供应商应提供的资格证明文件.docx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