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版本号：SXBC2026-CSZB01320260318001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汉中市水污染热点网格监管项目运维服务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SXBC2026-CSZB013</w:t>
      </w:r>
      <w:r>
        <w:br/>
      </w:r>
      <w:r>
        <w:br/>
      </w:r>
      <w:r>
        <w:br/>
      </w:r>
    </w:p>
    <w:p>
      <w:pPr>
        <w:pStyle w:val="null3"/>
        <w:jc w:val="center"/>
        <w:outlineLvl w:val="2"/>
      </w:pPr>
      <w:r>
        <w:rPr>
          <w:rFonts w:ascii="仿宋_GB2312" w:hAnsi="仿宋_GB2312" w:cs="仿宋_GB2312" w:eastAsia="仿宋_GB2312"/>
          <w:sz w:val="28"/>
          <w:b/>
        </w:rPr>
        <w:t>汉中市生态环境局</w:t>
      </w:r>
    </w:p>
    <w:p>
      <w:pPr>
        <w:pStyle w:val="null3"/>
        <w:jc w:val="center"/>
        <w:outlineLvl w:val="2"/>
      </w:pPr>
      <w:r>
        <w:rPr>
          <w:rFonts w:ascii="仿宋_GB2312" w:hAnsi="仿宋_GB2312" w:cs="仿宋_GB2312" w:eastAsia="仿宋_GB2312"/>
          <w:sz w:val="28"/>
          <w:b/>
        </w:rPr>
        <w:t>陕西邦驰工程咨询有限公司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陕西邦驰工程咨询有限公司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w:t>
      </w:r>
      <w:r>
        <w:rPr>
          <w:rFonts w:ascii="仿宋_GB2312" w:hAnsi="仿宋_GB2312" w:cs="仿宋_GB2312" w:eastAsia="仿宋_GB2312"/>
        </w:rPr>
        <w:t>委托，拟对</w:t>
      </w:r>
      <w:r>
        <w:rPr>
          <w:rFonts w:ascii="仿宋_GB2312" w:hAnsi="仿宋_GB2312" w:cs="仿宋_GB2312" w:eastAsia="仿宋_GB2312"/>
        </w:rPr>
        <w:t>汉中市水污染热点网格监管项目运维服务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SXBC2026-CSZB013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汉中市水污染热点网格监管项目运维服务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生态环境局已建成投用的水污染热点网格智能监管平台项目在全市搭建了42套多参数[全光谱谱图、总氮（光学法）、COD/高锰酸盐指数、氨氮、pH]微型水质监测站和1套智能监管平台，形成了多源数据融合、研判分析、精细化监管等一体化大数据应用指挥平台，提升了水环境监管的科学化、精细化、信息化水平，为科学决策和精准执法，提供了有力的数据与决策支撑，效果明显，助力汉中市进一步打好碧水保卫战。 本项目需对上述已建成的水质监测站进行设备运维，提供相应的监测数据分析和驻场专家团队技术支持等服务，并对智能监管平台进行持续保障，确保平台所需功能的正常运行。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采购包1（汉中市水污染热点网格监管项目运维服务）：属于专门面向中小企业采购。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1、有效的主体资格证明：具有有效的营业执照副本/事业单位法人证书副本/非企业专业服务机构执业许可证副本/民办非企业单位登记证书副本/个人工商户营业执照副本/自然人身份证；</w:t>
      </w:r>
    </w:p>
    <w:p>
      <w:pPr>
        <w:pStyle w:val="null3"/>
      </w:pPr>
      <w:r>
        <w:rPr>
          <w:rFonts w:ascii="仿宋_GB2312" w:hAnsi="仿宋_GB2312" w:cs="仿宋_GB2312" w:eastAsia="仿宋_GB2312"/>
        </w:rPr>
        <w:t>2、法定代表人授权书：授权代表磋商时，提供法定代表人授权书；法定代表人磋商时，须提供本人身份证；非法人单位参照执行；</w:t>
      </w:r>
    </w:p>
    <w:p>
      <w:pPr>
        <w:pStyle w:val="null3"/>
      </w:pPr>
      <w:r>
        <w:rPr>
          <w:rFonts w:ascii="仿宋_GB2312" w:hAnsi="仿宋_GB2312" w:cs="仿宋_GB2312" w:eastAsia="仿宋_GB2312"/>
        </w:rPr>
        <w:t>3、承诺函：具有良好的商业信誉和健全的财务会计制度,具有履行合同所必需的设备和专业技术能力，具有依法缴纳税收和社会保障金的良好记录，参加本项目采购活动前三年内无重大违法活动记录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汉中市汉台区民主街62号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0916-2258330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陕西邦驰工程咨询有限公司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陕西省西安市经济技术开发区凤城二路27号天心大厦 17层1703室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孙京京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13892946169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代理服务费收费标准：参照国家计委颁布的《招标代理服务收费管理暂行办法》（计价格〔2002〕1980号）和（发改办价格〔2003〕857号）文收费标准下浮5%，向招标代理机构交纳招标代理服务费。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w:t>
      </w:r>
      <w:r>
        <w:rPr>
          <w:rFonts w:ascii="仿宋_GB2312" w:hAnsi="仿宋_GB2312" w:cs="仿宋_GB2312" w:eastAsia="仿宋_GB2312"/>
        </w:rPr>
        <w:t>和</w:t>
      </w:r>
      <w:r>
        <w:rPr>
          <w:rFonts w:ascii="仿宋_GB2312" w:hAnsi="仿宋_GB2312" w:cs="仿宋_GB2312" w:eastAsia="仿宋_GB2312"/>
        </w:rPr>
        <w:t>陕西邦驰工程咨询有限公司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陕西邦驰工程咨询有限公司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陕西邦驰工程咨询有限公司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陕西邦驰工程咨询有限公司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陕西邦驰工程咨询有限公司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陕西邦驰工程咨询有限公司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联系人：孙京京</w:t>
      </w:r>
    </w:p>
    <w:p>
      <w:pPr>
        <w:pStyle w:val="null3"/>
      </w:pPr>
      <w:r>
        <w:rPr>
          <w:rFonts w:ascii="仿宋_GB2312" w:hAnsi="仿宋_GB2312" w:cs="仿宋_GB2312" w:eastAsia="仿宋_GB2312"/>
        </w:rPr>
        <w:t>联系电话：13892946169</w:t>
      </w:r>
    </w:p>
    <w:p>
      <w:pPr>
        <w:pStyle w:val="null3"/>
      </w:pPr>
      <w:r>
        <w:rPr>
          <w:rFonts w:ascii="仿宋_GB2312" w:hAnsi="仿宋_GB2312" w:cs="仿宋_GB2312" w:eastAsia="仿宋_GB2312"/>
        </w:rPr>
        <w:t>地址：陕西省西安市经济技术开发区凤城二路27号天心大厦 17层1703室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汉中市生态环境局已建成投用的水污染热点网格智能监管平台项目在全市搭建了</w:t>
      </w:r>
      <w:r>
        <w:rPr>
          <w:rFonts w:ascii="仿宋_GB2312" w:hAnsi="仿宋_GB2312" w:cs="仿宋_GB2312" w:eastAsia="仿宋_GB2312"/>
        </w:rPr>
        <w:t>42套多参数[全光谱谱图、总氮（光学法）、COD/高锰酸盐指数、氨氮、pH]微型水质监测站和1套智能监管平台，形成了多源数据融合、研判分析、精细化监管等一体化大数据应用指挥平台，提升了水环境监管的科学化、精细化、信息化水平，为科学决策和精准执法，提供了有力的数据与决策支撑，效果明显，助力汉中市进一步打好碧水保卫战。</w:t>
      </w:r>
    </w:p>
    <w:p>
      <w:pPr>
        <w:pStyle w:val="null3"/>
        <w:ind w:firstLine="480"/>
      </w:pPr>
      <w:r>
        <w:rPr>
          <w:rFonts w:ascii="仿宋_GB2312" w:hAnsi="仿宋_GB2312" w:cs="仿宋_GB2312" w:eastAsia="仿宋_GB2312"/>
        </w:rPr>
        <w:t>本项目需对上述已建成的水质监测站进行设备运维，提供相应的监测数据分析和驻场专家团队技术支持等服务，并对智能监管平台进行持续保障，确保平台所需功能的正常运行。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jc w:val="both"/>
            </w:pPr>
            <w:r>
              <w:rPr>
                <w:rFonts w:ascii="仿宋_GB2312" w:hAnsi="仿宋_GB2312" w:cs="仿宋_GB2312" w:eastAsia="仿宋_GB2312"/>
                <w:sz w:val="18"/>
                <w:b/>
              </w:rPr>
              <w:t>一、服务周期：</w:t>
            </w:r>
            <w:r>
              <w:rPr>
                <w:rFonts w:ascii="仿宋_GB2312" w:hAnsi="仿宋_GB2312" w:cs="仿宋_GB2312" w:eastAsia="仿宋_GB2312"/>
                <w:sz w:val="18"/>
              </w:rPr>
              <w:t>自合同签订之日起</w:t>
            </w:r>
            <w:r>
              <w:rPr>
                <w:rFonts w:ascii="仿宋_GB2312" w:hAnsi="仿宋_GB2312" w:cs="仿宋_GB2312" w:eastAsia="仿宋_GB2312"/>
                <w:sz w:val="18"/>
              </w:rPr>
              <w:t>12个月</w:t>
            </w:r>
            <w:r>
              <w:rPr>
                <w:rFonts w:ascii="仿宋_GB2312" w:hAnsi="仿宋_GB2312" w:cs="仿宋_GB2312" w:eastAsia="仿宋_GB2312"/>
                <w:sz w:val="18"/>
              </w:rPr>
              <w:t>。</w:t>
            </w:r>
          </w:p>
          <w:p>
            <w:pPr>
              <w:pStyle w:val="null3"/>
              <w:ind w:firstLine="200"/>
              <w:jc w:val="both"/>
            </w:pPr>
            <w:r>
              <w:rPr>
                <w:rFonts w:ascii="仿宋_GB2312" w:hAnsi="仿宋_GB2312" w:cs="仿宋_GB2312" w:eastAsia="仿宋_GB2312"/>
                <w:sz w:val="18"/>
                <w:b/>
              </w:rPr>
              <w:t>二、项目建设目标：</w:t>
            </w:r>
            <w:r>
              <w:rPr>
                <w:rFonts w:ascii="仿宋_GB2312" w:hAnsi="仿宋_GB2312" w:cs="仿宋_GB2312" w:eastAsia="仿宋_GB2312"/>
                <w:sz w:val="18"/>
              </w:rPr>
              <w:t>为汉中市水污染热点网格智能监管平台项目中的</w:t>
            </w:r>
            <w:r>
              <w:rPr>
                <w:rFonts w:ascii="仿宋_GB2312" w:hAnsi="仿宋_GB2312" w:cs="仿宋_GB2312" w:eastAsia="仿宋_GB2312"/>
                <w:sz w:val="18"/>
              </w:rPr>
              <w:t>42套水质监测站和监管平台提供运维、数据分析及技术支持等服务，拟通过本运维服务项目得到相应的技术支持，从而切实保障设备与相关业务系统的正常运行。</w:t>
            </w:r>
          </w:p>
          <w:p>
            <w:pPr>
              <w:pStyle w:val="null3"/>
              <w:ind w:firstLine="200"/>
              <w:jc w:val="both"/>
            </w:pPr>
            <w:r>
              <w:rPr>
                <w:rFonts w:ascii="仿宋_GB2312" w:hAnsi="仿宋_GB2312" w:cs="仿宋_GB2312" w:eastAsia="仿宋_GB2312"/>
                <w:sz w:val="18"/>
                <w:b/>
              </w:rPr>
              <w:t>三、业务功能及采购需求</w:t>
            </w:r>
          </w:p>
          <w:p>
            <w:pPr>
              <w:pStyle w:val="null3"/>
              <w:ind w:firstLine="200"/>
              <w:jc w:val="both"/>
            </w:pPr>
            <w:r>
              <w:rPr>
                <w:rFonts w:ascii="仿宋_GB2312" w:hAnsi="仿宋_GB2312" w:cs="仿宋_GB2312" w:eastAsia="仿宋_GB2312"/>
                <w:sz w:val="18"/>
              </w:rPr>
              <w:t>汉中市水污染热点网格监管平台服务</w:t>
            </w:r>
          </w:p>
          <w:p>
            <w:pPr>
              <w:pStyle w:val="null3"/>
              <w:ind w:firstLine="200"/>
              <w:jc w:val="both"/>
            </w:pPr>
            <w:r>
              <w:rPr>
                <w:rFonts w:ascii="仿宋_GB2312" w:hAnsi="仿宋_GB2312" w:cs="仿宋_GB2312" w:eastAsia="仿宋_GB2312"/>
                <w:sz w:val="18"/>
              </w:rPr>
              <w:t>包括对</w:t>
            </w:r>
            <w:r>
              <w:rPr>
                <w:rFonts w:ascii="仿宋_GB2312" w:hAnsi="仿宋_GB2312" w:cs="仿宋_GB2312" w:eastAsia="仿宋_GB2312"/>
                <w:sz w:val="18"/>
              </w:rPr>
              <w:t>42台高密度微型[全光谱谱图、总氮（光学法）、COD/高锰酸盐指数、氨氮、pH]多参数水质检测设备的运维，提供相应监测数据服务，并对智能监管平台业务系统进行持续保障，提供手机App和大数据专家服务，支撑智能化的监测、监察、日常管理等业务。具体包括以下内容：</w:t>
            </w:r>
          </w:p>
          <w:p>
            <w:pPr>
              <w:pStyle w:val="null3"/>
              <w:ind w:firstLine="200"/>
              <w:jc w:val="both"/>
            </w:pPr>
            <w:r>
              <w:rPr>
                <w:rFonts w:ascii="仿宋_GB2312" w:hAnsi="仿宋_GB2312" w:cs="仿宋_GB2312" w:eastAsia="仿宋_GB2312"/>
                <w:sz w:val="18"/>
                <w:b/>
              </w:rPr>
              <w:t>1</w:t>
            </w:r>
            <w:r>
              <w:rPr>
                <w:rFonts w:ascii="仿宋_GB2312" w:hAnsi="仿宋_GB2312" w:cs="仿宋_GB2312" w:eastAsia="仿宋_GB2312"/>
                <w:b/>
              </w:rPr>
              <w:t xml:space="preserve"> </w:t>
            </w:r>
            <w:r>
              <w:rPr>
                <w:rFonts w:ascii="仿宋_GB2312" w:hAnsi="仿宋_GB2312" w:cs="仿宋_GB2312" w:eastAsia="仿宋_GB2312"/>
                <w:sz w:val="18"/>
                <w:b/>
              </w:rPr>
              <w:t>水环境综合监测体系服务</w:t>
            </w:r>
          </w:p>
          <w:p>
            <w:pPr>
              <w:pStyle w:val="null3"/>
              <w:ind w:firstLine="200"/>
              <w:jc w:val="both"/>
            </w:pPr>
            <w:r>
              <w:rPr>
                <w:rFonts w:ascii="仿宋_GB2312" w:hAnsi="仿宋_GB2312" w:cs="仿宋_GB2312" w:eastAsia="仿宋_GB2312"/>
                <w:sz w:val="18"/>
                <w:b/>
              </w:rPr>
              <w:t>实时获取</w:t>
            </w:r>
            <w:r>
              <w:rPr>
                <w:rFonts w:ascii="仿宋_GB2312" w:hAnsi="仿宋_GB2312" w:cs="仿宋_GB2312" w:eastAsia="仿宋_GB2312"/>
                <w:sz w:val="18"/>
                <w:b/>
              </w:rPr>
              <w:t>[</w:t>
            </w:r>
            <w:r>
              <w:rPr>
                <w:rFonts w:ascii="仿宋_GB2312" w:hAnsi="仿宋_GB2312" w:cs="仿宋_GB2312" w:eastAsia="仿宋_GB2312"/>
                <w:sz w:val="18"/>
                <w:b/>
              </w:rPr>
              <w:t>全光谱谱图、总氮（光学法）、</w:t>
            </w:r>
            <w:r>
              <w:rPr>
                <w:rFonts w:ascii="仿宋_GB2312" w:hAnsi="仿宋_GB2312" w:cs="仿宋_GB2312" w:eastAsia="仿宋_GB2312"/>
                <w:sz w:val="18"/>
                <w:b/>
              </w:rPr>
              <w:t>COD/</w:t>
            </w:r>
            <w:r>
              <w:rPr>
                <w:rFonts w:ascii="仿宋_GB2312" w:hAnsi="仿宋_GB2312" w:cs="仿宋_GB2312" w:eastAsia="仿宋_GB2312"/>
                <w:sz w:val="18"/>
                <w:b/>
              </w:rPr>
              <w:t>高锰酸盐指数、氨氮、</w:t>
            </w:r>
            <w:r>
              <w:rPr>
                <w:rFonts w:ascii="仿宋_GB2312" w:hAnsi="仿宋_GB2312" w:cs="仿宋_GB2312" w:eastAsia="仿宋_GB2312"/>
                <w:sz w:val="18"/>
                <w:b/>
              </w:rPr>
              <w:t>pH]</w:t>
            </w:r>
            <w:r>
              <w:rPr>
                <w:rFonts w:ascii="仿宋_GB2312" w:hAnsi="仿宋_GB2312" w:cs="仿宋_GB2312" w:eastAsia="仿宋_GB2312"/>
                <w:sz w:val="18"/>
                <w:b/>
              </w:rPr>
              <w:t>等水质参数情况，实时反映汉中市水环境质量，并且能够通过大数据分析技术，融合卫星遥感、在线污染源、国</w:t>
            </w:r>
            <w:r>
              <w:rPr>
                <w:rFonts w:ascii="仿宋_GB2312" w:hAnsi="仿宋_GB2312" w:cs="仿宋_GB2312" w:eastAsia="仿宋_GB2312"/>
                <w:sz w:val="18"/>
                <w:b/>
              </w:rPr>
              <w:t>/</w:t>
            </w:r>
            <w:r>
              <w:rPr>
                <w:rFonts w:ascii="仿宋_GB2312" w:hAnsi="仿宋_GB2312" w:cs="仿宋_GB2312" w:eastAsia="仿宋_GB2312"/>
                <w:sz w:val="18"/>
                <w:b/>
              </w:rPr>
              <w:t>省</w:t>
            </w:r>
            <w:r>
              <w:rPr>
                <w:rFonts w:ascii="仿宋_GB2312" w:hAnsi="仿宋_GB2312" w:cs="仿宋_GB2312" w:eastAsia="仿宋_GB2312"/>
                <w:sz w:val="18"/>
                <w:b/>
              </w:rPr>
              <w:t>/</w:t>
            </w:r>
            <w:r>
              <w:rPr>
                <w:rFonts w:ascii="仿宋_GB2312" w:hAnsi="仿宋_GB2312" w:cs="仿宋_GB2312" w:eastAsia="仿宋_GB2312"/>
                <w:sz w:val="18"/>
                <w:b/>
              </w:rPr>
              <w:t>市控断面等多源数据。</w:t>
            </w:r>
          </w:p>
          <w:p>
            <w:pPr>
              <w:pStyle w:val="null3"/>
              <w:ind w:firstLine="200"/>
              <w:jc w:val="both"/>
            </w:pPr>
            <w:r>
              <w:rPr>
                <w:rFonts w:ascii="仿宋_GB2312" w:hAnsi="仿宋_GB2312" w:cs="仿宋_GB2312" w:eastAsia="仿宋_GB2312"/>
                <w:sz w:val="18"/>
              </w:rPr>
              <w:t>1.1</w:t>
            </w:r>
            <w:r>
              <w:rPr>
                <w:rFonts w:ascii="仿宋_GB2312" w:hAnsi="仿宋_GB2312" w:cs="仿宋_GB2312" w:eastAsia="仿宋_GB2312"/>
              </w:rPr>
              <w:t xml:space="preserve"> </w:t>
            </w:r>
            <w:r>
              <w:rPr>
                <w:rFonts w:ascii="仿宋_GB2312" w:hAnsi="仿宋_GB2312" w:cs="仿宋_GB2312" w:eastAsia="仿宋_GB2312"/>
                <w:sz w:val="18"/>
              </w:rPr>
              <w:t>水质多参数监测服务</w:t>
            </w:r>
          </w:p>
          <w:p>
            <w:pPr>
              <w:pStyle w:val="null3"/>
              <w:ind w:firstLine="200"/>
              <w:jc w:val="both"/>
            </w:pPr>
            <w:r>
              <w:rPr>
                <w:rFonts w:ascii="仿宋_GB2312" w:hAnsi="仿宋_GB2312" w:cs="仿宋_GB2312" w:eastAsia="仿宋_GB2312"/>
                <w:sz w:val="18"/>
              </w:rPr>
              <w:t>包括设备的巡查、巡检、调试、校准、质控、集成与数据通信、电池与供电、视频采集、整机及部件更换、人员、车辆、工作场所、备品备件等。</w:t>
            </w:r>
          </w:p>
          <w:p>
            <w:pPr>
              <w:pStyle w:val="null3"/>
              <w:ind w:firstLine="200"/>
              <w:jc w:val="both"/>
            </w:pPr>
            <w:r>
              <w:rPr>
                <w:rFonts w:ascii="仿宋_GB2312" w:hAnsi="仿宋_GB2312" w:cs="仿宋_GB2312" w:eastAsia="仿宋_GB2312"/>
                <w:sz w:val="18"/>
              </w:rPr>
              <w:t>1.1.1</w:t>
            </w:r>
            <w:r>
              <w:rPr>
                <w:rFonts w:ascii="仿宋_GB2312" w:hAnsi="仿宋_GB2312" w:cs="仿宋_GB2312" w:eastAsia="仿宋_GB2312"/>
              </w:rPr>
              <w:t xml:space="preserve"> </w:t>
            </w:r>
            <w:r>
              <w:rPr>
                <w:rFonts w:ascii="仿宋_GB2312" w:hAnsi="仿宋_GB2312" w:cs="仿宋_GB2312" w:eastAsia="仿宋_GB2312"/>
                <w:sz w:val="18"/>
              </w:rPr>
              <w:t>运维设备数量</w:t>
            </w:r>
          </w:p>
          <w:p>
            <w:pPr>
              <w:pStyle w:val="null3"/>
              <w:ind w:firstLine="200"/>
              <w:jc w:val="both"/>
            </w:pPr>
            <w:r>
              <w:rPr>
                <w:rFonts w:ascii="仿宋_GB2312" w:hAnsi="仿宋_GB2312" w:cs="仿宋_GB2312" w:eastAsia="仿宋_GB2312"/>
                <w:sz w:val="18"/>
              </w:rPr>
              <w:t>提供</w:t>
            </w:r>
            <w:r>
              <w:rPr>
                <w:rFonts w:ascii="仿宋_GB2312" w:hAnsi="仿宋_GB2312" w:cs="仿宋_GB2312" w:eastAsia="仿宋_GB2312"/>
                <w:sz w:val="18"/>
              </w:rPr>
              <w:t>42台高密度微型[全光谱谱图、总氮（光学法）、COD/高锰酸盐指数、氨氮、pH]多参数水质检测设备的运维服务，并提供监测数据服务。</w:t>
            </w:r>
          </w:p>
          <w:p>
            <w:pPr>
              <w:pStyle w:val="null3"/>
              <w:ind w:firstLine="200"/>
              <w:jc w:val="both"/>
            </w:pPr>
            <w:r>
              <w:rPr>
                <w:rFonts w:ascii="仿宋_GB2312" w:hAnsi="仿宋_GB2312" w:cs="仿宋_GB2312" w:eastAsia="仿宋_GB2312"/>
                <w:sz w:val="18"/>
              </w:rPr>
              <w:t>1.1.2</w:t>
            </w:r>
            <w:r>
              <w:rPr>
                <w:rFonts w:ascii="仿宋_GB2312" w:hAnsi="仿宋_GB2312" w:cs="仿宋_GB2312" w:eastAsia="仿宋_GB2312"/>
              </w:rPr>
              <w:t xml:space="preserve"> </w:t>
            </w:r>
            <w:r>
              <w:rPr>
                <w:rFonts w:ascii="仿宋_GB2312" w:hAnsi="仿宋_GB2312" w:cs="仿宋_GB2312" w:eastAsia="仿宋_GB2312"/>
                <w:sz w:val="18"/>
              </w:rPr>
              <w:t>运维设备参数</w:t>
            </w:r>
          </w:p>
          <w:p>
            <w:pPr>
              <w:pStyle w:val="null3"/>
              <w:ind w:firstLine="200"/>
              <w:jc w:val="both"/>
            </w:pPr>
            <w:r>
              <w:rPr>
                <w:rFonts w:ascii="仿宋_GB2312" w:hAnsi="仿宋_GB2312" w:cs="仿宋_GB2312" w:eastAsia="仿宋_GB2312"/>
                <w:sz w:val="18"/>
              </w:rPr>
              <w:t>（</w:t>
            </w:r>
            <w:r>
              <w:rPr>
                <w:rFonts w:ascii="仿宋_GB2312" w:hAnsi="仿宋_GB2312" w:cs="仿宋_GB2312" w:eastAsia="仿宋_GB2312"/>
                <w:sz w:val="18"/>
              </w:rPr>
              <w:t>1）pH</w:t>
            </w:r>
          </w:p>
          <w:p>
            <w:pPr>
              <w:pStyle w:val="null3"/>
              <w:ind w:firstLine="200"/>
              <w:jc w:val="both"/>
            </w:pPr>
            <w:r>
              <w:rPr>
                <w:rFonts w:ascii="仿宋_GB2312" w:hAnsi="仿宋_GB2312" w:cs="仿宋_GB2312" w:eastAsia="仿宋_GB2312"/>
                <w:sz w:val="18"/>
              </w:rPr>
              <w:t>pH测量范围：0～14</w:t>
            </w:r>
            <w:r>
              <w:rPr>
                <w:rFonts w:ascii="仿宋_GB2312" w:hAnsi="仿宋_GB2312" w:cs="仿宋_GB2312" w:eastAsia="仿宋_GB2312"/>
              </w:rPr>
              <w:t xml:space="preserve"> </w:t>
            </w:r>
            <w:r>
              <w:rPr>
                <w:rFonts w:ascii="仿宋_GB2312" w:hAnsi="仿宋_GB2312" w:cs="仿宋_GB2312" w:eastAsia="仿宋_GB2312"/>
                <w:sz w:val="18"/>
              </w:rPr>
              <w:t>pH</w:t>
            </w:r>
          </w:p>
          <w:p>
            <w:pPr>
              <w:pStyle w:val="null3"/>
              <w:ind w:firstLine="200"/>
              <w:jc w:val="both"/>
            </w:pPr>
            <w:r>
              <w:rPr>
                <w:rFonts w:ascii="仿宋_GB2312" w:hAnsi="仿宋_GB2312" w:cs="仿宋_GB2312" w:eastAsia="仿宋_GB2312"/>
                <w:sz w:val="18"/>
              </w:rPr>
              <w:t>分辨率：</w:t>
            </w:r>
            <w:r>
              <w:rPr>
                <w:rFonts w:ascii="仿宋_GB2312" w:hAnsi="仿宋_GB2312" w:cs="仿宋_GB2312" w:eastAsia="仿宋_GB2312"/>
                <w:sz w:val="18"/>
              </w:rPr>
              <w:t>0.01</w:t>
            </w:r>
            <w:r>
              <w:rPr>
                <w:rFonts w:ascii="仿宋_GB2312" w:hAnsi="仿宋_GB2312" w:cs="仿宋_GB2312" w:eastAsia="仿宋_GB2312"/>
              </w:rPr>
              <w:t xml:space="preserve"> </w:t>
            </w:r>
            <w:r>
              <w:rPr>
                <w:rFonts w:ascii="仿宋_GB2312" w:hAnsi="仿宋_GB2312" w:cs="仿宋_GB2312" w:eastAsia="仿宋_GB2312"/>
                <w:sz w:val="18"/>
              </w:rPr>
              <w:t>pH</w:t>
            </w:r>
          </w:p>
          <w:p>
            <w:pPr>
              <w:pStyle w:val="null3"/>
              <w:ind w:firstLine="200"/>
              <w:jc w:val="both"/>
            </w:pPr>
            <w:r>
              <w:rPr>
                <w:rFonts w:ascii="仿宋_GB2312" w:hAnsi="仿宋_GB2312" w:cs="仿宋_GB2312" w:eastAsia="仿宋_GB2312"/>
                <w:sz w:val="18"/>
              </w:rPr>
              <w:t>灵敏度：</w:t>
            </w:r>
            <w:r>
              <w:rPr>
                <w:rFonts w:ascii="仿宋_GB2312" w:hAnsi="仿宋_GB2312" w:cs="仿宋_GB2312" w:eastAsia="仿宋_GB2312"/>
                <w:sz w:val="18"/>
              </w:rPr>
              <w:t>57～59</w:t>
            </w:r>
            <w:r>
              <w:rPr>
                <w:rFonts w:ascii="仿宋_GB2312" w:hAnsi="仿宋_GB2312" w:cs="仿宋_GB2312" w:eastAsia="仿宋_GB2312"/>
              </w:rPr>
              <w:t xml:space="preserve"> </w:t>
            </w:r>
            <w:r>
              <w:rPr>
                <w:rFonts w:ascii="仿宋_GB2312" w:hAnsi="仿宋_GB2312" w:cs="仿宋_GB2312" w:eastAsia="仿宋_GB2312"/>
                <w:sz w:val="18"/>
              </w:rPr>
              <w:t>mV/pH</w:t>
            </w:r>
            <w:r>
              <w:rPr>
                <w:rFonts w:ascii="仿宋_GB2312" w:hAnsi="仿宋_GB2312" w:cs="仿宋_GB2312" w:eastAsia="仿宋_GB2312"/>
              </w:rPr>
              <w:t xml:space="preserve"> </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25℃</w:t>
            </w:r>
          </w:p>
          <w:p>
            <w:pPr>
              <w:pStyle w:val="null3"/>
              <w:ind w:firstLine="200"/>
              <w:jc w:val="both"/>
            </w:pPr>
            <w:r>
              <w:rPr>
                <w:rFonts w:ascii="仿宋_GB2312" w:hAnsi="仿宋_GB2312" w:cs="仿宋_GB2312" w:eastAsia="仿宋_GB2312"/>
                <w:sz w:val="18"/>
              </w:rPr>
              <w:t>测量精度：</w:t>
            </w:r>
            <w:r>
              <w:rPr>
                <w:rFonts w:ascii="仿宋_GB2312" w:hAnsi="仿宋_GB2312" w:cs="仿宋_GB2312" w:eastAsia="仿宋_GB2312"/>
                <w:sz w:val="18"/>
              </w:rPr>
              <w:t>&lt;</w:t>
            </w:r>
            <w:r>
              <w:rPr>
                <w:rFonts w:ascii="仿宋_GB2312" w:hAnsi="仿宋_GB2312" w:cs="仿宋_GB2312" w:eastAsia="仿宋_GB2312"/>
              </w:rPr>
              <w:t xml:space="preserve"> </w:t>
            </w:r>
            <w:r>
              <w:rPr>
                <w:rFonts w:ascii="仿宋_GB2312" w:hAnsi="仿宋_GB2312" w:cs="仿宋_GB2312" w:eastAsia="仿宋_GB2312"/>
                <w:sz w:val="18"/>
              </w:rPr>
              <w:t>0.1</w:t>
            </w:r>
            <w:r>
              <w:rPr>
                <w:rFonts w:ascii="仿宋_GB2312" w:hAnsi="仿宋_GB2312" w:cs="仿宋_GB2312" w:eastAsia="仿宋_GB2312"/>
              </w:rPr>
              <w:t xml:space="preserve"> </w:t>
            </w:r>
            <w:r>
              <w:rPr>
                <w:rFonts w:ascii="仿宋_GB2312" w:hAnsi="仿宋_GB2312" w:cs="仿宋_GB2312" w:eastAsia="仿宋_GB2312"/>
                <w:sz w:val="18"/>
              </w:rPr>
              <w:t>pH</w:t>
            </w:r>
          </w:p>
          <w:p>
            <w:pPr>
              <w:pStyle w:val="null3"/>
              <w:ind w:firstLine="200"/>
              <w:jc w:val="both"/>
            </w:pPr>
            <w:r>
              <w:rPr>
                <w:rFonts w:ascii="仿宋_GB2312" w:hAnsi="仿宋_GB2312" w:cs="仿宋_GB2312" w:eastAsia="仿宋_GB2312"/>
                <w:sz w:val="18"/>
              </w:rPr>
              <w:t>响应时间：</w:t>
            </w:r>
            <w:r>
              <w:rPr>
                <w:rFonts w:ascii="仿宋_GB2312" w:hAnsi="仿宋_GB2312" w:cs="仿宋_GB2312" w:eastAsia="仿宋_GB2312"/>
                <w:sz w:val="18"/>
              </w:rPr>
              <w:t>&lt;</w:t>
            </w:r>
            <w:r>
              <w:rPr>
                <w:rFonts w:ascii="仿宋_GB2312" w:hAnsi="仿宋_GB2312" w:cs="仿宋_GB2312" w:eastAsia="仿宋_GB2312"/>
              </w:rPr>
              <w:t xml:space="preserve"> </w:t>
            </w:r>
            <w:r>
              <w:rPr>
                <w:rFonts w:ascii="仿宋_GB2312" w:hAnsi="仿宋_GB2312" w:cs="仿宋_GB2312" w:eastAsia="仿宋_GB2312"/>
                <w:sz w:val="18"/>
              </w:rPr>
              <w:t>15</w:t>
            </w:r>
            <w:r>
              <w:rPr>
                <w:rFonts w:ascii="仿宋_GB2312" w:hAnsi="仿宋_GB2312" w:cs="仿宋_GB2312" w:eastAsia="仿宋_GB2312"/>
              </w:rPr>
              <w:t xml:space="preserve"> </w:t>
            </w:r>
            <w:r>
              <w:rPr>
                <w:rFonts w:ascii="仿宋_GB2312" w:hAnsi="仿宋_GB2312" w:cs="仿宋_GB2312" w:eastAsia="仿宋_GB2312"/>
                <w:sz w:val="18"/>
              </w:rPr>
              <w:t>s</w:t>
            </w:r>
          </w:p>
          <w:p>
            <w:pPr>
              <w:pStyle w:val="null3"/>
              <w:ind w:firstLine="200"/>
              <w:jc w:val="both"/>
            </w:pPr>
            <w:r>
              <w:rPr>
                <w:rFonts w:ascii="仿宋_GB2312" w:hAnsi="仿宋_GB2312" w:cs="仿宋_GB2312" w:eastAsia="仿宋_GB2312"/>
                <w:sz w:val="18"/>
              </w:rPr>
              <w:t>（</w:t>
            </w:r>
            <w:r>
              <w:rPr>
                <w:rFonts w:ascii="仿宋_GB2312" w:hAnsi="仿宋_GB2312" w:cs="仿宋_GB2312" w:eastAsia="仿宋_GB2312"/>
                <w:sz w:val="18"/>
              </w:rPr>
              <w:t>2）COD</w:t>
            </w:r>
          </w:p>
          <w:p>
            <w:pPr>
              <w:pStyle w:val="null3"/>
              <w:ind w:firstLine="200"/>
              <w:jc w:val="both"/>
            </w:pPr>
            <w:r>
              <w:rPr>
                <w:rFonts w:ascii="仿宋_GB2312" w:hAnsi="仿宋_GB2312" w:cs="仿宋_GB2312" w:eastAsia="仿宋_GB2312"/>
                <w:sz w:val="18"/>
              </w:rPr>
              <w:t>测量范围：</w:t>
            </w:r>
            <w:r>
              <w:rPr>
                <w:rFonts w:ascii="仿宋_GB2312" w:hAnsi="仿宋_GB2312" w:cs="仿宋_GB2312" w:eastAsia="仿宋_GB2312"/>
                <w:sz w:val="18"/>
              </w:rPr>
              <w:t>0-200</w:t>
            </w:r>
            <w:r>
              <w:rPr>
                <w:rFonts w:ascii="仿宋_GB2312" w:hAnsi="仿宋_GB2312" w:cs="仿宋_GB2312" w:eastAsia="仿宋_GB2312"/>
              </w:rPr>
              <w:t xml:space="preserve"> </w:t>
            </w:r>
            <w:r>
              <w:rPr>
                <w:rFonts w:ascii="仿宋_GB2312" w:hAnsi="仿宋_GB2312" w:cs="仿宋_GB2312" w:eastAsia="仿宋_GB2312"/>
                <w:sz w:val="18"/>
              </w:rPr>
              <w:t>mg/L，可扩展至0-5000</w:t>
            </w:r>
            <w:r>
              <w:rPr>
                <w:rFonts w:ascii="仿宋_GB2312" w:hAnsi="仿宋_GB2312" w:cs="仿宋_GB2312" w:eastAsia="仿宋_GB2312"/>
              </w:rPr>
              <w:t xml:space="preserve"> </w:t>
            </w:r>
            <w:r>
              <w:rPr>
                <w:rFonts w:ascii="仿宋_GB2312" w:hAnsi="仿宋_GB2312" w:cs="仿宋_GB2312" w:eastAsia="仿宋_GB2312"/>
                <w:sz w:val="18"/>
              </w:rPr>
              <w:t>mg/L</w:t>
            </w:r>
          </w:p>
          <w:p>
            <w:pPr>
              <w:pStyle w:val="null3"/>
              <w:ind w:firstLine="200"/>
              <w:jc w:val="both"/>
            </w:pPr>
            <w:r>
              <w:rPr>
                <w:rFonts w:ascii="仿宋_GB2312" w:hAnsi="仿宋_GB2312" w:cs="仿宋_GB2312" w:eastAsia="仿宋_GB2312"/>
                <w:sz w:val="18"/>
              </w:rPr>
              <w:t>示值误差：</w:t>
            </w:r>
            <w:r>
              <w:rPr>
                <w:rFonts w:ascii="仿宋_GB2312" w:hAnsi="仿宋_GB2312" w:cs="仿宋_GB2312" w:eastAsia="仿宋_GB2312"/>
                <w:sz w:val="18"/>
              </w:rPr>
              <w:t>±10%</w:t>
            </w:r>
          </w:p>
          <w:p>
            <w:pPr>
              <w:pStyle w:val="null3"/>
              <w:ind w:firstLine="200"/>
              <w:jc w:val="both"/>
            </w:pPr>
            <w:r>
              <w:rPr>
                <w:rFonts w:ascii="仿宋_GB2312" w:hAnsi="仿宋_GB2312" w:cs="仿宋_GB2312" w:eastAsia="仿宋_GB2312"/>
                <w:sz w:val="18"/>
              </w:rPr>
              <w:t>零点漂移：</w:t>
            </w:r>
            <w:r>
              <w:rPr>
                <w:rFonts w:ascii="仿宋_GB2312" w:hAnsi="仿宋_GB2312" w:cs="仿宋_GB2312" w:eastAsia="仿宋_GB2312"/>
                <w:sz w:val="18"/>
              </w:rPr>
              <w:t>±5</w:t>
            </w:r>
            <w:r>
              <w:rPr>
                <w:rFonts w:ascii="仿宋_GB2312" w:hAnsi="仿宋_GB2312" w:cs="仿宋_GB2312" w:eastAsia="仿宋_GB2312"/>
              </w:rPr>
              <w:t xml:space="preserve"> </w:t>
            </w:r>
            <w:r>
              <w:rPr>
                <w:rFonts w:ascii="仿宋_GB2312" w:hAnsi="仿宋_GB2312" w:cs="仿宋_GB2312" w:eastAsia="仿宋_GB2312"/>
                <w:sz w:val="18"/>
              </w:rPr>
              <w:t>mg/L</w:t>
            </w:r>
          </w:p>
          <w:p>
            <w:pPr>
              <w:pStyle w:val="null3"/>
              <w:ind w:firstLine="200"/>
              <w:jc w:val="both"/>
            </w:pPr>
            <w:r>
              <w:rPr>
                <w:rFonts w:ascii="仿宋_GB2312" w:hAnsi="仿宋_GB2312" w:cs="仿宋_GB2312" w:eastAsia="仿宋_GB2312"/>
                <w:sz w:val="18"/>
              </w:rPr>
              <w:t>精密度：</w:t>
            </w:r>
            <w:r>
              <w:rPr>
                <w:rFonts w:ascii="仿宋_GB2312" w:hAnsi="仿宋_GB2312" w:cs="仿宋_GB2312" w:eastAsia="仿宋_GB2312"/>
                <w:sz w:val="18"/>
              </w:rPr>
              <w:t>±10%</w:t>
            </w:r>
          </w:p>
          <w:p>
            <w:pPr>
              <w:pStyle w:val="null3"/>
              <w:ind w:firstLine="200"/>
              <w:jc w:val="both"/>
            </w:pPr>
            <w:r>
              <w:rPr>
                <w:rFonts w:ascii="仿宋_GB2312" w:hAnsi="仿宋_GB2312" w:cs="仿宋_GB2312" w:eastAsia="仿宋_GB2312"/>
                <w:sz w:val="18"/>
              </w:rPr>
              <w:t>（</w:t>
            </w:r>
            <w:r>
              <w:rPr>
                <w:rFonts w:ascii="仿宋_GB2312" w:hAnsi="仿宋_GB2312" w:cs="仿宋_GB2312" w:eastAsia="仿宋_GB2312"/>
                <w:sz w:val="18"/>
              </w:rPr>
              <w:t>3）氨氮</w:t>
            </w:r>
          </w:p>
          <w:p>
            <w:pPr>
              <w:pStyle w:val="null3"/>
              <w:ind w:firstLine="200"/>
              <w:jc w:val="both"/>
            </w:pPr>
            <w:r>
              <w:rPr>
                <w:rFonts w:ascii="仿宋_GB2312" w:hAnsi="仿宋_GB2312" w:cs="仿宋_GB2312" w:eastAsia="仿宋_GB2312"/>
                <w:sz w:val="18"/>
              </w:rPr>
              <w:t>测量范围：</w:t>
            </w:r>
            <w:r>
              <w:rPr>
                <w:rFonts w:ascii="仿宋_GB2312" w:hAnsi="仿宋_GB2312" w:cs="仿宋_GB2312" w:eastAsia="仿宋_GB2312"/>
                <w:sz w:val="18"/>
              </w:rPr>
              <w:t>0-50</w:t>
            </w:r>
            <w:r>
              <w:rPr>
                <w:rFonts w:ascii="仿宋_GB2312" w:hAnsi="仿宋_GB2312" w:cs="仿宋_GB2312" w:eastAsia="仿宋_GB2312"/>
              </w:rPr>
              <w:t xml:space="preserve"> </w:t>
            </w:r>
            <w:r>
              <w:rPr>
                <w:rFonts w:ascii="仿宋_GB2312" w:hAnsi="仿宋_GB2312" w:cs="仿宋_GB2312" w:eastAsia="仿宋_GB2312"/>
                <w:sz w:val="18"/>
              </w:rPr>
              <w:t>mg/L</w:t>
            </w:r>
          </w:p>
          <w:p>
            <w:pPr>
              <w:pStyle w:val="null3"/>
              <w:ind w:firstLine="200"/>
              <w:jc w:val="both"/>
            </w:pPr>
            <w:r>
              <w:rPr>
                <w:rFonts w:ascii="仿宋_GB2312" w:hAnsi="仿宋_GB2312" w:cs="仿宋_GB2312" w:eastAsia="仿宋_GB2312"/>
                <w:sz w:val="18"/>
              </w:rPr>
              <w:t>示值误差：</w:t>
            </w:r>
            <w:r>
              <w:rPr>
                <w:rFonts w:ascii="仿宋_GB2312" w:hAnsi="仿宋_GB2312" w:cs="仿宋_GB2312" w:eastAsia="仿宋_GB2312"/>
                <w:sz w:val="18"/>
              </w:rPr>
              <w:t>±10%</w:t>
            </w:r>
          </w:p>
          <w:p>
            <w:pPr>
              <w:pStyle w:val="null3"/>
              <w:ind w:firstLine="200"/>
              <w:jc w:val="both"/>
            </w:pPr>
            <w:r>
              <w:rPr>
                <w:rFonts w:ascii="仿宋_GB2312" w:hAnsi="仿宋_GB2312" w:cs="仿宋_GB2312" w:eastAsia="仿宋_GB2312"/>
                <w:sz w:val="18"/>
              </w:rPr>
              <w:t>精密度（重复性）：</w:t>
            </w:r>
            <w:r>
              <w:rPr>
                <w:rFonts w:ascii="仿宋_GB2312" w:hAnsi="仿宋_GB2312" w:cs="仿宋_GB2312" w:eastAsia="仿宋_GB2312"/>
                <w:sz w:val="18"/>
              </w:rPr>
              <w:t>±5%</w:t>
            </w:r>
          </w:p>
          <w:p>
            <w:pPr>
              <w:pStyle w:val="null3"/>
              <w:ind w:firstLine="200"/>
              <w:jc w:val="both"/>
            </w:pPr>
            <w:r>
              <w:rPr>
                <w:rFonts w:ascii="仿宋_GB2312" w:hAnsi="仿宋_GB2312" w:cs="仿宋_GB2312" w:eastAsia="仿宋_GB2312"/>
                <w:sz w:val="18"/>
              </w:rPr>
              <w:t>零点漂移：</w:t>
            </w:r>
            <w:r>
              <w:rPr>
                <w:rFonts w:ascii="仿宋_GB2312" w:hAnsi="仿宋_GB2312" w:cs="仿宋_GB2312" w:eastAsia="仿宋_GB2312"/>
                <w:sz w:val="18"/>
              </w:rPr>
              <w:t>±5%</w:t>
            </w:r>
          </w:p>
          <w:p>
            <w:pPr>
              <w:pStyle w:val="null3"/>
              <w:ind w:firstLine="200"/>
              <w:jc w:val="both"/>
            </w:pPr>
            <w:r>
              <w:rPr>
                <w:rFonts w:ascii="仿宋_GB2312" w:hAnsi="仿宋_GB2312" w:cs="仿宋_GB2312" w:eastAsia="仿宋_GB2312"/>
                <w:sz w:val="18"/>
              </w:rPr>
              <w:t>量程漂移：</w:t>
            </w:r>
            <w:r>
              <w:rPr>
                <w:rFonts w:ascii="仿宋_GB2312" w:hAnsi="仿宋_GB2312" w:cs="仿宋_GB2312" w:eastAsia="仿宋_GB2312"/>
                <w:sz w:val="18"/>
              </w:rPr>
              <w:t>±5%</w:t>
            </w:r>
          </w:p>
          <w:p>
            <w:pPr>
              <w:pStyle w:val="null3"/>
              <w:ind w:firstLine="200"/>
              <w:jc w:val="both"/>
            </w:pPr>
            <w:r>
              <w:rPr>
                <w:rFonts w:ascii="仿宋_GB2312" w:hAnsi="仿宋_GB2312" w:cs="仿宋_GB2312" w:eastAsia="仿宋_GB2312"/>
                <w:sz w:val="18"/>
              </w:rPr>
              <w:t>（</w:t>
            </w:r>
            <w:r>
              <w:rPr>
                <w:rFonts w:ascii="仿宋_GB2312" w:hAnsi="仿宋_GB2312" w:cs="仿宋_GB2312" w:eastAsia="仿宋_GB2312"/>
                <w:sz w:val="18"/>
              </w:rPr>
              <w:t>4）全光谱</w:t>
            </w:r>
          </w:p>
          <w:p>
            <w:pPr>
              <w:pStyle w:val="null3"/>
              <w:ind w:firstLine="200"/>
              <w:jc w:val="both"/>
            </w:pPr>
            <w:r>
              <w:rPr>
                <w:rFonts w:ascii="仿宋_GB2312" w:hAnsi="仿宋_GB2312" w:cs="仿宋_GB2312" w:eastAsia="仿宋_GB2312"/>
                <w:sz w:val="18"/>
              </w:rPr>
              <w:t>光谱分辨率：</w:t>
            </w:r>
            <w:r>
              <w:rPr>
                <w:rFonts w:ascii="仿宋_GB2312" w:hAnsi="仿宋_GB2312" w:cs="仿宋_GB2312" w:eastAsia="仿宋_GB2312"/>
                <w:sz w:val="18"/>
              </w:rPr>
              <w:t>2</w:t>
            </w:r>
            <w:r>
              <w:rPr>
                <w:rFonts w:ascii="仿宋_GB2312" w:hAnsi="仿宋_GB2312" w:cs="仿宋_GB2312" w:eastAsia="仿宋_GB2312"/>
              </w:rPr>
              <w:t xml:space="preserve"> </w:t>
            </w:r>
            <w:r>
              <w:rPr>
                <w:rFonts w:ascii="仿宋_GB2312" w:hAnsi="仿宋_GB2312" w:cs="仿宋_GB2312" w:eastAsia="仿宋_GB2312"/>
                <w:sz w:val="18"/>
              </w:rPr>
              <w:t>nm</w:t>
            </w:r>
          </w:p>
          <w:p>
            <w:pPr>
              <w:pStyle w:val="null3"/>
              <w:ind w:firstLine="200"/>
              <w:jc w:val="both"/>
            </w:pPr>
            <w:r>
              <w:rPr>
                <w:rFonts w:ascii="仿宋_GB2312" w:hAnsi="仿宋_GB2312" w:cs="仿宋_GB2312" w:eastAsia="仿宋_GB2312"/>
                <w:sz w:val="18"/>
              </w:rPr>
              <w:t>光谱覆盖范围：</w:t>
            </w:r>
            <w:r>
              <w:rPr>
                <w:rFonts w:ascii="仿宋_GB2312" w:hAnsi="仿宋_GB2312" w:cs="仿宋_GB2312" w:eastAsia="仿宋_GB2312"/>
                <w:sz w:val="18"/>
              </w:rPr>
              <w:t>202nm-712</w:t>
            </w:r>
            <w:r>
              <w:rPr>
                <w:rFonts w:ascii="仿宋_GB2312" w:hAnsi="仿宋_GB2312" w:cs="仿宋_GB2312" w:eastAsia="仿宋_GB2312"/>
              </w:rPr>
              <w:t xml:space="preserve"> </w:t>
            </w:r>
            <w:r>
              <w:rPr>
                <w:rFonts w:ascii="仿宋_GB2312" w:hAnsi="仿宋_GB2312" w:cs="仿宋_GB2312" w:eastAsia="仿宋_GB2312"/>
                <w:sz w:val="18"/>
              </w:rPr>
              <w:t>nm</w:t>
            </w:r>
          </w:p>
          <w:p>
            <w:pPr>
              <w:pStyle w:val="null3"/>
              <w:ind w:firstLine="200"/>
              <w:jc w:val="both"/>
            </w:pPr>
            <w:r>
              <w:rPr>
                <w:rFonts w:ascii="仿宋_GB2312" w:hAnsi="仿宋_GB2312" w:cs="仿宋_GB2312" w:eastAsia="仿宋_GB2312"/>
                <w:sz w:val="18"/>
              </w:rPr>
              <w:t>波长示值误差：</w:t>
            </w:r>
            <w:r>
              <w:rPr>
                <w:rFonts w:ascii="仿宋_GB2312" w:hAnsi="仿宋_GB2312" w:cs="仿宋_GB2312" w:eastAsia="仿宋_GB2312"/>
                <w:sz w:val="18"/>
              </w:rPr>
              <w:t>±2</w:t>
            </w:r>
            <w:r>
              <w:rPr>
                <w:rFonts w:ascii="仿宋_GB2312" w:hAnsi="仿宋_GB2312" w:cs="仿宋_GB2312" w:eastAsia="仿宋_GB2312"/>
              </w:rPr>
              <w:t xml:space="preserve"> </w:t>
            </w:r>
            <w:r>
              <w:rPr>
                <w:rFonts w:ascii="仿宋_GB2312" w:hAnsi="仿宋_GB2312" w:cs="仿宋_GB2312" w:eastAsia="仿宋_GB2312"/>
                <w:sz w:val="18"/>
              </w:rPr>
              <w:t>nm</w:t>
            </w:r>
          </w:p>
          <w:p>
            <w:pPr>
              <w:pStyle w:val="null3"/>
              <w:ind w:firstLine="200"/>
              <w:jc w:val="both"/>
            </w:pPr>
            <w:r>
              <w:rPr>
                <w:rFonts w:ascii="仿宋_GB2312" w:hAnsi="仿宋_GB2312" w:cs="仿宋_GB2312" w:eastAsia="仿宋_GB2312"/>
                <w:sz w:val="18"/>
              </w:rPr>
              <w:t>波长重复性：</w:t>
            </w:r>
            <w:r>
              <w:rPr>
                <w:rFonts w:ascii="仿宋_GB2312" w:hAnsi="仿宋_GB2312" w:cs="仿宋_GB2312" w:eastAsia="仿宋_GB2312"/>
                <w:sz w:val="18"/>
              </w:rPr>
              <w:t>±2nm</w:t>
            </w:r>
          </w:p>
          <w:p>
            <w:pPr>
              <w:pStyle w:val="null3"/>
              <w:ind w:firstLine="200"/>
              <w:jc w:val="both"/>
            </w:pPr>
            <w:r>
              <w:rPr>
                <w:rFonts w:ascii="仿宋_GB2312" w:hAnsi="仿宋_GB2312" w:cs="仿宋_GB2312" w:eastAsia="仿宋_GB2312"/>
                <w:sz w:val="18"/>
              </w:rPr>
              <w:t>测量周期：</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30</w:t>
            </w:r>
            <w:r>
              <w:rPr>
                <w:rFonts w:ascii="仿宋_GB2312" w:hAnsi="仿宋_GB2312" w:cs="仿宋_GB2312" w:eastAsia="仿宋_GB2312"/>
              </w:rPr>
              <w:t xml:space="preserve"> </w:t>
            </w:r>
            <w:r>
              <w:rPr>
                <w:rFonts w:ascii="仿宋_GB2312" w:hAnsi="仿宋_GB2312" w:cs="仿宋_GB2312" w:eastAsia="仿宋_GB2312"/>
                <w:sz w:val="18"/>
              </w:rPr>
              <w:t>min（可调）</w:t>
            </w:r>
          </w:p>
          <w:p>
            <w:pPr>
              <w:pStyle w:val="null3"/>
              <w:ind w:firstLine="200"/>
              <w:jc w:val="both"/>
            </w:pPr>
            <w:r>
              <w:rPr>
                <w:rFonts w:ascii="仿宋_GB2312" w:hAnsi="仿宋_GB2312" w:cs="仿宋_GB2312" w:eastAsia="仿宋_GB2312"/>
                <w:sz w:val="18"/>
              </w:rPr>
              <w:t>环境要求：温度：</w:t>
            </w:r>
            <w:r>
              <w:rPr>
                <w:rFonts w:ascii="仿宋_GB2312" w:hAnsi="仿宋_GB2312" w:cs="仿宋_GB2312" w:eastAsia="仿宋_GB2312"/>
                <w:sz w:val="18"/>
              </w:rPr>
              <w:t>0-40℃；湿度：≤</w:t>
            </w:r>
            <w:r>
              <w:rPr>
                <w:rFonts w:ascii="仿宋_GB2312" w:hAnsi="仿宋_GB2312" w:cs="仿宋_GB2312" w:eastAsia="仿宋_GB2312"/>
              </w:rPr>
              <w:t xml:space="preserve"> </w:t>
            </w:r>
            <w:r>
              <w:rPr>
                <w:rFonts w:ascii="仿宋_GB2312" w:hAnsi="仿宋_GB2312" w:cs="仿宋_GB2312" w:eastAsia="仿宋_GB2312"/>
                <w:sz w:val="18"/>
              </w:rPr>
              <w:t>90%</w:t>
            </w:r>
          </w:p>
          <w:p>
            <w:pPr>
              <w:pStyle w:val="null3"/>
              <w:ind w:firstLine="200"/>
              <w:jc w:val="both"/>
            </w:pPr>
            <w:r>
              <w:rPr>
                <w:rFonts w:ascii="仿宋_GB2312" w:hAnsi="仿宋_GB2312" w:cs="仿宋_GB2312" w:eastAsia="仿宋_GB2312"/>
                <w:sz w:val="18"/>
              </w:rPr>
              <w:t>工作电源：</w:t>
            </w:r>
            <w:r>
              <w:rPr>
                <w:rFonts w:ascii="仿宋_GB2312" w:hAnsi="仿宋_GB2312" w:cs="仿宋_GB2312" w:eastAsia="仿宋_GB2312"/>
                <w:sz w:val="18"/>
              </w:rPr>
              <w:t>90</w:t>
            </w:r>
            <w:r>
              <w:rPr>
                <w:rFonts w:ascii="仿宋_GB2312" w:hAnsi="仿宋_GB2312" w:cs="仿宋_GB2312" w:eastAsia="仿宋_GB2312"/>
              </w:rPr>
              <w:t xml:space="preserve"> </w:t>
            </w:r>
            <w:r>
              <w:rPr>
                <w:rFonts w:ascii="仿宋_GB2312" w:hAnsi="仿宋_GB2312" w:cs="仿宋_GB2312" w:eastAsia="仿宋_GB2312"/>
                <w:sz w:val="18"/>
              </w:rPr>
              <w:t>V-250</w:t>
            </w:r>
            <w:r>
              <w:rPr>
                <w:rFonts w:ascii="仿宋_GB2312" w:hAnsi="仿宋_GB2312" w:cs="仿宋_GB2312" w:eastAsia="仿宋_GB2312"/>
              </w:rPr>
              <w:t xml:space="preserve"> </w:t>
            </w:r>
            <w:r>
              <w:rPr>
                <w:rFonts w:ascii="仿宋_GB2312" w:hAnsi="仿宋_GB2312" w:cs="仿宋_GB2312" w:eastAsia="仿宋_GB2312"/>
                <w:sz w:val="18"/>
              </w:rPr>
              <w:t>V，50</w:t>
            </w:r>
            <w:r>
              <w:rPr>
                <w:rFonts w:ascii="仿宋_GB2312" w:hAnsi="仿宋_GB2312" w:cs="仿宋_GB2312" w:eastAsia="仿宋_GB2312"/>
              </w:rPr>
              <w:t xml:space="preserve"> </w:t>
            </w:r>
            <w:r>
              <w:rPr>
                <w:rFonts w:ascii="仿宋_GB2312" w:hAnsi="仿宋_GB2312" w:cs="仿宋_GB2312" w:eastAsia="仿宋_GB2312"/>
                <w:sz w:val="18"/>
              </w:rPr>
              <w:t>Hz±10%</w:t>
            </w:r>
          </w:p>
          <w:p>
            <w:pPr>
              <w:pStyle w:val="null3"/>
              <w:ind w:firstLine="200"/>
              <w:jc w:val="both"/>
            </w:pPr>
            <w:r>
              <w:rPr>
                <w:rFonts w:ascii="仿宋_GB2312" w:hAnsi="仿宋_GB2312" w:cs="仿宋_GB2312" w:eastAsia="仿宋_GB2312"/>
                <w:sz w:val="18"/>
              </w:rPr>
              <w:t>数字接口：</w:t>
            </w:r>
            <w:r>
              <w:rPr>
                <w:rFonts w:ascii="仿宋_GB2312" w:hAnsi="仿宋_GB2312" w:cs="仿宋_GB2312" w:eastAsia="仿宋_GB2312"/>
                <w:sz w:val="18"/>
              </w:rPr>
              <w:t>MODBUS通讯协议RS232/RS485；</w:t>
            </w:r>
          </w:p>
          <w:p>
            <w:pPr>
              <w:pStyle w:val="null3"/>
              <w:ind w:firstLine="200"/>
              <w:jc w:val="both"/>
            </w:pPr>
            <w:r>
              <w:rPr>
                <w:rFonts w:ascii="仿宋_GB2312" w:hAnsi="仿宋_GB2312" w:cs="仿宋_GB2312" w:eastAsia="仿宋_GB2312"/>
                <w:sz w:val="18"/>
              </w:rPr>
              <w:t>网络接口：</w:t>
            </w:r>
            <w:r>
              <w:rPr>
                <w:rFonts w:ascii="仿宋_GB2312" w:hAnsi="仿宋_GB2312" w:cs="仿宋_GB2312" w:eastAsia="仿宋_GB2312"/>
                <w:sz w:val="18"/>
              </w:rPr>
              <w:t>RJ45</w:t>
            </w:r>
          </w:p>
          <w:p>
            <w:pPr>
              <w:pStyle w:val="null3"/>
              <w:ind w:firstLine="200"/>
              <w:jc w:val="both"/>
            </w:pPr>
            <w:r>
              <w:rPr>
                <w:rFonts w:ascii="仿宋_GB2312" w:hAnsi="仿宋_GB2312" w:cs="仿宋_GB2312" w:eastAsia="仿宋_GB2312"/>
                <w:sz w:val="18"/>
              </w:rPr>
              <w:t>模拟信号：</w:t>
            </w:r>
            <w:r>
              <w:rPr>
                <w:rFonts w:ascii="仿宋_GB2312" w:hAnsi="仿宋_GB2312" w:cs="仿宋_GB2312" w:eastAsia="仿宋_GB2312"/>
                <w:sz w:val="18"/>
              </w:rPr>
              <w:t>4-20</w:t>
            </w:r>
            <w:r>
              <w:rPr>
                <w:rFonts w:ascii="仿宋_GB2312" w:hAnsi="仿宋_GB2312" w:cs="仿宋_GB2312" w:eastAsia="仿宋_GB2312"/>
              </w:rPr>
              <w:t xml:space="preserve"> </w:t>
            </w:r>
            <w:r>
              <w:rPr>
                <w:rFonts w:ascii="仿宋_GB2312" w:hAnsi="仿宋_GB2312" w:cs="仿宋_GB2312" w:eastAsia="仿宋_GB2312"/>
                <w:sz w:val="18"/>
              </w:rPr>
              <w:t>mA</w:t>
            </w:r>
          </w:p>
          <w:p>
            <w:pPr>
              <w:pStyle w:val="null3"/>
              <w:ind w:firstLine="200"/>
              <w:jc w:val="both"/>
            </w:pPr>
            <w:r>
              <w:rPr>
                <w:rFonts w:ascii="仿宋_GB2312" w:hAnsi="仿宋_GB2312" w:cs="仿宋_GB2312" w:eastAsia="仿宋_GB2312"/>
                <w:sz w:val="18"/>
              </w:rPr>
              <w:t>（</w:t>
            </w:r>
            <w:r>
              <w:rPr>
                <w:rFonts w:ascii="仿宋_GB2312" w:hAnsi="仿宋_GB2312" w:cs="仿宋_GB2312" w:eastAsia="仿宋_GB2312"/>
                <w:sz w:val="18"/>
              </w:rPr>
              <w:t>5）总氮（光学法）</w:t>
            </w:r>
          </w:p>
          <w:p>
            <w:pPr>
              <w:pStyle w:val="null3"/>
              <w:ind w:firstLine="200"/>
              <w:jc w:val="both"/>
            </w:pPr>
            <w:r>
              <w:rPr>
                <w:rFonts w:ascii="仿宋_GB2312" w:hAnsi="仿宋_GB2312" w:cs="仿宋_GB2312" w:eastAsia="仿宋_GB2312"/>
                <w:sz w:val="18"/>
              </w:rPr>
              <w:t>测定最小范围：</w:t>
            </w:r>
            <w:r>
              <w:rPr>
                <w:rFonts w:ascii="仿宋_GB2312" w:hAnsi="仿宋_GB2312" w:cs="仿宋_GB2312" w:eastAsia="仿宋_GB2312"/>
                <w:sz w:val="18"/>
              </w:rPr>
              <w:t>0~100</w:t>
            </w:r>
            <w:r>
              <w:rPr>
                <w:rFonts w:ascii="仿宋_GB2312" w:hAnsi="仿宋_GB2312" w:cs="仿宋_GB2312" w:eastAsia="仿宋_GB2312"/>
              </w:rPr>
              <w:t xml:space="preserve"> </w:t>
            </w:r>
            <w:r>
              <w:rPr>
                <w:rFonts w:ascii="仿宋_GB2312" w:hAnsi="仿宋_GB2312" w:cs="仿宋_GB2312" w:eastAsia="仿宋_GB2312"/>
                <w:sz w:val="18"/>
              </w:rPr>
              <w:t>mg/L</w:t>
            </w:r>
          </w:p>
          <w:p>
            <w:pPr>
              <w:pStyle w:val="null3"/>
              <w:ind w:firstLine="200"/>
              <w:jc w:val="both"/>
            </w:pPr>
            <w:r>
              <w:rPr>
                <w:rFonts w:ascii="仿宋_GB2312" w:hAnsi="仿宋_GB2312" w:cs="仿宋_GB2312" w:eastAsia="仿宋_GB2312"/>
                <w:sz w:val="18"/>
              </w:rPr>
              <w:t>工作电压为单相（</w:t>
            </w:r>
            <w:r>
              <w:rPr>
                <w:rFonts w:ascii="仿宋_GB2312" w:hAnsi="仿宋_GB2312" w:cs="仿宋_GB2312" w:eastAsia="仿宋_GB2312"/>
                <w:sz w:val="18"/>
              </w:rPr>
              <w:t>220±20）V，频率为（50±0.5）Hz</w:t>
            </w:r>
          </w:p>
          <w:p>
            <w:pPr>
              <w:pStyle w:val="null3"/>
              <w:ind w:firstLine="200"/>
              <w:jc w:val="both"/>
            </w:pPr>
            <w:r>
              <w:rPr>
                <w:rFonts w:ascii="仿宋_GB2312" w:hAnsi="仿宋_GB2312" w:cs="仿宋_GB2312" w:eastAsia="仿宋_GB2312"/>
                <w:sz w:val="18"/>
              </w:rPr>
              <w:t>重复性：</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±15%</w:t>
            </w:r>
          </w:p>
          <w:p>
            <w:pPr>
              <w:pStyle w:val="null3"/>
              <w:ind w:firstLine="200"/>
              <w:jc w:val="both"/>
            </w:pPr>
            <w:r>
              <w:rPr>
                <w:rFonts w:ascii="仿宋_GB2312" w:hAnsi="仿宋_GB2312" w:cs="仿宋_GB2312" w:eastAsia="仿宋_GB2312"/>
                <w:sz w:val="18"/>
              </w:rPr>
              <w:t>零点漂移：</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±10%</w:t>
            </w:r>
          </w:p>
          <w:p>
            <w:pPr>
              <w:pStyle w:val="null3"/>
              <w:ind w:firstLine="200"/>
              <w:jc w:val="both"/>
            </w:pPr>
            <w:r>
              <w:rPr>
                <w:rFonts w:ascii="仿宋_GB2312" w:hAnsi="仿宋_GB2312" w:cs="仿宋_GB2312" w:eastAsia="仿宋_GB2312"/>
                <w:sz w:val="18"/>
              </w:rPr>
              <w:t>量程漂移：</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±15%</w:t>
            </w:r>
          </w:p>
          <w:p>
            <w:pPr>
              <w:pStyle w:val="null3"/>
              <w:ind w:firstLine="200"/>
              <w:jc w:val="both"/>
            </w:pPr>
            <w:r>
              <w:rPr>
                <w:rFonts w:ascii="仿宋_GB2312" w:hAnsi="仿宋_GB2312" w:cs="仿宋_GB2312" w:eastAsia="仿宋_GB2312"/>
                <w:sz w:val="18"/>
              </w:rPr>
              <w:t>（</w:t>
            </w:r>
            <w:r>
              <w:rPr>
                <w:rFonts w:ascii="仿宋_GB2312" w:hAnsi="仿宋_GB2312" w:cs="仿宋_GB2312" w:eastAsia="仿宋_GB2312"/>
                <w:sz w:val="18"/>
              </w:rPr>
              <w:t>6）高锰酸盐指数</w:t>
            </w:r>
          </w:p>
          <w:p>
            <w:pPr>
              <w:pStyle w:val="null3"/>
              <w:ind w:firstLine="200"/>
              <w:jc w:val="both"/>
            </w:pPr>
            <w:r>
              <w:rPr>
                <w:rFonts w:ascii="仿宋_GB2312" w:hAnsi="仿宋_GB2312" w:cs="仿宋_GB2312" w:eastAsia="仿宋_GB2312"/>
                <w:sz w:val="18"/>
              </w:rPr>
              <w:t>测量范围：</w:t>
            </w:r>
            <w:r>
              <w:rPr>
                <w:rFonts w:ascii="仿宋_GB2312" w:hAnsi="仿宋_GB2312" w:cs="仿宋_GB2312" w:eastAsia="仿宋_GB2312"/>
                <w:sz w:val="18"/>
              </w:rPr>
              <w:t>0-50</w:t>
            </w:r>
            <w:r>
              <w:rPr>
                <w:rFonts w:ascii="仿宋_GB2312" w:hAnsi="仿宋_GB2312" w:cs="仿宋_GB2312" w:eastAsia="仿宋_GB2312"/>
              </w:rPr>
              <w:t xml:space="preserve"> </w:t>
            </w:r>
            <w:r>
              <w:rPr>
                <w:rFonts w:ascii="仿宋_GB2312" w:hAnsi="仿宋_GB2312" w:cs="仿宋_GB2312" w:eastAsia="仿宋_GB2312"/>
                <w:sz w:val="18"/>
              </w:rPr>
              <w:t>mg/L（可扩展）</w:t>
            </w:r>
          </w:p>
          <w:p>
            <w:pPr>
              <w:pStyle w:val="null3"/>
              <w:ind w:firstLine="200"/>
              <w:jc w:val="both"/>
            </w:pPr>
            <w:r>
              <w:rPr>
                <w:rFonts w:ascii="仿宋_GB2312" w:hAnsi="仿宋_GB2312" w:cs="仿宋_GB2312" w:eastAsia="仿宋_GB2312"/>
                <w:sz w:val="18"/>
              </w:rPr>
              <w:t>重复性：</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±5%</w:t>
            </w:r>
          </w:p>
          <w:p>
            <w:pPr>
              <w:pStyle w:val="null3"/>
              <w:ind w:firstLine="200"/>
              <w:jc w:val="both"/>
            </w:pPr>
            <w:r>
              <w:rPr>
                <w:rFonts w:ascii="仿宋_GB2312" w:hAnsi="仿宋_GB2312" w:cs="仿宋_GB2312" w:eastAsia="仿宋_GB2312"/>
                <w:sz w:val="18"/>
              </w:rPr>
              <w:t>示值误差：</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±10%</w:t>
            </w:r>
          </w:p>
          <w:p>
            <w:pPr>
              <w:pStyle w:val="null3"/>
              <w:ind w:firstLine="200"/>
              <w:jc w:val="both"/>
            </w:pPr>
            <w:r>
              <w:rPr>
                <w:rFonts w:ascii="仿宋_GB2312" w:hAnsi="仿宋_GB2312" w:cs="仿宋_GB2312" w:eastAsia="仿宋_GB2312"/>
                <w:sz w:val="18"/>
              </w:rPr>
              <w:t>一致性：</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±5%</w:t>
            </w:r>
          </w:p>
          <w:p>
            <w:pPr>
              <w:pStyle w:val="null3"/>
              <w:ind w:firstLine="200"/>
              <w:jc w:val="both"/>
            </w:pPr>
            <w:r>
              <w:rPr>
                <w:rFonts w:ascii="仿宋_GB2312" w:hAnsi="仿宋_GB2312" w:cs="仿宋_GB2312" w:eastAsia="仿宋_GB2312"/>
                <w:sz w:val="18"/>
              </w:rPr>
              <w:t>零点漂移：</w:t>
            </w:r>
            <w:r>
              <w:rPr>
                <w:rFonts w:ascii="仿宋_GB2312" w:hAnsi="仿宋_GB2312" w:cs="仿宋_GB2312" w:eastAsia="仿宋_GB2312"/>
                <w:sz w:val="18"/>
              </w:rPr>
              <w:t>≤±5%</w:t>
            </w:r>
          </w:p>
          <w:p>
            <w:pPr>
              <w:pStyle w:val="null3"/>
              <w:ind w:firstLine="200"/>
              <w:jc w:val="both"/>
            </w:pPr>
            <w:r>
              <w:rPr>
                <w:rFonts w:ascii="仿宋_GB2312" w:hAnsi="仿宋_GB2312" w:cs="仿宋_GB2312" w:eastAsia="仿宋_GB2312"/>
                <w:sz w:val="18"/>
              </w:rPr>
              <w:t>量程漂移：</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±5%</w:t>
            </w:r>
          </w:p>
          <w:p>
            <w:pPr>
              <w:pStyle w:val="null3"/>
              <w:ind w:firstLine="200"/>
              <w:jc w:val="both"/>
            </w:pPr>
            <w:r>
              <w:rPr>
                <w:rFonts w:ascii="仿宋_GB2312" w:hAnsi="仿宋_GB2312" w:cs="仿宋_GB2312" w:eastAsia="仿宋_GB2312"/>
                <w:sz w:val="18"/>
              </w:rPr>
              <w:t>葡萄糖试验：</w:t>
            </w:r>
            <w:r>
              <w:rPr>
                <w:rFonts w:ascii="仿宋_GB2312" w:hAnsi="仿宋_GB2312" w:cs="仿宋_GB2312" w:eastAsia="仿宋_GB2312"/>
                <w:sz w:val="18"/>
              </w:rPr>
              <w:t>±5%（测量误差）</w:t>
            </w:r>
          </w:p>
          <w:p>
            <w:pPr>
              <w:pStyle w:val="null3"/>
              <w:ind w:firstLine="200"/>
              <w:jc w:val="both"/>
            </w:pPr>
            <w:r>
              <w:rPr>
                <w:rFonts w:ascii="仿宋_GB2312" w:hAnsi="仿宋_GB2312" w:cs="仿宋_GB2312" w:eastAsia="仿宋_GB2312"/>
                <w:sz w:val="18"/>
              </w:rPr>
              <w:t>实际水样比对试验：</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±20%</w:t>
            </w:r>
          </w:p>
          <w:p>
            <w:pPr>
              <w:pStyle w:val="null3"/>
              <w:ind w:firstLine="200"/>
              <w:jc w:val="both"/>
            </w:pPr>
            <w:r>
              <w:rPr>
                <w:rFonts w:ascii="仿宋_GB2312" w:hAnsi="仿宋_GB2312" w:cs="仿宋_GB2312" w:eastAsia="仿宋_GB2312"/>
                <w:sz w:val="18"/>
              </w:rPr>
              <w:t>检出限：</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0.5</w:t>
            </w:r>
            <w:r>
              <w:rPr>
                <w:rFonts w:ascii="仿宋_GB2312" w:hAnsi="仿宋_GB2312" w:cs="仿宋_GB2312" w:eastAsia="仿宋_GB2312"/>
              </w:rPr>
              <w:t xml:space="preserve"> </w:t>
            </w:r>
            <w:r>
              <w:rPr>
                <w:rFonts w:ascii="仿宋_GB2312" w:hAnsi="仿宋_GB2312" w:cs="仿宋_GB2312" w:eastAsia="仿宋_GB2312"/>
                <w:sz w:val="18"/>
              </w:rPr>
              <w:t>mg/L</w:t>
            </w:r>
          </w:p>
          <w:p>
            <w:pPr>
              <w:pStyle w:val="null3"/>
              <w:ind w:firstLine="200"/>
              <w:jc w:val="both"/>
            </w:pPr>
            <w:r>
              <w:rPr>
                <w:rFonts w:ascii="仿宋_GB2312" w:hAnsi="仿宋_GB2312" w:cs="仿宋_GB2312" w:eastAsia="仿宋_GB2312"/>
                <w:sz w:val="18"/>
              </w:rPr>
              <w:t>测量周期：小于</w:t>
            </w:r>
            <w:r>
              <w:rPr>
                <w:rFonts w:ascii="仿宋_GB2312" w:hAnsi="仿宋_GB2312" w:cs="仿宋_GB2312" w:eastAsia="仿宋_GB2312"/>
                <w:sz w:val="18"/>
              </w:rPr>
              <w:t>1</w:t>
            </w:r>
            <w:r>
              <w:rPr>
                <w:rFonts w:ascii="仿宋_GB2312" w:hAnsi="仿宋_GB2312" w:cs="仿宋_GB2312" w:eastAsia="仿宋_GB2312"/>
              </w:rPr>
              <w:t xml:space="preserve"> </w:t>
            </w:r>
            <w:r>
              <w:rPr>
                <w:rFonts w:ascii="仿宋_GB2312" w:hAnsi="仿宋_GB2312" w:cs="仿宋_GB2312" w:eastAsia="仿宋_GB2312"/>
                <w:sz w:val="18"/>
              </w:rPr>
              <w:t>min</w:t>
            </w:r>
          </w:p>
          <w:p>
            <w:pPr>
              <w:pStyle w:val="null3"/>
              <w:ind w:firstLine="200"/>
              <w:jc w:val="both"/>
            </w:pPr>
            <w:r>
              <w:rPr>
                <w:rFonts w:ascii="仿宋_GB2312" w:hAnsi="仿宋_GB2312" w:cs="仿宋_GB2312" w:eastAsia="仿宋_GB2312"/>
                <w:sz w:val="18"/>
              </w:rPr>
              <w:t>MTBF：≥</w:t>
            </w:r>
            <w:r>
              <w:rPr>
                <w:rFonts w:ascii="仿宋_GB2312" w:hAnsi="仿宋_GB2312" w:cs="仿宋_GB2312" w:eastAsia="仿宋_GB2312"/>
              </w:rPr>
              <w:t xml:space="preserve"> </w:t>
            </w:r>
            <w:r>
              <w:rPr>
                <w:rFonts w:ascii="仿宋_GB2312" w:hAnsi="仿宋_GB2312" w:cs="仿宋_GB2312" w:eastAsia="仿宋_GB2312"/>
                <w:sz w:val="18"/>
              </w:rPr>
              <w:t>720</w:t>
            </w:r>
            <w:r>
              <w:rPr>
                <w:rFonts w:ascii="仿宋_GB2312" w:hAnsi="仿宋_GB2312" w:cs="仿宋_GB2312" w:eastAsia="仿宋_GB2312"/>
              </w:rPr>
              <w:t xml:space="preserve"> </w:t>
            </w:r>
            <w:r>
              <w:rPr>
                <w:rFonts w:ascii="仿宋_GB2312" w:hAnsi="仿宋_GB2312" w:cs="仿宋_GB2312" w:eastAsia="仿宋_GB2312"/>
                <w:sz w:val="18"/>
              </w:rPr>
              <w:t>h/次</w:t>
            </w:r>
          </w:p>
          <w:p>
            <w:pPr>
              <w:pStyle w:val="null3"/>
              <w:ind w:firstLine="200"/>
              <w:jc w:val="both"/>
            </w:pPr>
            <w:r>
              <w:rPr>
                <w:rFonts w:ascii="仿宋_GB2312" w:hAnsi="仿宋_GB2312" w:cs="仿宋_GB2312" w:eastAsia="仿宋_GB2312"/>
                <w:sz w:val="18"/>
              </w:rPr>
              <w:t>废液收集：无废液产生</w:t>
            </w:r>
          </w:p>
          <w:p>
            <w:pPr>
              <w:pStyle w:val="null3"/>
              <w:ind w:firstLine="200"/>
              <w:jc w:val="both"/>
            </w:pPr>
            <w:r>
              <w:rPr>
                <w:rFonts w:ascii="仿宋_GB2312" w:hAnsi="仿宋_GB2312" w:cs="仿宋_GB2312" w:eastAsia="仿宋_GB2312"/>
                <w:sz w:val="18"/>
              </w:rPr>
              <w:t>检测方式：检测池</w:t>
            </w:r>
          </w:p>
          <w:p>
            <w:pPr>
              <w:pStyle w:val="null3"/>
              <w:ind w:firstLine="200"/>
              <w:jc w:val="both"/>
            </w:pPr>
            <w:r>
              <w:rPr>
                <w:rFonts w:ascii="仿宋_GB2312" w:hAnsi="仿宋_GB2312" w:cs="仿宋_GB2312" w:eastAsia="仿宋_GB2312"/>
                <w:sz w:val="18"/>
              </w:rPr>
              <w:t>1.1.3</w:t>
            </w:r>
            <w:r>
              <w:rPr>
                <w:rFonts w:ascii="仿宋_GB2312" w:hAnsi="仿宋_GB2312" w:cs="仿宋_GB2312" w:eastAsia="仿宋_GB2312"/>
              </w:rPr>
              <w:t xml:space="preserve"> </w:t>
            </w:r>
            <w:r>
              <w:rPr>
                <w:rFonts w:ascii="仿宋_GB2312" w:hAnsi="仿宋_GB2312" w:cs="仿宋_GB2312" w:eastAsia="仿宋_GB2312"/>
                <w:sz w:val="18"/>
              </w:rPr>
              <w:t>设备运维要求</w:t>
            </w:r>
          </w:p>
          <w:p>
            <w:pPr>
              <w:pStyle w:val="null3"/>
              <w:ind w:firstLine="200"/>
              <w:jc w:val="both"/>
            </w:pPr>
            <w:r>
              <w:rPr>
                <w:rFonts w:ascii="仿宋_GB2312" w:hAnsi="仿宋_GB2312" w:cs="仿宋_GB2312" w:eastAsia="仿宋_GB2312"/>
                <w:sz w:val="18"/>
              </w:rPr>
              <w:t>对</w:t>
            </w:r>
            <w:r>
              <w:rPr>
                <w:rFonts w:ascii="仿宋_GB2312" w:hAnsi="仿宋_GB2312" w:cs="仿宋_GB2312" w:eastAsia="仿宋_GB2312"/>
                <w:sz w:val="18"/>
              </w:rPr>
              <w:t xml:space="preserve">42 </w:t>
            </w:r>
            <w:r>
              <w:rPr>
                <w:rFonts w:ascii="仿宋_GB2312" w:hAnsi="仿宋_GB2312" w:cs="仿宋_GB2312" w:eastAsia="仿宋_GB2312"/>
                <w:sz w:val="18"/>
              </w:rPr>
              <w:t>台高密度微型</w:t>
            </w:r>
            <w:r>
              <w:rPr>
                <w:rFonts w:ascii="仿宋_GB2312" w:hAnsi="仿宋_GB2312" w:cs="仿宋_GB2312" w:eastAsia="仿宋_GB2312"/>
                <w:sz w:val="18"/>
              </w:rPr>
              <w:t>[</w:t>
            </w:r>
            <w:r>
              <w:rPr>
                <w:rFonts w:ascii="仿宋_GB2312" w:hAnsi="仿宋_GB2312" w:cs="仿宋_GB2312" w:eastAsia="仿宋_GB2312"/>
                <w:sz w:val="18"/>
              </w:rPr>
              <w:t>全光谱谱图、总氮（光学法）、</w:t>
            </w:r>
            <w:r>
              <w:rPr>
                <w:rFonts w:ascii="仿宋_GB2312" w:hAnsi="仿宋_GB2312" w:cs="仿宋_GB2312" w:eastAsia="仿宋_GB2312"/>
                <w:sz w:val="18"/>
              </w:rPr>
              <w:t>COD/</w:t>
            </w:r>
            <w:r>
              <w:rPr>
                <w:rFonts w:ascii="仿宋_GB2312" w:hAnsi="仿宋_GB2312" w:cs="仿宋_GB2312" w:eastAsia="仿宋_GB2312"/>
                <w:sz w:val="18"/>
              </w:rPr>
              <w:t>高锰酸盐指数、氨氮、</w:t>
            </w:r>
            <w:r>
              <w:rPr>
                <w:rFonts w:ascii="仿宋_GB2312" w:hAnsi="仿宋_GB2312" w:cs="仿宋_GB2312" w:eastAsia="仿宋_GB2312"/>
                <w:sz w:val="18"/>
              </w:rPr>
              <w:t>pH]</w:t>
            </w:r>
            <w:r>
              <w:rPr>
                <w:rFonts w:ascii="仿宋_GB2312" w:hAnsi="仿宋_GB2312" w:cs="仿宋_GB2312" w:eastAsia="仿宋_GB2312"/>
                <w:sz w:val="18"/>
              </w:rPr>
              <w:t>多参数水质检测设备进行运行维护工作，包括设备维护、现场巡检、定期校准、故障处理、运维记录等工作，全力保证设备正常平稳运行，监测数据实时正常上传。具体工作如下：每季度开展一次巡查：运维期间每三个月对系统进行一次巡查，根据巡查结果对分析仪器进行校准，保证设备稳定运行，防止因出现漂移等情况影响数据真实可靠。每年度检修保养一次：运行维护人员每年对全套系统进行一次全面检查和保养，对出现老化的部件进行更换。</w:t>
            </w:r>
          </w:p>
          <w:p>
            <w:pPr>
              <w:pStyle w:val="null3"/>
              <w:ind w:firstLine="200"/>
              <w:jc w:val="both"/>
            </w:pPr>
            <w:r>
              <w:rPr>
                <w:rFonts w:ascii="仿宋_GB2312" w:hAnsi="仿宋_GB2312" w:cs="仿宋_GB2312" w:eastAsia="仿宋_GB2312"/>
                <w:sz w:val="18"/>
              </w:rPr>
              <w:t>故障维修：当设备出现故障，必须在</w:t>
            </w:r>
            <w:r>
              <w:rPr>
                <w:rFonts w:ascii="仿宋_GB2312" w:hAnsi="仿宋_GB2312" w:cs="仿宋_GB2312" w:eastAsia="仿宋_GB2312"/>
                <w:sz w:val="18"/>
              </w:rPr>
              <w:t xml:space="preserve">4 </w:t>
            </w:r>
            <w:r>
              <w:rPr>
                <w:rFonts w:ascii="仿宋_GB2312" w:hAnsi="仿宋_GB2312" w:cs="仿宋_GB2312" w:eastAsia="仿宋_GB2312"/>
                <w:sz w:val="18"/>
              </w:rPr>
              <w:t>小时之内响应，</w:t>
            </w:r>
            <w:r>
              <w:rPr>
                <w:rFonts w:ascii="仿宋_GB2312" w:hAnsi="仿宋_GB2312" w:cs="仿宋_GB2312" w:eastAsia="仿宋_GB2312"/>
                <w:sz w:val="18"/>
              </w:rPr>
              <w:t xml:space="preserve">8 </w:t>
            </w:r>
            <w:r>
              <w:rPr>
                <w:rFonts w:ascii="仿宋_GB2312" w:hAnsi="仿宋_GB2312" w:cs="仿宋_GB2312" w:eastAsia="仿宋_GB2312"/>
                <w:sz w:val="18"/>
              </w:rPr>
              <w:t>小时内赶赴现场对事故进行处理，系统平台诊断、恢复响应时间不得超过</w:t>
            </w:r>
            <w:r>
              <w:rPr>
                <w:rFonts w:ascii="仿宋_GB2312" w:hAnsi="仿宋_GB2312" w:cs="仿宋_GB2312" w:eastAsia="仿宋_GB2312"/>
                <w:sz w:val="18"/>
              </w:rPr>
              <w:t xml:space="preserve">24 </w:t>
            </w:r>
            <w:r>
              <w:rPr>
                <w:rFonts w:ascii="仿宋_GB2312" w:hAnsi="仿宋_GB2312" w:cs="仿宋_GB2312" w:eastAsia="仿宋_GB2312"/>
                <w:sz w:val="18"/>
              </w:rPr>
              <w:t>小时。若设备故障</w:t>
            </w:r>
            <w:r>
              <w:rPr>
                <w:rFonts w:ascii="仿宋_GB2312" w:hAnsi="仿宋_GB2312" w:cs="仿宋_GB2312" w:eastAsia="仿宋_GB2312"/>
                <w:sz w:val="18"/>
              </w:rPr>
              <w:t xml:space="preserve">24 </w:t>
            </w:r>
            <w:r>
              <w:rPr>
                <w:rFonts w:ascii="仿宋_GB2312" w:hAnsi="仿宋_GB2312" w:cs="仿宋_GB2312" w:eastAsia="仿宋_GB2312"/>
                <w:sz w:val="18"/>
              </w:rPr>
              <w:t>小时内无法排除解决，须提供并更换相应的备机，保证各站点的正常运行；故障检修完成后，均需对设备进行校准后方可使用。</w:t>
            </w:r>
          </w:p>
          <w:p>
            <w:pPr>
              <w:pStyle w:val="null3"/>
              <w:ind w:firstLine="200"/>
              <w:jc w:val="both"/>
            </w:pPr>
            <w:r>
              <w:rPr>
                <w:rFonts w:ascii="仿宋_GB2312" w:hAnsi="仿宋_GB2312" w:cs="仿宋_GB2312" w:eastAsia="仿宋_GB2312"/>
                <w:sz w:val="18"/>
              </w:rPr>
              <w:t xml:space="preserve">1.2 </w:t>
            </w:r>
            <w:r>
              <w:rPr>
                <w:rFonts w:ascii="仿宋_GB2312" w:hAnsi="仿宋_GB2312" w:cs="仿宋_GB2312" w:eastAsia="仿宋_GB2312"/>
                <w:sz w:val="18"/>
              </w:rPr>
              <w:t>卫星数据及应用服务</w:t>
            </w:r>
          </w:p>
          <w:p>
            <w:pPr>
              <w:pStyle w:val="null3"/>
              <w:ind w:firstLine="200"/>
              <w:jc w:val="both"/>
            </w:pPr>
            <w:r>
              <w:rPr>
                <w:rFonts w:ascii="仿宋_GB2312" w:hAnsi="仿宋_GB2312" w:cs="仿宋_GB2312" w:eastAsia="仿宋_GB2312"/>
                <w:sz w:val="18"/>
              </w:rPr>
              <w:t>通过大数据分析，提供相关卫星数据资料：包括但不限于水质指标与等级、水华、河道岸线侵蚀、淤积等异常情况识别、非法采砂、设施损坏及违规侵占河道等相关数据资料；逐月更新主要水体水质分布、河道异常识别等行为，实现水环境质量全方位感知。</w:t>
            </w:r>
          </w:p>
          <w:p>
            <w:pPr>
              <w:pStyle w:val="null3"/>
              <w:ind w:firstLine="200"/>
              <w:jc w:val="both"/>
            </w:pPr>
            <w:r>
              <w:rPr>
                <w:rFonts w:ascii="仿宋_GB2312" w:hAnsi="仿宋_GB2312" w:cs="仿宋_GB2312" w:eastAsia="仿宋_GB2312"/>
                <w:sz w:val="18"/>
                <w:b/>
              </w:rPr>
              <w:t>2</w:t>
            </w:r>
            <w:r>
              <w:rPr>
                <w:rFonts w:ascii="仿宋_GB2312" w:hAnsi="仿宋_GB2312" w:cs="仿宋_GB2312" w:eastAsia="仿宋_GB2312"/>
                <w:b/>
              </w:rPr>
              <w:t xml:space="preserve"> </w:t>
            </w:r>
            <w:r>
              <w:rPr>
                <w:rFonts w:ascii="仿宋_GB2312" w:hAnsi="仿宋_GB2312" w:cs="仿宋_GB2312" w:eastAsia="仿宋_GB2312"/>
                <w:sz w:val="18"/>
                <w:b/>
              </w:rPr>
              <w:t>水污染热点网格智能报警</w:t>
            </w:r>
          </w:p>
          <w:p>
            <w:pPr>
              <w:pStyle w:val="null3"/>
              <w:ind w:firstLine="200"/>
              <w:jc w:val="both"/>
            </w:pPr>
            <w:r>
              <w:rPr>
                <w:rFonts w:ascii="仿宋_GB2312" w:hAnsi="仿宋_GB2312" w:cs="仿宋_GB2312" w:eastAsia="仿宋_GB2312"/>
                <w:sz w:val="18"/>
                <w:b/>
              </w:rPr>
              <w:t>包含高值热点网格识别分析服务、报警和用户反馈信息分析等服务。支持实时异常高值报警的</w:t>
            </w:r>
            <w:r>
              <w:rPr>
                <w:rFonts w:ascii="仿宋_GB2312" w:hAnsi="仿宋_GB2312" w:cs="仿宋_GB2312" w:eastAsia="仿宋_GB2312"/>
                <w:sz w:val="18"/>
                <w:b/>
              </w:rPr>
              <w:t xml:space="preserve">GIS </w:t>
            </w:r>
            <w:r>
              <w:rPr>
                <w:rFonts w:ascii="仿宋_GB2312" w:hAnsi="仿宋_GB2312" w:cs="仿宋_GB2312" w:eastAsia="仿宋_GB2312"/>
                <w:sz w:val="18"/>
                <w:b/>
              </w:rPr>
              <w:t>显示、报警详情查看、报警现场问题</w:t>
            </w:r>
            <w:r>
              <w:rPr>
                <w:rFonts w:ascii="仿宋_GB2312" w:hAnsi="仿宋_GB2312" w:cs="仿宋_GB2312" w:eastAsia="仿宋_GB2312"/>
                <w:sz w:val="18"/>
                <w:b/>
              </w:rPr>
              <w:t>/</w:t>
            </w:r>
            <w:r>
              <w:rPr>
                <w:rFonts w:ascii="仿宋_GB2312" w:hAnsi="仿宋_GB2312" w:cs="仿宋_GB2312" w:eastAsia="仿宋_GB2312"/>
                <w:sz w:val="18"/>
                <w:b/>
              </w:rPr>
              <w:t>日常巡查问题描述及照片上传等，平台能够对发现问题数量、类型、地理位置进行记录和保存，掌握污染排放的时空规律等。</w:t>
            </w:r>
          </w:p>
          <w:p>
            <w:pPr>
              <w:pStyle w:val="null3"/>
              <w:ind w:firstLine="200"/>
              <w:jc w:val="both"/>
            </w:pPr>
            <w:r>
              <w:rPr>
                <w:rFonts w:ascii="仿宋_GB2312" w:hAnsi="仿宋_GB2312" w:cs="仿宋_GB2312" w:eastAsia="仿宋_GB2312"/>
                <w:sz w:val="18"/>
              </w:rPr>
              <w:t>能够基于气象数据、水文数据、污染源数据与高密度水质监测网络进行融合，对污染物浓度进行实时汇总跟踪。能够以网页及手机</w:t>
            </w:r>
            <w:r>
              <w:rPr>
                <w:rFonts w:ascii="仿宋_GB2312" w:hAnsi="仿宋_GB2312" w:cs="仿宋_GB2312" w:eastAsia="仿宋_GB2312"/>
                <w:sz w:val="18"/>
              </w:rPr>
              <w:t>App的形式，在地图上显示污染浓度。自动智能识别重点污染区，自动跟踪并分析异常污染特征，掌握变化规律。明确属地内具体哪些区域需要重点关注，哪些区域是污染治理和监管的重点区域，为属地发现异常排放区域、了解污染排放规律、落实污染控制和执法提供强有力的支撑。具体包括：</w:t>
            </w:r>
          </w:p>
          <w:p>
            <w:pPr>
              <w:pStyle w:val="null3"/>
              <w:ind w:firstLine="200"/>
              <w:jc w:val="both"/>
            </w:pPr>
            <w:r>
              <w:rPr>
                <w:rFonts w:ascii="仿宋_GB2312" w:hAnsi="仿宋_GB2312" w:cs="仿宋_GB2312" w:eastAsia="仿宋_GB2312"/>
                <w:sz w:val="18"/>
              </w:rPr>
              <w:t>能够按小时自动分析和识别异常污染行为，给出实时报警；</w:t>
            </w:r>
          </w:p>
          <w:p>
            <w:pPr>
              <w:pStyle w:val="null3"/>
              <w:ind w:firstLine="200"/>
              <w:jc w:val="both"/>
            </w:pPr>
            <w:r>
              <w:rPr>
                <w:rFonts w:ascii="仿宋_GB2312" w:hAnsi="仿宋_GB2312" w:cs="仿宋_GB2312" w:eastAsia="仿宋_GB2312"/>
                <w:sz w:val="18"/>
              </w:rPr>
              <w:t>能够根据历史污染物浓度变化趋势，识别重点污染区域，给出网格报警；</w:t>
            </w:r>
          </w:p>
          <w:p>
            <w:pPr>
              <w:pStyle w:val="null3"/>
              <w:ind w:firstLine="200"/>
              <w:jc w:val="both"/>
            </w:pPr>
            <w:r>
              <w:rPr>
                <w:rFonts w:ascii="仿宋_GB2312" w:hAnsi="仿宋_GB2312" w:cs="仿宋_GB2312" w:eastAsia="仿宋_GB2312"/>
                <w:sz w:val="18"/>
              </w:rPr>
              <w:t>能够在</w:t>
            </w:r>
            <w:r>
              <w:rPr>
                <w:rFonts w:ascii="仿宋_GB2312" w:hAnsi="仿宋_GB2312" w:cs="仿宋_GB2312" w:eastAsia="仿宋_GB2312"/>
                <w:sz w:val="18"/>
              </w:rPr>
              <w:t>GIS中展示500米河段报警信息，查询当前及历史报警信息，包括报警位置、报警详情等。</w:t>
            </w:r>
          </w:p>
          <w:p>
            <w:pPr>
              <w:pStyle w:val="null3"/>
              <w:ind w:firstLine="200"/>
              <w:jc w:val="both"/>
            </w:pPr>
            <w:r>
              <w:rPr>
                <w:rFonts w:ascii="仿宋_GB2312" w:hAnsi="仿宋_GB2312" w:cs="仿宋_GB2312" w:eastAsia="仿宋_GB2312"/>
                <w:sz w:val="18"/>
                <w:b/>
              </w:rPr>
              <w:t>3</w:t>
            </w:r>
            <w:r>
              <w:rPr>
                <w:rFonts w:ascii="仿宋_GB2312" w:hAnsi="仿宋_GB2312" w:cs="仿宋_GB2312" w:eastAsia="仿宋_GB2312"/>
                <w:b/>
              </w:rPr>
              <w:t xml:space="preserve"> </w:t>
            </w:r>
            <w:r>
              <w:rPr>
                <w:rFonts w:ascii="仿宋_GB2312" w:hAnsi="仿宋_GB2312" w:cs="仿宋_GB2312" w:eastAsia="仿宋_GB2312"/>
                <w:sz w:val="18"/>
                <w:b/>
              </w:rPr>
              <w:t>水污染过程智能分析及联防联控服务</w:t>
            </w:r>
          </w:p>
          <w:p>
            <w:pPr>
              <w:pStyle w:val="null3"/>
              <w:ind w:firstLine="200"/>
              <w:jc w:val="both"/>
            </w:pPr>
            <w:r>
              <w:rPr>
                <w:rFonts w:ascii="仿宋_GB2312" w:hAnsi="仿宋_GB2312" w:cs="仿宋_GB2312" w:eastAsia="仿宋_GB2312"/>
                <w:sz w:val="18"/>
                <w:b/>
              </w:rPr>
              <w:t>针对水质达标重点区域水污染过程进行智能分析，基于综合监测、异常报警和监察执法信息，实现对于各类水污染事件的历史数据进行综合溯源分析，融合水环境与气象分析，评估该污染对于水质达标任务的影响，为管理部门进行监察执法、联防联控提供数据支撑。</w:t>
            </w:r>
          </w:p>
          <w:p>
            <w:pPr>
              <w:pStyle w:val="null3"/>
              <w:ind w:firstLine="200"/>
              <w:jc w:val="both"/>
            </w:pPr>
            <w:r>
              <w:rPr>
                <w:rFonts w:ascii="仿宋_GB2312" w:hAnsi="仿宋_GB2312" w:cs="仿宋_GB2312" w:eastAsia="仿宋_GB2312"/>
                <w:sz w:val="18"/>
              </w:rPr>
              <w:t>能够对断面监测数据和高密度水质监测数据进行实时分析，及时发现超标河段，并且需要结合气象、</w:t>
            </w:r>
            <w:r>
              <w:rPr>
                <w:rFonts w:ascii="仿宋_GB2312" w:hAnsi="仿宋_GB2312" w:cs="仿宋_GB2312" w:eastAsia="仿宋_GB2312"/>
                <w:sz w:val="18"/>
              </w:rPr>
              <w:t>水文、水库出库流量等数据，分析超标原因，确认污染源位置，为监察人员科学建议排查措施和方式（包括监察地点、时间等），同时结合现有生态环境部监察体系，实现污染问题责任的分解和联防联控。</w:t>
            </w:r>
          </w:p>
          <w:p>
            <w:pPr>
              <w:pStyle w:val="null3"/>
              <w:ind w:firstLine="200"/>
              <w:jc w:val="both"/>
            </w:pPr>
            <w:r>
              <w:rPr>
                <w:rFonts w:ascii="仿宋_GB2312" w:hAnsi="仿宋_GB2312" w:cs="仿宋_GB2312" w:eastAsia="仿宋_GB2312"/>
                <w:sz w:val="18"/>
              </w:rPr>
              <w:t>3.1 水污染热点网格污染溯源</w:t>
            </w:r>
          </w:p>
          <w:p>
            <w:pPr>
              <w:pStyle w:val="null3"/>
              <w:ind w:firstLine="200"/>
              <w:jc w:val="both"/>
            </w:pPr>
            <w:r>
              <w:rPr>
                <w:rFonts w:ascii="仿宋_GB2312" w:hAnsi="仿宋_GB2312" w:cs="仿宋_GB2312" w:eastAsia="仿宋_GB2312"/>
                <w:sz w:val="18"/>
              </w:rPr>
              <w:t>能够基于高密度监测设备数据，并充分结合汉中市水资源、水环境和生态环境特点，利用大数据分析技术，自动跟踪并分析水污染异常污染特征，掌握变化规律，并且构建针对每个汇水区水污染热点网格的特征画像，建立水污染特征档案，相关汇水区内一旦发生污染超标情况，可直接</w:t>
            </w:r>
            <w:r>
              <w:rPr>
                <w:rFonts w:ascii="仿宋_GB2312" w:hAnsi="仿宋_GB2312" w:cs="仿宋_GB2312" w:eastAsia="仿宋_GB2312"/>
                <w:sz w:val="18"/>
              </w:rPr>
              <w:t>“按图索骥”，锁定热点网格的污染区域和时段，为水污染监察执法提供决策依据。具体包括：</w:t>
            </w:r>
          </w:p>
          <w:p>
            <w:pPr>
              <w:pStyle w:val="null3"/>
              <w:ind w:firstLine="200"/>
              <w:jc w:val="both"/>
            </w:pPr>
            <w:r>
              <w:rPr>
                <w:rFonts w:ascii="仿宋_GB2312" w:hAnsi="仿宋_GB2312" w:cs="仿宋_GB2312" w:eastAsia="仿宋_GB2312"/>
                <w:sz w:val="18"/>
              </w:rPr>
              <w:t>能够基于超标污染物类型和污染源类型的深度关联分析，筛选出汇水区内的疑似排放区域，提供超标污染物趋势变化、污染断面特征画像展示功能；</w:t>
            </w:r>
          </w:p>
          <w:p>
            <w:pPr>
              <w:pStyle w:val="null3"/>
              <w:ind w:firstLine="200"/>
              <w:jc w:val="both"/>
            </w:pPr>
            <w:r>
              <w:rPr>
                <w:rFonts w:ascii="仿宋_GB2312" w:hAnsi="仿宋_GB2312" w:cs="仿宋_GB2312" w:eastAsia="仿宋_GB2312"/>
                <w:sz w:val="18"/>
              </w:rPr>
              <w:t>支持列表及基于</w:t>
            </w:r>
            <w:r>
              <w:rPr>
                <w:rFonts w:ascii="仿宋_GB2312" w:hAnsi="仿宋_GB2312" w:cs="仿宋_GB2312" w:eastAsia="仿宋_GB2312"/>
                <w:sz w:val="18"/>
              </w:rPr>
              <w:t>GIS形式的可疑污染源展示服务，包括可疑污染类型、污染单位、排放点位及其历史污染情况等。</w:t>
            </w:r>
          </w:p>
          <w:p>
            <w:pPr>
              <w:pStyle w:val="null3"/>
              <w:ind w:firstLine="200"/>
              <w:jc w:val="both"/>
            </w:pPr>
            <w:r>
              <w:rPr>
                <w:rFonts w:ascii="仿宋_GB2312" w:hAnsi="仿宋_GB2312" w:cs="仿宋_GB2312" w:eastAsia="仿宋_GB2312"/>
                <w:sz w:val="18"/>
              </w:rPr>
              <w:t>3.2水污染热点网格联防联控</w:t>
            </w:r>
          </w:p>
          <w:p>
            <w:pPr>
              <w:pStyle w:val="null3"/>
              <w:ind w:firstLine="200"/>
              <w:jc w:val="both"/>
            </w:pPr>
            <w:r>
              <w:rPr>
                <w:rFonts w:ascii="仿宋_GB2312" w:hAnsi="仿宋_GB2312" w:cs="仿宋_GB2312" w:eastAsia="仿宋_GB2312"/>
                <w:sz w:val="18"/>
              </w:rPr>
              <w:t>为准确定位污染源，提高巡查的精准性，需要以移动终端应用方式为全区环保监管网格员配备高科技移动巡查辅助工具，辅助网格员现场及时发现问题、及时反馈问题，最终实现与综合管理平台的闭环管理。具体功能包括：</w:t>
            </w:r>
          </w:p>
          <w:p>
            <w:pPr>
              <w:pStyle w:val="null3"/>
              <w:ind w:firstLine="200"/>
              <w:jc w:val="both"/>
            </w:pPr>
            <w:r>
              <w:rPr>
                <w:rFonts w:ascii="仿宋_GB2312" w:hAnsi="仿宋_GB2312" w:cs="仿宋_GB2312" w:eastAsia="仿宋_GB2312"/>
                <w:sz w:val="18"/>
              </w:rPr>
              <w:t>1）网格监督员用户：</w:t>
            </w:r>
          </w:p>
          <w:p>
            <w:pPr>
              <w:pStyle w:val="null3"/>
              <w:ind w:firstLine="200"/>
              <w:jc w:val="both"/>
            </w:pPr>
            <w:r>
              <w:rPr>
                <w:rFonts w:ascii="仿宋_GB2312" w:hAnsi="仿宋_GB2312" w:cs="仿宋_GB2312" w:eastAsia="仿宋_GB2312"/>
                <w:sz w:val="18"/>
              </w:rPr>
              <w:t>“签到”功能，有助于对网格员进行有效管理。</w:t>
            </w:r>
          </w:p>
          <w:p>
            <w:pPr>
              <w:pStyle w:val="null3"/>
              <w:ind w:firstLine="200"/>
              <w:jc w:val="both"/>
            </w:pPr>
            <w:r>
              <w:rPr>
                <w:rFonts w:ascii="仿宋_GB2312" w:hAnsi="仿宋_GB2312" w:cs="仿宋_GB2312" w:eastAsia="仿宋_GB2312"/>
                <w:sz w:val="18"/>
              </w:rPr>
              <w:t>支持区域内实时异常高值报警的推送，并通过地图方式显示报警位置及该位置浓度详情，且支持到报警地点的导航。</w:t>
            </w:r>
          </w:p>
          <w:p>
            <w:pPr>
              <w:pStyle w:val="null3"/>
              <w:ind w:firstLine="200"/>
              <w:jc w:val="both"/>
            </w:pPr>
            <w:r>
              <w:rPr>
                <w:rFonts w:ascii="仿宋_GB2312" w:hAnsi="仿宋_GB2312" w:cs="仿宋_GB2312" w:eastAsia="仿宋_GB2312"/>
                <w:sz w:val="18"/>
              </w:rPr>
              <w:t>支持网格员针对报警信息录入现场检查情况，包括是否存在问题、问题类型、污染源信息，以及上传图片等。</w:t>
            </w:r>
          </w:p>
          <w:p>
            <w:pPr>
              <w:pStyle w:val="null3"/>
              <w:ind w:firstLine="200"/>
              <w:jc w:val="both"/>
            </w:pPr>
            <w:r>
              <w:rPr>
                <w:rFonts w:ascii="仿宋_GB2312" w:hAnsi="仿宋_GB2312" w:cs="仿宋_GB2312" w:eastAsia="仿宋_GB2312"/>
                <w:sz w:val="18"/>
              </w:rPr>
              <w:t>支持在地图上显示当日所有网格员的签到位置，以及对选定网格员的巡查轨迹进行查询和展示。</w:t>
            </w:r>
          </w:p>
          <w:p>
            <w:pPr>
              <w:pStyle w:val="null3"/>
              <w:ind w:firstLine="200"/>
              <w:jc w:val="both"/>
            </w:pPr>
            <w:r>
              <w:rPr>
                <w:rFonts w:ascii="仿宋_GB2312" w:hAnsi="仿宋_GB2312" w:cs="仿宋_GB2312" w:eastAsia="仿宋_GB2312"/>
                <w:sz w:val="18"/>
              </w:rPr>
              <w:t>通过地图方式显示全区网格员已反馈的现场问题位置和详情。</w:t>
            </w:r>
          </w:p>
          <w:p>
            <w:pPr>
              <w:pStyle w:val="null3"/>
              <w:ind w:firstLine="200"/>
              <w:jc w:val="both"/>
            </w:pPr>
            <w:r>
              <w:rPr>
                <w:rFonts w:ascii="仿宋_GB2312" w:hAnsi="仿宋_GB2312" w:cs="仿宋_GB2312" w:eastAsia="仿宋_GB2312"/>
                <w:sz w:val="18"/>
              </w:rPr>
              <w:t>支持对网格员本人历史提交反馈的查看和编辑管理。</w:t>
            </w:r>
          </w:p>
          <w:p>
            <w:pPr>
              <w:pStyle w:val="null3"/>
              <w:ind w:firstLine="200"/>
              <w:jc w:val="both"/>
            </w:pPr>
            <w:r>
              <w:rPr>
                <w:rFonts w:ascii="仿宋_GB2312" w:hAnsi="仿宋_GB2312" w:cs="仿宋_GB2312" w:eastAsia="仿宋_GB2312"/>
                <w:sz w:val="18"/>
              </w:rPr>
              <w:t>2）管理员用户：</w:t>
            </w:r>
          </w:p>
          <w:p>
            <w:pPr>
              <w:pStyle w:val="null3"/>
              <w:ind w:firstLine="200"/>
              <w:jc w:val="both"/>
            </w:pPr>
            <w:r>
              <w:rPr>
                <w:rFonts w:ascii="仿宋_GB2312" w:hAnsi="仿宋_GB2312" w:cs="仿宋_GB2312" w:eastAsia="仿宋_GB2312"/>
                <w:sz w:val="18"/>
              </w:rPr>
              <w:t>以地图方式展示高密度水质监测设备数据、热点网格分布、网格报警、实时报警、现场反馈记录等</w:t>
            </w:r>
          </w:p>
          <w:p>
            <w:pPr>
              <w:pStyle w:val="null3"/>
              <w:ind w:firstLine="200"/>
              <w:jc w:val="both"/>
            </w:pPr>
            <w:r>
              <w:rPr>
                <w:rFonts w:ascii="仿宋_GB2312" w:hAnsi="仿宋_GB2312" w:cs="仿宋_GB2312" w:eastAsia="仿宋_GB2312"/>
                <w:sz w:val="18"/>
              </w:rPr>
              <w:t>支持对所有网格员的签到情况、发现问题类型及数量进行多个维度的汇总统计和评估。</w:t>
            </w:r>
          </w:p>
          <w:p>
            <w:pPr>
              <w:pStyle w:val="null3"/>
              <w:ind w:firstLine="200"/>
              <w:jc w:val="both"/>
            </w:pPr>
            <w:r>
              <w:rPr>
                <w:rFonts w:ascii="仿宋_GB2312" w:hAnsi="仿宋_GB2312" w:cs="仿宋_GB2312" w:eastAsia="仿宋_GB2312"/>
                <w:sz w:val="18"/>
              </w:rPr>
              <w:t>支持在地图上显示当日所有网格员的签到位置，以及对选定网格员的巡查轨迹进行查询和展示。</w:t>
            </w:r>
          </w:p>
          <w:p>
            <w:pPr>
              <w:pStyle w:val="null3"/>
              <w:ind w:firstLine="200"/>
              <w:jc w:val="both"/>
            </w:pPr>
            <w:r>
              <w:rPr>
                <w:rFonts w:ascii="仿宋_GB2312" w:hAnsi="仿宋_GB2312" w:cs="仿宋_GB2312" w:eastAsia="仿宋_GB2312"/>
                <w:sz w:val="18"/>
              </w:rPr>
              <w:t>支持在地图方式显示所有网格员已反馈的报警现场和日常巡查问题位置和详情（包括巡查人员、巡查时间、污染源名称、存在问题及问题类型详情、上传照片等）。</w:t>
            </w:r>
          </w:p>
          <w:p>
            <w:pPr>
              <w:pStyle w:val="null3"/>
              <w:ind w:firstLine="200"/>
              <w:jc w:val="both"/>
            </w:pPr>
            <w:r>
              <w:rPr>
                <w:rFonts w:ascii="仿宋_GB2312" w:hAnsi="仿宋_GB2312" w:cs="仿宋_GB2312" w:eastAsia="仿宋_GB2312"/>
                <w:sz w:val="18"/>
                <w:b/>
              </w:rPr>
              <w:t>4</w:t>
            </w:r>
            <w:r>
              <w:rPr>
                <w:rFonts w:ascii="仿宋_GB2312" w:hAnsi="仿宋_GB2312" w:cs="仿宋_GB2312" w:eastAsia="仿宋_GB2312"/>
                <w:b/>
              </w:rPr>
              <w:t xml:space="preserve"> </w:t>
            </w:r>
            <w:r>
              <w:rPr>
                <w:rFonts w:ascii="仿宋_GB2312" w:hAnsi="仿宋_GB2312" w:cs="仿宋_GB2312" w:eastAsia="仿宋_GB2312"/>
                <w:sz w:val="18"/>
                <w:b/>
              </w:rPr>
              <w:t>水质热点网格和属地排名服务</w:t>
            </w:r>
          </w:p>
          <w:p>
            <w:pPr>
              <w:pStyle w:val="null3"/>
              <w:ind w:firstLine="200"/>
              <w:jc w:val="both"/>
            </w:pPr>
            <w:r>
              <w:rPr>
                <w:rFonts w:ascii="仿宋_GB2312" w:hAnsi="仿宋_GB2312" w:cs="仿宋_GB2312" w:eastAsia="仿宋_GB2312"/>
                <w:sz w:val="18"/>
                <w:b/>
              </w:rPr>
              <w:t>提供水质热点网格和属地排名服务，将量化责任落实到各个属地，并实时考核达标完成情况，对各属地超标风险进行报警，从而优化重点断面的水环境达标考核体系。</w:t>
            </w:r>
          </w:p>
          <w:p>
            <w:pPr>
              <w:pStyle w:val="null3"/>
              <w:ind w:firstLine="200"/>
              <w:jc w:val="both"/>
            </w:pPr>
            <w:r>
              <w:rPr>
                <w:rFonts w:ascii="仿宋_GB2312" w:hAnsi="仿宋_GB2312" w:cs="仿宋_GB2312" w:eastAsia="仿宋_GB2312"/>
                <w:sz w:val="18"/>
              </w:rPr>
              <w:t>1</w:t>
            </w:r>
            <w:r>
              <w:rPr>
                <w:rFonts w:ascii="仿宋_GB2312" w:hAnsi="仿宋_GB2312" w:cs="仿宋_GB2312" w:eastAsia="仿宋_GB2312"/>
                <w:sz w:val="18"/>
              </w:rPr>
              <w:t>）水</w:t>
            </w:r>
            <w:r>
              <w:rPr>
                <w:rFonts w:ascii="仿宋_GB2312" w:hAnsi="仿宋_GB2312" w:cs="仿宋_GB2312" w:eastAsia="仿宋_GB2312"/>
                <w:sz w:val="18"/>
              </w:rPr>
              <w:t>污染热点网格排名</w:t>
            </w:r>
          </w:p>
          <w:p>
            <w:pPr>
              <w:pStyle w:val="null3"/>
              <w:ind w:firstLine="200"/>
              <w:jc w:val="both"/>
            </w:pPr>
            <w:r>
              <w:rPr>
                <w:rFonts w:ascii="仿宋_GB2312" w:hAnsi="仿宋_GB2312" w:cs="仿宋_GB2312" w:eastAsia="仿宋_GB2312"/>
                <w:sz w:val="18"/>
              </w:rPr>
              <w:t>能够基于汉中市高精度（逐小时、空间分辨率</w:t>
            </w:r>
            <w:r>
              <w:rPr>
                <w:rFonts w:ascii="仿宋_GB2312" w:hAnsi="仿宋_GB2312" w:cs="仿宋_GB2312" w:eastAsia="仿宋_GB2312"/>
                <w:sz w:val="18"/>
              </w:rPr>
              <w:t>500米）水质数据，按周、月、季评估热点网格河段的污染水平和变化趋势，并需要给出同比、环比排名、重点污染排放时段等指标进行评估，生成报表和综合分析报告，并对热点网格退出和增补机制给出决策支持。具体包括：</w:t>
            </w:r>
          </w:p>
          <w:p>
            <w:pPr>
              <w:pStyle w:val="null3"/>
              <w:ind w:firstLine="200"/>
              <w:jc w:val="both"/>
            </w:pPr>
            <w:r>
              <w:rPr>
                <w:rFonts w:ascii="仿宋_GB2312" w:hAnsi="仿宋_GB2312" w:cs="仿宋_GB2312" w:eastAsia="仿宋_GB2312"/>
                <w:sz w:val="18"/>
              </w:rPr>
              <w:t>热点网格综合评估</w:t>
            </w:r>
          </w:p>
          <w:p>
            <w:pPr>
              <w:pStyle w:val="null3"/>
              <w:ind w:firstLine="200"/>
              <w:jc w:val="both"/>
            </w:pPr>
            <w:r>
              <w:rPr>
                <w:rFonts w:ascii="仿宋_GB2312" w:hAnsi="仿宋_GB2312" w:cs="仿宋_GB2312" w:eastAsia="仿宋_GB2312"/>
                <w:sz w:val="18"/>
              </w:rPr>
              <w:t>以污染物浓度变化为依据，对各属地实现量化评估、快速跟踪和预警，评估热点网格河段的污染水平和变化趋势，重点评估重点区域周边污染源对其影响。</w:t>
            </w:r>
          </w:p>
          <w:p>
            <w:pPr>
              <w:pStyle w:val="null3"/>
              <w:ind w:firstLine="200"/>
              <w:jc w:val="both"/>
            </w:pPr>
            <w:r>
              <w:rPr>
                <w:rFonts w:ascii="仿宋_GB2312" w:hAnsi="仿宋_GB2312" w:cs="仿宋_GB2312" w:eastAsia="仿宋_GB2312"/>
                <w:sz w:val="18"/>
              </w:rPr>
              <w:t>基于支持按照小时、周、月的等多个时间维度，给出汉中市重点区域热点网格评估报表，支持多种报表展示热点网格信息，包括：</w:t>
            </w:r>
            <w:r>
              <w:rPr>
                <w:rFonts w:ascii="仿宋_GB2312" w:hAnsi="仿宋_GB2312" w:cs="仿宋_GB2312" w:eastAsia="仿宋_GB2312"/>
                <w:sz w:val="18"/>
              </w:rPr>
              <w:t>汉中市宁强县、勉县、汉台区、南郑区、城固县、洋县、西乡等区县热点网格综合评估；</w:t>
            </w:r>
          </w:p>
          <w:p>
            <w:pPr>
              <w:pStyle w:val="null3"/>
              <w:ind w:firstLine="200"/>
              <w:jc w:val="both"/>
            </w:pPr>
            <w:r>
              <w:rPr>
                <w:rFonts w:ascii="仿宋_GB2312" w:hAnsi="仿宋_GB2312" w:cs="仿宋_GB2312" w:eastAsia="仿宋_GB2312"/>
                <w:sz w:val="18"/>
              </w:rPr>
              <w:t>各区县热点网格综合评估。</w:t>
            </w:r>
          </w:p>
          <w:p>
            <w:pPr>
              <w:pStyle w:val="null3"/>
              <w:ind w:firstLine="200"/>
              <w:jc w:val="both"/>
            </w:pPr>
            <w:r>
              <w:rPr>
                <w:rFonts w:ascii="仿宋_GB2312" w:hAnsi="仿宋_GB2312" w:cs="仿宋_GB2312" w:eastAsia="仿宋_GB2312"/>
                <w:sz w:val="18"/>
              </w:rPr>
              <w:t>2）热点网格综合排名</w:t>
            </w:r>
          </w:p>
          <w:p>
            <w:pPr>
              <w:pStyle w:val="null3"/>
              <w:ind w:firstLine="200"/>
              <w:jc w:val="both"/>
            </w:pPr>
            <w:r>
              <w:rPr>
                <w:rFonts w:ascii="仿宋_GB2312" w:hAnsi="仿宋_GB2312" w:cs="仿宋_GB2312" w:eastAsia="仿宋_GB2312"/>
                <w:sz w:val="18"/>
              </w:rPr>
              <w:t>每月、每年或可选择的时间区段，给出热点网格的污染物浓度排名情况以及同比、环比变化等，包括：</w:t>
            </w:r>
          </w:p>
          <w:p>
            <w:pPr>
              <w:pStyle w:val="null3"/>
              <w:ind w:firstLine="200"/>
              <w:jc w:val="both"/>
            </w:pPr>
            <w:r>
              <w:rPr>
                <w:rFonts w:ascii="仿宋_GB2312" w:hAnsi="仿宋_GB2312" w:cs="仿宋_GB2312" w:eastAsia="仿宋_GB2312"/>
                <w:sz w:val="18"/>
              </w:rPr>
              <w:t>汉中市宁强县、勉县、汉台区、南郑区、城固县、洋县、西乡等区县热点网格污染物浓度当月排名；</w:t>
            </w:r>
          </w:p>
          <w:p>
            <w:pPr>
              <w:pStyle w:val="null3"/>
              <w:ind w:firstLine="200"/>
              <w:jc w:val="both"/>
            </w:pPr>
            <w:r>
              <w:rPr>
                <w:rFonts w:ascii="仿宋_GB2312" w:hAnsi="仿宋_GB2312" w:cs="仿宋_GB2312" w:eastAsia="仿宋_GB2312"/>
                <w:sz w:val="18"/>
              </w:rPr>
              <w:t>汉中市宁强县、勉县、汉台区、南郑区、城固县、洋县、西乡等区县热点网格污染物浓度同比变化排名；</w:t>
            </w:r>
          </w:p>
          <w:p>
            <w:pPr>
              <w:pStyle w:val="null3"/>
              <w:ind w:firstLine="200"/>
              <w:jc w:val="both"/>
            </w:pPr>
            <w:r>
              <w:rPr>
                <w:rFonts w:ascii="仿宋_GB2312" w:hAnsi="仿宋_GB2312" w:cs="仿宋_GB2312" w:eastAsia="仿宋_GB2312"/>
                <w:sz w:val="18"/>
              </w:rPr>
              <w:t>汉中市宁强县、勉县、汉台区、南郑区、城固县、洋县、西乡等区县热点网格污染物浓度环比变化排名；</w:t>
            </w:r>
          </w:p>
          <w:p>
            <w:pPr>
              <w:pStyle w:val="null3"/>
              <w:ind w:firstLine="200"/>
              <w:jc w:val="both"/>
            </w:pPr>
            <w:r>
              <w:rPr>
                <w:rFonts w:ascii="仿宋_GB2312" w:hAnsi="仿宋_GB2312" w:cs="仿宋_GB2312" w:eastAsia="仿宋_GB2312"/>
                <w:sz w:val="18"/>
              </w:rPr>
              <w:t>汉中市宁强县、勉县、汉台区、南郑区、城固县、洋县、西乡等区县重点区域热点网格污染物浓度综合排名。</w:t>
            </w:r>
          </w:p>
          <w:p>
            <w:pPr>
              <w:pStyle w:val="null3"/>
              <w:ind w:firstLine="200"/>
              <w:jc w:val="both"/>
            </w:pPr>
            <w:r>
              <w:rPr>
                <w:rFonts w:ascii="仿宋_GB2312" w:hAnsi="仿宋_GB2312" w:cs="仿宋_GB2312" w:eastAsia="仿宋_GB2312"/>
                <w:sz w:val="18"/>
              </w:rPr>
              <w:t>3）重点区域异常排放源分析</w:t>
            </w:r>
          </w:p>
          <w:p>
            <w:pPr>
              <w:pStyle w:val="null3"/>
              <w:ind w:firstLine="200"/>
              <w:jc w:val="both"/>
            </w:pPr>
            <w:r>
              <w:rPr>
                <w:rFonts w:ascii="仿宋_GB2312" w:hAnsi="仿宋_GB2312" w:cs="仿宋_GB2312" w:eastAsia="仿宋_GB2312"/>
                <w:sz w:val="18"/>
              </w:rPr>
              <w:t>控制断面附近异常污染排放识别；</w:t>
            </w:r>
          </w:p>
          <w:p>
            <w:pPr>
              <w:pStyle w:val="null3"/>
              <w:ind w:firstLine="200"/>
              <w:jc w:val="both"/>
            </w:pPr>
            <w:r>
              <w:rPr>
                <w:rFonts w:ascii="仿宋_GB2312" w:hAnsi="仿宋_GB2312" w:cs="仿宋_GB2312" w:eastAsia="仿宋_GB2312"/>
                <w:sz w:val="18"/>
              </w:rPr>
              <w:t>控制断面附近主要污染源的贡献程度分析；</w:t>
            </w:r>
          </w:p>
          <w:p>
            <w:pPr>
              <w:pStyle w:val="null3"/>
              <w:ind w:firstLine="200"/>
              <w:jc w:val="both"/>
            </w:pPr>
            <w:r>
              <w:rPr>
                <w:rFonts w:ascii="仿宋_GB2312" w:hAnsi="仿宋_GB2312" w:cs="仿宋_GB2312" w:eastAsia="仿宋_GB2312"/>
                <w:sz w:val="18"/>
              </w:rPr>
              <w:t>控制断面污染物浓度升高趋势预警与治理建议。</w:t>
            </w:r>
          </w:p>
          <w:p>
            <w:pPr>
              <w:pStyle w:val="null3"/>
              <w:ind w:firstLine="200"/>
              <w:jc w:val="both"/>
            </w:pPr>
            <w:r>
              <w:rPr>
                <w:rFonts w:ascii="仿宋_GB2312" w:hAnsi="仿宋_GB2312" w:cs="仿宋_GB2312" w:eastAsia="仿宋_GB2312"/>
                <w:sz w:val="18"/>
              </w:rPr>
              <w:t>4.2</w:t>
            </w:r>
            <w:r>
              <w:rPr>
                <w:rFonts w:ascii="仿宋_GB2312" w:hAnsi="仿宋_GB2312" w:cs="仿宋_GB2312" w:eastAsia="仿宋_GB2312"/>
              </w:rPr>
              <w:t xml:space="preserve"> </w:t>
            </w:r>
            <w:r>
              <w:rPr>
                <w:rFonts w:ascii="仿宋_GB2312" w:hAnsi="仿宋_GB2312" w:cs="仿宋_GB2312" w:eastAsia="仿宋_GB2312"/>
                <w:sz w:val="18"/>
              </w:rPr>
              <w:t>水污染热点网格属地责任分解</w:t>
            </w:r>
          </w:p>
          <w:p>
            <w:pPr>
              <w:pStyle w:val="null3"/>
              <w:ind w:firstLine="200"/>
              <w:jc w:val="both"/>
            </w:pPr>
            <w:r>
              <w:rPr>
                <w:rFonts w:ascii="仿宋_GB2312" w:hAnsi="仿宋_GB2312" w:cs="仿宋_GB2312" w:eastAsia="仿宋_GB2312"/>
                <w:sz w:val="18"/>
              </w:rPr>
              <w:t>能够准确量化区、县级别的属地水质污染状态，实现按周、月等周期对属地统计结果进行发布和考核，支持各属地范围内高污染区域的精准靶向治理，并结合网格化行政对象的属地责任信息，实现分级负责、责任到人。</w:t>
            </w:r>
          </w:p>
          <w:p>
            <w:pPr>
              <w:pStyle w:val="null3"/>
              <w:ind w:firstLine="200"/>
              <w:jc w:val="both"/>
            </w:pPr>
            <w:r>
              <w:rPr>
                <w:rFonts w:ascii="仿宋_GB2312" w:hAnsi="仿宋_GB2312" w:cs="仿宋_GB2312" w:eastAsia="仿宋_GB2312"/>
                <w:sz w:val="18"/>
              </w:rPr>
              <w:t>1）属地水环境质量责任量化</w:t>
            </w:r>
          </w:p>
          <w:p>
            <w:pPr>
              <w:pStyle w:val="null3"/>
              <w:ind w:firstLine="200"/>
              <w:jc w:val="both"/>
            </w:pPr>
            <w:r>
              <w:rPr>
                <w:rFonts w:ascii="仿宋_GB2312" w:hAnsi="仿宋_GB2312" w:cs="仿宋_GB2312" w:eastAsia="仿宋_GB2312"/>
                <w:sz w:val="18"/>
              </w:rPr>
              <w:t>地图展示：在</w:t>
            </w:r>
            <w:r>
              <w:rPr>
                <w:rFonts w:ascii="仿宋_GB2312" w:hAnsi="仿宋_GB2312" w:cs="仿宋_GB2312" w:eastAsia="仿宋_GB2312"/>
                <w:sz w:val="18"/>
              </w:rPr>
              <w:t>GIS上展示属地量化结果；</w:t>
            </w:r>
          </w:p>
          <w:p>
            <w:pPr>
              <w:pStyle w:val="null3"/>
              <w:ind w:firstLine="200"/>
              <w:jc w:val="both"/>
            </w:pPr>
            <w:r>
              <w:rPr>
                <w:rFonts w:ascii="仿宋_GB2312" w:hAnsi="仿宋_GB2312" w:cs="仿宋_GB2312" w:eastAsia="仿宋_GB2312"/>
                <w:sz w:val="18"/>
              </w:rPr>
              <w:t>按时间周期展示：提供按周、月以及灵活时段的属地量化统计分析指标展示并支持报表生成；</w:t>
            </w:r>
          </w:p>
          <w:p>
            <w:pPr>
              <w:pStyle w:val="null3"/>
              <w:ind w:firstLine="200"/>
              <w:jc w:val="both"/>
            </w:pPr>
            <w:r>
              <w:rPr>
                <w:rFonts w:ascii="仿宋_GB2312" w:hAnsi="仿宋_GB2312" w:cs="仿宋_GB2312" w:eastAsia="仿宋_GB2312"/>
                <w:sz w:val="18"/>
              </w:rPr>
              <w:t>排名展示：提供区、县级别的属地量化指标排名。</w:t>
            </w:r>
          </w:p>
          <w:p>
            <w:pPr>
              <w:pStyle w:val="null3"/>
              <w:ind w:firstLine="200"/>
              <w:jc w:val="both"/>
            </w:pPr>
            <w:r>
              <w:rPr>
                <w:rFonts w:ascii="仿宋_GB2312" w:hAnsi="仿宋_GB2312" w:cs="仿宋_GB2312" w:eastAsia="仿宋_GB2312"/>
                <w:sz w:val="18"/>
              </w:rPr>
              <w:t>2）属地污染高值区域分析及变化趋势评估</w:t>
            </w:r>
          </w:p>
          <w:p>
            <w:pPr>
              <w:pStyle w:val="null3"/>
              <w:ind w:firstLine="200"/>
              <w:jc w:val="both"/>
            </w:pPr>
            <w:r>
              <w:rPr>
                <w:rFonts w:ascii="仿宋_GB2312" w:hAnsi="仿宋_GB2312" w:cs="仿宋_GB2312" w:eastAsia="仿宋_GB2312"/>
                <w:sz w:val="18"/>
              </w:rPr>
              <w:t>实时跟踪各属地污染高值区域的实时变化，对属地的整改工作进行客观评估。另外，需要对</w:t>
            </w:r>
            <w:r>
              <w:rPr>
                <w:rFonts w:ascii="仿宋_GB2312" w:hAnsi="仿宋_GB2312" w:cs="仿宋_GB2312" w:eastAsia="仿宋_GB2312"/>
                <w:sz w:val="18"/>
              </w:rPr>
              <w:t>每个区、县污染热点区域的疑似污染时段进行分析，以总结排放规律进行有针对性监管及治理。</w:t>
            </w:r>
          </w:p>
          <w:p>
            <w:pPr>
              <w:pStyle w:val="null3"/>
              <w:ind w:firstLine="200"/>
              <w:jc w:val="both"/>
            </w:pPr>
            <w:r>
              <w:rPr>
                <w:rFonts w:ascii="仿宋_GB2312" w:hAnsi="仿宋_GB2312" w:cs="仿宋_GB2312" w:eastAsia="仿宋_GB2312"/>
                <w:sz w:val="18"/>
                <w:b/>
              </w:rPr>
              <w:t>5</w:t>
            </w:r>
            <w:r>
              <w:rPr>
                <w:rFonts w:ascii="仿宋_GB2312" w:hAnsi="仿宋_GB2312" w:cs="仿宋_GB2312" w:eastAsia="仿宋_GB2312"/>
                <w:b/>
              </w:rPr>
              <w:t xml:space="preserve"> </w:t>
            </w:r>
            <w:r>
              <w:rPr>
                <w:rFonts w:ascii="仿宋_GB2312" w:hAnsi="仿宋_GB2312" w:cs="仿宋_GB2312" w:eastAsia="仿宋_GB2312"/>
                <w:sz w:val="18"/>
                <w:b/>
              </w:rPr>
              <w:t>水污染全景展示服务</w:t>
            </w:r>
          </w:p>
          <w:p>
            <w:pPr>
              <w:pStyle w:val="null3"/>
              <w:ind w:firstLine="200"/>
              <w:jc w:val="both"/>
            </w:pPr>
            <w:r>
              <w:rPr>
                <w:rFonts w:ascii="仿宋_GB2312" w:hAnsi="仿宋_GB2312" w:cs="仿宋_GB2312" w:eastAsia="仿宋_GB2312"/>
                <w:sz w:val="18"/>
                <w:b/>
              </w:rPr>
              <w:t>全景展示相关水质监测、污染源、降水、来水、卫星遥感数据等信息，形成</w:t>
            </w:r>
            <w:r>
              <w:rPr>
                <w:rFonts w:ascii="仿宋_GB2312" w:hAnsi="仿宋_GB2312" w:cs="仿宋_GB2312" w:eastAsia="仿宋_GB2312"/>
                <w:sz w:val="18"/>
                <w:b/>
              </w:rPr>
              <w:t>“</w:t>
            </w:r>
            <w:r>
              <w:rPr>
                <w:rFonts w:ascii="仿宋_GB2312" w:hAnsi="仿宋_GB2312" w:cs="仿宋_GB2312" w:eastAsia="仿宋_GB2312"/>
                <w:sz w:val="18"/>
                <w:b/>
              </w:rPr>
              <w:t>汉江水污染热点网格一张图</w:t>
            </w:r>
            <w:r>
              <w:rPr>
                <w:rFonts w:ascii="仿宋_GB2312" w:hAnsi="仿宋_GB2312" w:cs="仿宋_GB2312" w:eastAsia="仿宋_GB2312"/>
                <w:sz w:val="18"/>
                <w:b/>
              </w:rPr>
              <w:t>”</w:t>
            </w:r>
            <w:r>
              <w:rPr>
                <w:rFonts w:ascii="仿宋_GB2312" w:hAnsi="仿宋_GB2312" w:cs="仿宋_GB2312" w:eastAsia="仿宋_GB2312"/>
                <w:sz w:val="18"/>
                <w:b/>
              </w:rPr>
              <w:t>。利用</w:t>
            </w:r>
            <w:r>
              <w:rPr>
                <w:rFonts w:ascii="仿宋_GB2312" w:hAnsi="仿宋_GB2312" w:cs="仿宋_GB2312" w:eastAsia="仿宋_GB2312"/>
                <w:sz w:val="18"/>
                <w:b/>
              </w:rPr>
              <w:t>GIS</w:t>
            </w:r>
            <w:r>
              <w:rPr>
                <w:rFonts w:ascii="仿宋_GB2312" w:hAnsi="仿宋_GB2312" w:cs="仿宋_GB2312" w:eastAsia="仿宋_GB2312"/>
                <w:sz w:val="18"/>
                <w:b/>
              </w:rPr>
              <w:t>、表格、报表等多种方式实现对各类数据的全景展示及业务应用。</w:t>
            </w:r>
          </w:p>
          <w:p>
            <w:pPr>
              <w:pStyle w:val="null3"/>
              <w:ind w:firstLine="200"/>
              <w:jc w:val="both"/>
            </w:pPr>
            <w:r>
              <w:rPr>
                <w:rFonts w:ascii="仿宋_GB2312" w:hAnsi="仿宋_GB2312" w:cs="仿宋_GB2312" w:eastAsia="仿宋_GB2312"/>
                <w:sz w:val="18"/>
              </w:rPr>
              <w:t>需要</w:t>
            </w:r>
            <w:r>
              <w:rPr>
                <w:rFonts w:ascii="仿宋_GB2312" w:hAnsi="仿宋_GB2312" w:cs="仿宋_GB2312" w:eastAsia="仿宋_GB2312"/>
                <w:sz w:val="18"/>
              </w:rPr>
              <w:t>全景展示水污染热点网格相关水质监测、污染源、降水、来水等信息，能够利用</w:t>
            </w:r>
            <w:r>
              <w:rPr>
                <w:rFonts w:ascii="仿宋_GB2312" w:hAnsi="仿宋_GB2312" w:cs="仿宋_GB2312" w:eastAsia="仿宋_GB2312"/>
                <w:sz w:val="18"/>
              </w:rPr>
              <w:t>GIS、表格、报表等多种方式实现对各类数据的全景展示及业务应用，并支持区、街道管理和工作人员的网页和手机App访问。</w:t>
            </w:r>
          </w:p>
          <w:p>
            <w:pPr>
              <w:pStyle w:val="null3"/>
              <w:ind w:firstLine="200"/>
              <w:jc w:val="both"/>
            </w:pPr>
            <w:r>
              <w:rPr>
                <w:rFonts w:ascii="仿宋_GB2312" w:hAnsi="仿宋_GB2312" w:cs="仿宋_GB2312" w:eastAsia="仿宋_GB2312"/>
                <w:sz w:val="18"/>
              </w:rPr>
              <w:t>地图展示模块支持各类监测数据及业务数据的</w:t>
            </w:r>
            <w:r>
              <w:rPr>
                <w:rFonts w:ascii="仿宋_GB2312" w:hAnsi="仿宋_GB2312" w:cs="仿宋_GB2312" w:eastAsia="仿宋_GB2312"/>
                <w:sz w:val="18"/>
              </w:rPr>
              <w:t>GIS展示；</w:t>
            </w:r>
          </w:p>
          <w:p>
            <w:pPr>
              <w:pStyle w:val="null3"/>
              <w:ind w:firstLine="200"/>
              <w:jc w:val="both"/>
            </w:pPr>
            <w:r>
              <w:rPr>
                <w:rFonts w:ascii="仿宋_GB2312" w:hAnsi="仿宋_GB2312" w:cs="仿宋_GB2312" w:eastAsia="仿宋_GB2312"/>
                <w:sz w:val="18"/>
              </w:rPr>
              <w:t>支持水环境质量数据实时数据展示；</w:t>
            </w:r>
          </w:p>
          <w:p>
            <w:pPr>
              <w:pStyle w:val="null3"/>
              <w:ind w:firstLine="200"/>
              <w:jc w:val="both"/>
            </w:pPr>
            <w:r>
              <w:rPr>
                <w:rFonts w:ascii="仿宋_GB2312" w:hAnsi="仿宋_GB2312" w:cs="仿宋_GB2312" w:eastAsia="仿宋_GB2312"/>
                <w:sz w:val="18"/>
              </w:rPr>
              <w:t>提供水环境质量分布趋势展示，支持时间查询和动态播放功能；</w:t>
            </w:r>
          </w:p>
          <w:p>
            <w:pPr>
              <w:pStyle w:val="null3"/>
              <w:ind w:firstLine="200"/>
              <w:jc w:val="both"/>
            </w:pPr>
            <w:r>
              <w:rPr>
                <w:rFonts w:ascii="仿宋_GB2312" w:hAnsi="仿宋_GB2312" w:cs="仿宋_GB2312" w:eastAsia="仿宋_GB2312"/>
                <w:sz w:val="18"/>
              </w:rPr>
              <w:t>提供按照时间和行政区划的数据查询，支持在汉中市范围内不同时间的水质</w:t>
            </w:r>
            <w:r>
              <w:rPr>
                <w:rFonts w:ascii="仿宋_GB2312" w:hAnsi="仿宋_GB2312" w:cs="仿宋_GB2312" w:eastAsia="仿宋_GB2312"/>
                <w:sz w:val="18"/>
              </w:rPr>
              <w:t>GIS渲染展示。</w:t>
            </w:r>
          </w:p>
          <w:p>
            <w:pPr>
              <w:pStyle w:val="null3"/>
              <w:ind w:firstLine="200"/>
              <w:jc w:val="both"/>
            </w:pPr>
            <w:r>
              <w:rPr>
                <w:rFonts w:ascii="仿宋_GB2312" w:hAnsi="仿宋_GB2312" w:cs="仿宋_GB2312" w:eastAsia="仿宋_GB2312"/>
                <w:sz w:val="18"/>
                <w:b/>
              </w:rPr>
              <w:t>6</w:t>
            </w:r>
            <w:r>
              <w:rPr>
                <w:rFonts w:ascii="仿宋_GB2312" w:hAnsi="仿宋_GB2312" w:cs="仿宋_GB2312" w:eastAsia="仿宋_GB2312"/>
                <w:b/>
              </w:rPr>
              <w:t xml:space="preserve"> </w:t>
            </w:r>
            <w:r>
              <w:rPr>
                <w:rFonts w:ascii="仿宋_GB2312" w:hAnsi="仿宋_GB2312" w:cs="仿宋_GB2312" w:eastAsia="仿宋_GB2312"/>
                <w:sz w:val="18"/>
                <w:b/>
              </w:rPr>
              <w:t>手机</w:t>
            </w:r>
            <w:r>
              <w:rPr>
                <w:rFonts w:ascii="仿宋_GB2312" w:hAnsi="仿宋_GB2312" w:cs="仿宋_GB2312" w:eastAsia="仿宋_GB2312"/>
                <w:sz w:val="18"/>
                <w:b/>
              </w:rPr>
              <w:t>APP水质监察执法支持服务</w:t>
            </w:r>
          </w:p>
          <w:p>
            <w:pPr>
              <w:pStyle w:val="null3"/>
              <w:ind w:firstLine="200"/>
              <w:jc w:val="both"/>
            </w:pPr>
            <w:r>
              <w:rPr>
                <w:rFonts w:ascii="仿宋_GB2312" w:hAnsi="仿宋_GB2312" w:cs="仿宋_GB2312" w:eastAsia="仿宋_GB2312"/>
                <w:sz w:val="18"/>
                <w:b/>
              </w:rPr>
              <w:t>提供水热点网格监管平台手机APP日常工作监管等。</w:t>
            </w:r>
          </w:p>
          <w:p>
            <w:pPr>
              <w:pStyle w:val="null3"/>
              <w:ind w:firstLine="200"/>
              <w:jc w:val="both"/>
            </w:pPr>
            <w:r>
              <w:rPr>
                <w:rFonts w:ascii="仿宋_GB2312" w:hAnsi="仿宋_GB2312" w:cs="仿宋_GB2312" w:eastAsia="仿宋_GB2312"/>
                <w:sz w:val="18"/>
              </w:rPr>
              <w:t>支持在手机</w:t>
            </w:r>
            <w:r>
              <w:rPr>
                <w:rFonts w:ascii="仿宋_GB2312" w:hAnsi="仿宋_GB2312" w:cs="仿宋_GB2312" w:eastAsia="仿宋_GB2312"/>
                <w:sz w:val="18"/>
              </w:rPr>
              <w:t>App上以地图方式展示汉中市水质监测仪数据、热点网格分布、网格报警、实时报警、现场反馈记录等。同时，网格员可以在手机App中针对报警信息录入现场检查反馈，包括是否存在问题、问题类型、污染源信息、现场图片等。</w:t>
            </w:r>
          </w:p>
          <w:p>
            <w:pPr>
              <w:pStyle w:val="null3"/>
              <w:ind w:firstLine="200"/>
              <w:jc w:val="both"/>
            </w:pPr>
            <w:r>
              <w:rPr>
                <w:rFonts w:ascii="仿宋_GB2312" w:hAnsi="仿宋_GB2312" w:cs="仿宋_GB2312" w:eastAsia="仿宋_GB2312"/>
                <w:sz w:val="18"/>
                <w:b/>
              </w:rPr>
              <w:t>7</w:t>
            </w:r>
            <w:r>
              <w:rPr>
                <w:rFonts w:ascii="仿宋_GB2312" w:hAnsi="仿宋_GB2312" w:cs="仿宋_GB2312" w:eastAsia="仿宋_GB2312"/>
                <w:b/>
              </w:rPr>
              <w:t xml:space="preserve"> </w:t>
            </w:r>
            <w:r>
              <w:rPr>
                <w:rFonts w:ascii="仿宋_GB2312" w:hAnsi="仿宋_GB2312" w:cs="仿宋_GB2312" w:eastAsia="仿宋_GB2312"/>
                <w:sz w:val="18"/>
                <w:b/>
              </w:rPr>
              <w:t>大数据专家（驻场）服务</w:t>
            </w:r>
          </w:p>
          <w:p>
            <w:pPr>
              <w:pStyle w:val="null3"/>
              <w:ind w:firstLine="200"/>
              <w:jc w:val="both"/>
            </w:pPr>
            <w:r>
              <w:rPr>
                <w:rFonts w:ascii="仿宋_GB2312" w:hAnsi="仿宋_GB2312" w:cs="仿宋_GB2312" w:eastAsia="仿宋_GB2312"/>
                <w:sz w:val="18"/>
              </w:rPr>
              <w:t>项目安排专门驻场人员不少于</w:t>
            </w:r>
            <w:r>
              <w:rPr>
                <w:rFonts w:ascii="仿宋_GB2312" w:hAnsi="仿宋_GB2312" w:cs="仿宋_GB2312" w:eastAsia="仿宋_GB2312"/>
                <w:sz w:val="18"/>
              </w:rPr>
              <w:t>2人，配备后方技术专家，辅助汉中市建立水热点网格监管工作的管理体系，定期、污染期间、应急状态及其他特殊场景下提供研判会商服务，服务包括但不仅限于：</w:t>
            </w:r>
          </w:p>
          <w:p>
            <w:pPr>
              <w:pStyle w:val="null3"/>
              <w:ind w:firstLine="200"/>
              <w:jc w:val="both"/>
            </w:pPr>
            <w:r>
              <w:rPr>
                <w:rFonts w:ascii="仿宋_GB2312" w:hAnsi="仿宋_GB2312" w:cs="仿宋_GB2312" w:eastAsia="仿宋_GB2312"/>
                <w:sz w:val="18"/>
              </w:rPr>
              <w:t>1）协助建立全市的水质热点网格监管工作的管理体系；</w:t>
            </w:r>
          </w:p>
          <w:p>
            <w:pPr>
              <w:pStyle w:val="null3"/>
              <w:ind w:firstLine="200"/>
              <w:jc w:val="both"/>
            </w:pPr>
            <w:r>
              <w:rPr>
                <w:rFonts w:ascii="仿宋_GB2312" w:hAnsi="仿宋_GB2312" w:cs="仿宋_GB2312" w:eastAsia="仿宋_GB2312"/>
                <w:sz w:val="18"/>
              </w:rPr>
              <w:t>2）提供专业的水质周报、月报、季度和半年/年分析报告；</w:t>
            </w:r>
          </w:p>
          <w:p>
            <w:pPr>
              <w:pStyle w:val="null3"/>
              <w:ind w:firstLine="200"/>
              <w:jc w:val="both"/>
            </w:pPr>
            <w:r>
              <w:rPr>
                <w:rFonts w:ascii="仿宋_GB2312" w:hAnsi="仿宋_GB2312" w:cs="仿宋_GB2312" w:eastAsia="仿宋_GB2312"/>
                <w:sz w:val="18"/>
              </w:rPr>
              <w:t>3）提供专题分析报告，包括污染传输分析、突发污染事件应急报告；</w:t>
            </w:r>
          </w:p>
          <w:p>
            <w:pPr>
              <w:pStyle w:val="null3"/>
              <w:ind w:firstLine="200"/>
              <w:jc w:val="both"/>
            </w:pPr>
            <w:r>
              <w:rPr>
                <w:rFonts w:ascii="仿宋_GB2312" w:hAnsi="仿宋_GB2312" w:cs="仿宋_GB2312" w:eastAsia="仿宋_GB2312"/>
                <w:sz w:val="18"/>
              </w:rPr>
              <w:t>4）提供具有建设性的水质改善意见和管控措施；</w:t>
            </w:r>
          </w:p>
          <w:p>
            <w:pPr>
              <w:pStyle w:val="null3"/>
              <w:ind w:firstLine="200"/>
              <w:jc w:val="both"/>
            </w:pPr>
            <w:r>
              <w:rPr>
                <w:rFonts w:ascii="仿宋_GB2312" w:hAnsi="仿宋_GB2312" w:cs="仿宋_GB2312" w:eastAsia="仿宋_GB2312"/>
                <w:sz w:val="18"/>
              </w:rPr>
              <w:t>5）提供部门与属地的监管支持和培训等。</w:t>
            </w:r>
          </w:p>
          <w:p>
            <w:pPr>
              <w:pStyle w:val="null3"/>
              <w:ind w:firstLine="200"/>
              <w:jc w:val="both"/>
            </w:pPr>
            <w:r>
              <w:rPr>
                <w:rFonts w:ascii="仿宋_GB2312" w:hAnsi="仿宋_GB2312" w:cs="仿宋_GB2312" w:eastAsia="仿宋_GB2312"/>
                <w:sz w:val="18"/>
              </w:rPr>
              <w:t>注：以上运维服务的采购内容全部包含但不限于，具体运维服务内容以甲方实际需求为准。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满足采购需求及相关服务要求。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服务期间，凡发生故障问题，成交单位均应能够及时地向采购人提供相应的技术服务并解决所出现的问题。</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1.中标单位与采购人应严格按照《中华人民共和国政府采购法》、《中华人民共和国政府采购法实施条例》等法律法规、标准以及合同、招标文件、投标文件等相关文件要求进行验收。 2.由采购人和中标人共同对项目进行整体验收。其内容包括是否按照采购人要求进行服务、是否在规定时间内服务完毕。 3.中标单位向采购人提供服务过程中的所有资料,以便采购人日后管理和维护。 4.验收依据合同文本；国家有关的验收标准及规范；招标文件；投标文件。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服务期满8个月后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2.中标单位未按合同要求提供服务或服务质量不能满足技术要求，采购单位有权终止合同，并对其违约行为进行追究。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具有有效的营业执照副本/事业单位法人证书副本/非企业专业服务机构执业许可证副本/民办非企业单位登记证书副本/个人工商户营业执照副本/自然人身份证；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授权代表磋商时，提供法定代表人授权书；法定代表人磋商时，须提供本人身份证；非法人单位参照执行；</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评审中出现下列情形之一的，磋商小组将会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磋商小组审查响应文件是否完整，签署是否合格、投标有效期是否满足磋商文件要求，商务及技术响应满足磋商文件要求等</w:t>
            </w:r>
          </w:p>
        </w:tc>
        <w:tc>
          <w:tcPr>
            <w:tcW w:type="dxa" w:w="1661"/>
          </w:tcPr>
          <w:p>
            <w:pPr>
              <w:pStyle w:val="null3"/>
            </w:pPr>
            <w:r>
              <w:rPr>
                <w:rFonts w:ascii="仿宋_GB2312" w:hAnsi="仿宋_GB2312" w:cs="仿宋_GB2312" w:eastAsia="仿宋_GB2312"/>
              </w:rPr>
              <w:t>响应文件封面 服务内容及服务邀请应答表 拒绝政府采购领域商业贿赂承诺书.docx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供应商针对本项目提供项目重点难点分析，具体包括：①项目实施重难点分析；②项目重难点应对措施③合理化建议。评审依据：方案各项内容全面详细、阐述条理清晰详尽、符合本项目采购需求，能有效保障本项目实施的得 6分，每有一个缺项扣2分，每有一项内容存 在缺陷，扣0.5 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评审响应材料.docx</w:t>
            </w:r>
          </w:p>
        </w:tc>
      </w:tr>
      <w:tr>
        <w:tc>
          <w:tcPr>
            <w:tcW w:type="dxa" w:w="831"/>
            <w:vMerge/>
          </w:tcPr>
          <w:p/>
        </w:tc>
        <w:tc>
          <w:tcPr>
            <w:tcW w:type="dxa" w:w="1661"/>
          </w:tcPr>
          <w:p>
            <w:pPr>
              <w:pStyle w:val="null3"/>
            </w:pPr>
            <w:r>
              <w:rPr>
                <w:rFonts w:ascii="仿宋_GB2312" w:hAnsi="仿宋_GB2312" w:cs="仿宋_GB2312" w:eastAsia="仿宋_GB2312"/>
              </w:rPr>
              <w:t>总体运维方案</w:t>
            </w:r>
          </w:p>
        </w:tc>
        <w:tc>
          <w:tcPr>
            <w:tcW w:type="dxa" w:w="2492"/>
          </w:tcPr>
          <w:p>
            <w:pPr>
              <w:pStyle w:val="null3"/>
            </w:pPr>
            <w:r>
              <w:rPr>
                <w:rFonts w:ascii="仿宋_GB2312" w:hAnsi="仿宋_GB2312" w:cs="仿宋_GB2312" w:eastAsia="仿宋_GB2312"/>
              </w:rPr>
              <w:t>投标单位提供的运维服务方案是否全面、专业。具体包括：①运维目标、②运维内容、③运维思路、④ 故障处理流程、⑤数据备份与恢复、⑥系统优化可行性建议。 评审依据：方案各项内容全面详细、阐述条理清晰详尽、符合本项目采购需求，能有效保障本项目实施的得 24分，每有一个缺项扣4分，每有一项内容存 在缺陷，扣0.5 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评审响应材料.docx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投标单位根据本项目特点，提供项目实施方案。具体包括：①组织机构及人员配置方案、②实施进度计划、③实施服务保障措施、④验收方案、⑤保密措施等。 评审依据：方案各项内容全面详细、阐述条理清晰详尽、符合本项目采购需求，能有效保障本项目实施的得15分，每有一个缺项扣3分，每有一项内容存在缺陷，扣0.5分，扣完为止。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评审响应材料.docx</w:t>
            </w:r>
          </w:p>
        </w:tc>
      </w:tr>
      <w:tr>
        <w:tc>
          <w:tcPr>
            <w:tcW w:type="dxa" w:w="831"/>
            <w:vMerge/>
          </w:tcPr>
          <w:p/>
        </w:tc>
        <w:tc>
          <w:tcPr>
            <w:tcW w:type="dxa" w:w="1661"/>
          </w:tcPr>
          <w:p>
            <w:pPr>
              <w:pStyle w:val="null3"/>
            </w:pPr>
            <w:r>
              <w:rPr>
                <w:rFonts w:ascii="仿宋_GB2312" w:hAnsi="仿宋_GB2312" w:cs="仿宋_GB2312" w:eastAsia="仿宋_GB2312"/>
              </w:rPr>
              <w:t>应急处置预案</w:t>
            </w:r>
          </w:p>
        </w:tc>
        <w:tc>
          <w:tcPr>
            <w:tcW w:type="dxa" w:w="2492"/>
          </w:tcPr>
          <w:p>
            <w:pPr>
              <w:pStyle w:val="null3"/>
            </w:pPr>
            <w:r>
              <w:rPr>
                <w:rFonts w:ascii="仿宋_GB2312" w:hAnsi="仿宋_GB2312" w:cs="仿宋_GB2312" w:eastAsia="仿宋_GB2312"/>
              </w:rPr>
              <w:t>投标单位根据本项目特点，提供针对本项目的应急处置预案。 具体包括：①应急团队与职责分工、②风险预测与识别分析、③应急处理流程、④应急响应及保障等。 评审依据：方案各项内容全面详细、阐述条理清晰详尽、符合本项目采购需求，能有效保障本项目实施的得 12分，每有一个缺项扣3分，每有一项内容存在缺陷，扣0.5分，扣完为止。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评审响应材料.docx</w:t>
            </w:r>
          </w:p>
        </w:tc>
      </w:tr>
      <w:tr>
        <w:tc>
          <w:tcPr>
            <w:tcW w:type="dxa" w:w="831"/>
            <w:vMerge/>
          </w:tcPr>
          <w:p/>
        </w:tc>
        <w:tc>
          <w:tcPr>
            <w:tcW w:type="dxa" w:w="1661"/>
          </w:tcPr>
          <w:p>
            <w:pPr>
              <w:pStyle w:val="null3"/>
            </w:pPr>
            <w:r>
              <w:rPr>
                <w:rFonts w:ascii="仿宋_GB2312" w:hAnsi="仿宋_GB2312" w:cs="仿宋_GB2312" w:eastAsia="仿宋_GB2312"/>
              </w:rPr>
              <w:t>团队服务能力</w:t>
            </w:r>
          </w:p>
        </w:tc>
        <w:tc>
          <w:tcPr>
            <w:tcW w:type="dxa" w:w="2492"/>
          </w:tcPr>
          <w:p>
            <w:pPr>
              <w:pStyle w:val="null3"/>
            </w:pPr>
            <w:r>
              <w:rPr>
                <w:rFonts w:ascii="仿宋_GB2312" w:hAnsi="仿宋_GB2312" w:cs="仿宋_GB2312" w:eastAsia="仿宋_GB2312"/>
              </w:rPr>
              <w:t>1.项目负责人(4分) 具有环境保护相关专业中级工程师职称证书得2分；高级工程师职称证书得4分； 2.项目组成员(8分) 项目组成员具有环境保护相关专业中级及以上工程师职称证书，每提供1个证书得2分最多得6分；项目组成员具有自动监控（污废水）运行工证书的提供1个得2分。 评审依据: 1.以上1-2项拟派人员需为不同人员，不可兼任。 2.提供人员证书扫描件； 3.以上人员需提供近6个月内任意1个月缴纳的社保证明材料。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评审响应材料.docx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评审依据：根据提供投标单位2022年1月1日以来同类项目业绩，每份得2分，最高得6分。不提供不得分。 备注：每份业绩以投标文件中的合同复印件为准。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评审响应材料.docx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投标单位根据本项目特点，提供售后服务方案。 具体包括： ①提供针对本项目详细完整的售后服务方案，根据项目特性，重点明确、针对性强、贴近项目需求； ②有完整的培训计划，包括培训时间、地点、人数、方式； ③有相应的技术支持及售后服务机构（提供有效的办公场所证明材料）； ④售后服务机构组成，人员从业经历及相关人员资料证明（身份证明、学历证明）；⑤售后服务响应（电话支持、线上操作、到场服务）； 方案各项内容全面详细、阐述条理清晰详尽、符合本项目采购需求，能有效保障本项目实施的得15分，每有一个缺项扣3分，每有一项内容存在缺陷，扣0.5分，扣完为止。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评审响应材料.docx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评分方法：P=10×Pmin/Pn其中：Pmin：有效投标报价中的最低价。Pn：第n个投标人的投标报价。 投标单位的报价明显低于正常报价的，评标委员会可要求投标单位在规定的期限内提供相关证明材料；投标单位不能证明其报价合理的，可视为无效投标。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详见附件：评审响应材料.docx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