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B2031">
      <w:pPr>
        <w:pStyle w:val="3"/>
        <w:rPr>
          <w:rFonts w:hint="eastAsia"/>
          <w:color w:val="auto"/>
          <w:sz w:val="32"/>
          <w:szCs w:val="28"/>
          <w:highlight w:val="none"/>
        </w:rPr>
      </w:pPr>
      <w:r>
        <w:rPr>
          <w:rFonts w:hint="eastAsia"/>
          <w:color w:val="auto"/>
          <w:sz w:val="32"/>
          <w:szCs w:val="28"/>
          <w:highlight w:val="none"/>
        </w:rPr>
        <w:t>采购需求</w:t>
      </w:r>
    </w:p>
    <w:p w14:paraId="341FFFC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项目概述</w:t>
      </w:r>
    </w:p>
    <w:p w14:paraId="5BA7D8F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陕西省人民医院两院区智慧护理系统维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 xml:space="preserve">保服务，包括但不限于系统保障与运行故障处理、服务器与数据库维护服务、接口维护服务、客户端维护服务、操作培训服务、系统巡检与预防性维护、数据调整服务、故障应急服务、成果挖掘等。 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 xml:space="preserve">   </w:t>
      </w:r>
    </w:p>
    <w:p w14:paraId="062EB54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.采购清单及技术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标准、配置要求：</w:t>
      </w:r>
    </w:p>
    <w:p w14:paraId="714F4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zh-CN"/>
        </w:rPr>
        <w:t>运维服务范围</w:t>
      </w:r>
    </w:p>
    <w:tbl>
      <w:tblPr>
        <w:tblStyle w:val="4"/>
        <w:tblW w:w="90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4299"/>
        <w:gridCol w:w="1959"/>
        <w:gridCol w:w="1959"/>
      </w:tblGrid>
      <w:tr w14:paraId="1EBAF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880" w:type="dxa"/>
            <w:noWrap/>
            <w:vAlign w:val="center"/>
          </w:tcPr>
          <w:p w14:paraId="77653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299" w:type="dxa"/>
            <w:noWrap/>
            <w:vAlign w:val="center"/>
          </w:tcPr>
          <w:p w14:paraId="501F2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服务内容</w:t>
            </w:r>
          </w:p>
        </w:tc>
        <w:tc>
          <w:tcPr>
            <w:tcW w:w="1959" w:type="dxa"/>
            <w:noWrap/>
            <w:vAlign w:val="center"/>
          </w:tcPr>
          <w:p w14:paraId="75D02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数量</w:t>
            </w:r>
          </w:p>
        </w:tc>
        <w:tc>
          <w:tcPr>
            <w:tcW w:w="1959" w:type="dxa"/>
            <w:noWrap/>
            <w:vAlign w:val="center"/>
          </w:tcPr>
          <w:p w14:paraId="0ECE4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运维服务期</w:t>
            </w:r>
          </w:p>
        </w:tc>
      </w:tr>
      <w:tr w14:paraId="16E96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880" w:type="dxa"/>
            <w:noWrap/>
            <w:vAlign w:val="center"/>
          </w:tcPr>
          <w:p w14:paraId="4FC48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299" w:type="dxa"/>
            <w:noWrap/>
            <w:vAlign w:val="center"/>
          </w:tcPr>
          <w:p w14:paraId="7C114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友谊院区智慧护理系统维护服务</w:t>
            </w:r>
          </w:p>
        </w:tc>
        <w:tc>
          <w:tcPr>
            <w:tcW w:w="1959" w:type="dxa"/>
            <w:noWrap/>
            <w:vAlign w:val="center"/>
          </w:tcPr>
          <w:p w14:paraId="73A36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1项</w:t>
            </w:r>
          </w:p>
        </w:tc>
        <w:tc>
          <w:tcPr>
            <w:tcW w:w="1959" w:type="dxa"/>
            <w:noWrap/>
            <w:vAlign w:val="center"/>
          </w:tcPr>
          <w:p w14:paraId="36977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叁年</w:t>
            </w:r>
          </w:p>
        </w:tc>
      </w:tr>
      <w:tr w14:paraId="3152F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880" w:type="dxa"/>
            <w:noWrap/>
            <w:vAlign w:val="center"/>
          </w:tcPr>
          <w:p w14:paraId="66DD6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4299" w:type="dxa"/>
            <w:noWrap/>
            <w:vAlign w:val="center"/>
          </w:tcPr>
          <w:p w14:paraId="31138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西咸院区智慧护理系统维护服务</w:t>
            </w:r>
          </w:p>
        </w:tc>
        <w:tc>
          <w:tcPr>
            <w:tcW w:w="1959" w:type="dxa"/>
            <w:noWrap/>
            <w:vAlign w:val="center"/>
          </w:tcPr>
          <w:p w14:paraId="7D8EC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1项</w:t>
            </w:r>
          </w:p>
        </w:tc>
        <w:tc>
          <w:tcPr>
            <w:tcW w:w="1959" w:type="dxa"/>
            <w:noWrap/>
            <w:vAlign w:val="center"/>
          </w:tcPr>
          <w:p w14:paraId="60F2C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贰年</w:t>
            </w:r>
          </w:p>
        </w:tc>
      </w:tr>
    </w:tbl>
    <w:p w14:paraId="1BA540BE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系统性规划与渐进式建设</w:t>
      </w:r>
    </w:p>
    <w:p w14:paraId="27579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项目方案需在整体规划的框架下，结合采购单位实际业务需求与发展阶段，制定切实可行的分步实施路径。必须注重与现有信息环境的融合，充分利用医院已有信息化建设成果，确保系统的延续性和扩展性，最大化保护既有投资效益。</w:t>
      </w:r>
    </w:p>
    <w:p w14:paraId="2693A1D3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高可靠运行与全方位安全</w:t>
      </w:r>
    </w:p>
    <w:p w14:paraId="776AF0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系统必须满足医院核心业务连续运转的要求，设计上应具备高度的稳定性、容错性与易维护性，确保支持7x24小时不间断稳定运行。在管理上，要求系统建设多层次的安全体系，保证系统和数据的安全可靠，满足国家及行业对信息安全与数据保护的强制法规与标准。</w:t>
      </w:r>
    </w:p>
    <w:p w14:paraId="3DBFB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Han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运维服务内容及要求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3970"/>
        <w:gridCol w:w="3368"/>
      </w:tblGrid>
      <w:tr w14:paraId="3307B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BD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7A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服务类别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17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服务细化</w:t>
            </w:r>
          </w:p>
        </w:tc>
      </w:tr>
      <w:tr w14:paraId="72AF9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D4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6D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系统保障与故障处理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21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运行故障修复</w:t>
            </w:r>
          </w:p>
        </w:tc>
      </w:tr>
      <w:tr w14:paraId="2913A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EE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81F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43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性能优化与监控</w:t>
            </w:r>
          </w:p>
        </w:tc>
      </w:tr>
      <w:tr w14:paraId="1B200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BCD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46F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CB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基础环境支持</w:t>
            </w:r>
          </w:p>
        </w:tc>
      </w:tr>
      <w:tr w14:paraId="539D6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CA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A7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数据维护与安全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C9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数据库日常维护</w:t>
            </w:r>
          </w:p>
        </w:tc>
      </w:tr>
      <w:tr w14:paraId="2785D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E4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F25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B9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数据备份与恢复验证</w:t>
            </w:r>
          </w:p>
        </w:tc>
      </w:tr>
      <w:tr w14:paraId="4B10C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A7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625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31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数据问题处理</w:t>
            </w:r>
          </w:p>
        </w:tc>
      </w:tr>
      <w:tr w14:paraId="210FB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A7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11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接口维护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0E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现有接口维护</w:t>
            </w:r>
          </w:p>
        </w:tc>
      </w:tr>
      <w:tr w14:paraId="4C5D4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06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84A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FB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接口故障排查</w:t>
            </w:r>
          </w:p>
        </w:tc>
      </w:tr>
      <w:tr w14:paraId="3465E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7A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DB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日常操作支持与培训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65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现场/在线支持</w:t>
            </w:r>
          </w:p>
        </w:tc>
      </w:tr>
      <w:tr w14:paraId="2B3A6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4D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6F7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6B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现场应急支持</w:t>
            </w:r>
          </w:p>
        </w:tc>
      </w:tr>
      <w:tr w14:paraId="5BCED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93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FF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9F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不定期培训</w:t>
            </w:r>
          </w:p>
        </w:tc>
      </w:tr>
      <w:tr w14:paraId="73236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EA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D0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系统巡检与预防性维护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DA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定期健康检查</w:t>
            </w:r>
          </w:p>
        </w:tc>
      </w:tr>
      <w:tr w14:paraId="0249A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00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694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78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节前专项巡检</w:t>
            </w:r>
          </w:p>
        </w:tc>
      </w:tr>
      <w:tr w14:paraId="5EAAB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06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DA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文档与报告服务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10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运行报告</w:t>
            </w:r>
          </w:p>
        </w:tc>
      </w:tr>
      <w:tr w14:paraId="143C9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67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220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EF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护理部定期报表服务</w:t>
            </w:r>
          </w:p>
        </w:tc>
      </w:tr>
      <w:tr w14:paraId="59A6F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6F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7F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适应性调整</w:t>
            </w: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EF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维护性需求调整</w:t>
            </w:r>
          </w:p>
        </w:tc>
      </w:tr>
      <w:tr w14:paraId="08747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7D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321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ED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法规适应性修改</w:t>
            </w:r>
          </w:p>
        </w:tc>
      </w:tr>
    </w:tbl>
    <w:p w14:paraId="266B3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详细要求如下：</w:t>
      </w:r>
    </w:p>
    <w:p w14:paraId="716CA78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系统保障与运行故障处理</w:t>
      </w:r>
    </w:p>
    <w:p w14:paraId="63694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软件运行故障修复：解决系统使用中出现的所有程序错误、功能异常、界面显示故障等各项问题。</w:t>
      </w:r>
    </w:p>
    <w:p w14:paraId="15BB2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性能优化与监控：定期监控系统性能，对响应速度慢、卡顿等问题进行诊断与优化。</w:t>
      </w:r>
    </w:p>
    <w:p w14:paraId="06914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基础环境支持：保障系统运行所需的中间件、数据库等基础软件的稳定，协助处理与之相关的兼容性问题。</w:t>
      </w:r>
    </w:p>
    <w:p w14:paraId="5E1F6EE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数据维护与安全</w:t>
      </w:r>
    </w:p>
    <w:p w14:paraId="025A5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数据库日常维护：包括数据库的日常监控、日志清理、表空间优化等。</w:t>
      </w:r>
    </w:p>
    <w:p w14:paraId="7AE66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数据备份与恢复验证：协助医院制定或执行数据备份策略，并定期进行备份数据的恢复验证演练。</w:t>
      </w:r>
    </w:p>
    <w:p w14:paraId="2EA5B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数据问题处理：解决因操作或系统原因导致的数据错乱、丢失等异常问题。</w:t>
      </w:r>
    </w:p>
    <w:p w14:paraId="2943D94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接口维护</w:t>
      </w:r>
    </w:p>
    <w:p w14:paraId="19265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接口维护：确保护理系统与HIS、EMR、LIS、PACS、手麻系统、移动设备等所有现有接口及维保内新增接口的稳定、数据准确与实时传输。</w:t>
      </w:r>
    </w:p>
    <w:p w14:paraId="33EC4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接口故障排查：当接口出现中断或数据错误时，快速定位问题（判断是本院系统问题还是外部系统问题）并协同解决。</w:t>
      </w:r>
    </w:p>
    <w:p w14:paraId="16807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新增接口：政策内接口（含国家、省、市、医联体等政策内接口）按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年整包，直接配合对接。政策性外接口根据接口文档需求做技术评估，若接口为可复用接口，或仅提供视图方式，不涉及数据回写或不涉及程序改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造则直接配合接入。涉及数据回写或程序改造的接口技术评估后优惠价格（不超过市场价的5折）收取相应技术服务费。</w:t>
      </w:r>
    </w:p>
    <w:p w14:paraId="0D5993E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日常操作支持与培训</w:t>
      </w:r>
    </w:p>
    <w:p w14:paraId="71F40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热线/在线支持：提供工作日或7x24小时的热线、即时通讯工具支持，解答护士日常操作疑问。</w:t>
      </w:r>
    </w:p>
    <w:p w14:paraId="32DF7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现场应急支持：在发生重大故障或关键操作时，按约定时间（如2-4小时内）抵达现场处理。</w:t>
      </w:r>
    </w:p>
    <w:p w14:paraId="1A8F3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不定期培训：</w:t>
      </w:r>
    </w:p>
    <w:p w14:paraId="2FF78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新员工培训：针对新入职护士定期组织系统操作培训。</w:t>
      </w:r>
    </w:p>
    <w:p w14:paraId="43C81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强化培训：针对使用中的共性难点或新功能进行专项培训。</w:t>
      </w:r>
    </w:p>
    <w:p w14:paraId="4D734B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管理员培训：对科室护士长、系统管理员进行数据查询、报表制作等高级功能培训。</w:t>
      </w:r>
    </w:p>
    <w:p w14:paraId="006EA47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系统巡检与预防性维护</w:t>
      </w:r>
    </w:p>
    <w:p w14:paraId="0EAA0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定期健康检查：每月或每季度提供远程或现场系统巡检检查报告，预警潜在风险。</w:t>
      </w:r>
    </w:p>
    <w:p w14:paraId="03A0C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节前专项巡检：在重大节假日或医院重要活动前，进行系统全面检查，确保期间稳定运行。</w:t>
      </w:r>
    </w:p>
    <w:p w14:paraId="0D3CE50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文档与报告服务</w:t>
      </w:r>
    </w:p>
    <w:p w14:paraId="510D4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运行报告：定期（如每季度）提交系统运行情况报告，包括故障统计、用户反馈等。</w:t>
      </w:r>
    </w:p>
    <w:p w14:paraId="5A131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护理部定期报表服务：护理部定期指定报表报告，如执行率报告。</w:t>
      </w:r>
    </w:p>
    <w:p w14:paraId="0EE1848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textAlignment w:val="auto"/>
        <w:outlineLvl w:val="2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适应性调整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（不限次数）</w:t>
      </w:r>
    </w:p>
    <w:p w14:paraId="66D30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维护需求调整：现有系统表单在不改变核心架构的前提下，满足不限次数的、合理的字段、表单或流程的调整需求及模块的升级改造。</w:t>
      </w:r>
    </w:p>
    <w:p w14:paraId="2554E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法规适应性修改：因应国家或地方医疗政策、法规变化所必需的护理文书系统表单修改。</w:t>
      </w:r>
    </w:p>
    <w:p w14:paraId="7C5E0D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服务评价要求</w:t>
      </w:r>
    </w:p>
    <w:p w14:paraId="201E2C65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维护记录：维保服务团队应详细记录每次维保活动的内容、时间、执行人员等信息，记录应准确、完整，并易于查询和追溯。</w:t>
      </w:r>
    </w:p>
    <w:p w14:paraId="262701EB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服务期结束进行满意度调查，作为验收凭证之一。</w:t>
      </w:r>
    </w:p>
    <w:p w14:paraId="674564DB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hanging="425" w:firstLineChars="0"/>
        <w:rPr>
          <w:rFonts w:hint="eastAsia" w:ascii="仿宋" w:hAnsi="仿宋" w:eastAsia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验收报告：维保验收时应编制详细的验收报告，提供科室满意度调查报告。</w:t>
      </w:r>
    </w:p>
    <w:p w14:paraId="48591D6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8011AD"/>
    <w:multiLevelType w:val="singleLevel"/>
    <w:tmpl w:val="AA8011A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08164D9"/>
    <w:multiLevelType w:val="singleLevel"/>
    <w:tmpl w:val="E08164D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4E82E844"/>
    <w:multiLevelType w:val="singleLevel"/>
    <w:tmpl w:val="4E82E84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7336F"/>
    <w:rsid w:val="7DF7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szCs w:val="21"/>
    </w:r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仿宋"/>
      <w:b/>
      <w:bCs/>
      <w:kern w:val="28"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2026-08-14T08:45:00Z</dcterms:created>
  <dc:creator>puppet</dc:creator>
  <cp:lastModifiedBy>puppet</cp:lastModifiedBy>
  <dcterms:modified xsi:type="dcterms:W3CDTF">2026-08-14T08:45:55Z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57694452D292465EB1CFC92D777D1F9A_11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