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版本号：GXZB2026-055Z.20260706001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57个村简版村庄规划编制项目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GXZB2026-055Z.</w:t>
      </w:r>
      <w:r>
        <w:br/>
      </w:r>
      <w:r>
        <w:br/>
      </w:r>
      <w:r>
        <w:br/>
      </w:r>
    </w:p>
    <w:p>
      <w:pPr>
        <w:pStyle w:val="null3"/>
        <w:jc w:val="center"/>
        <w:outlineLvl w:val="2"/>
      </w:pPr>
      <w:r>
        <w:rPr>
          <w:rFonts w:ascii="仿宋_GB2312" w:hAnsi="仿宋_GB2312" w:cs="仿宋_GB2312" w:eastAsia="仿宋_GB2312"/>
          <w:sz w:val="28"/>
          <w:b/>
        </w:rPr>
        <w:t>西安市自然资源和规划局鄠邑分局</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西安市自然资源和规划局鄠邑分局</w:t>
      </w:r>
      <w:r>
        <w:rPr>
          <w:rFonts w:ascii="仿宋_GB2312" w:hAnsi="仿宋_GB2312" w:cs="仿宋_GB2312" w:eastAsia="仿宋_GB2312"/>
        </w:rPr>
        <w:t>委托，拟对</w:t>
      </w:r>
      <w:r>
        <w:rPr>
          <w:rFonts w:ascii="仿宋_GB2312" w:hAnsi="仿宋_GB2312" w:cs="仿宋_GB2312" w:eastAsia="仿宋_GB2312"/>
        </w:rPr>
        <w:t>57个村简版村庄规划编制项目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GXZB2026-055Z.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57个村简版村庄规划编制项目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为贯彻落实《中共中央国务院关于建立国土空间规划体系并监督实施的若干意见》《中共陕西省委 陕西省人民政府关于加快建立并监督实施陕西省国土空间规划体系的实施意见》等文件精神，依据《陕西省乡村地区“通则式”规划技术管理规定编制要点（试行）》和《西安市联村规划编制导则（试行）》相关要求，为配合“农村乱占耕地建房住宅类房屋专项整治第二步试点”分类处置工作，现组织开展鄠邑区六老庵村、河头村等57个村的简版村庄规划编制工作。 本项目旨在通过编制简版村庄规划（具体形式为联村规划或“通则式”规定），落实上位国土空间规划管控要求，明确村庄建设边界、宅基地布局、公共服务设施和基础设施配套、产业用地安排及风貌引导等核心内容，为办理宅基地审批手续和指导村内各类建设活动提供法定依据，实现乡村地区规划管理全覆盖。</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采购包1（57个村简版村庄规划编制项目）：属于专门面向中小企业采购。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身份证明/法定代表人（或负责人）授权委托书：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p>
      <w:pPr>
        <w:pStyle w:val="null3"/>
      </w:pPr>
      <w:r>
        <w:rPr>
          <w:rFonts w:ascii="仿宋_GB2312" w:hAnsi="仿宋_GB2312" w:cs="仿宋_GB2312" w:eastAsia="仿宋_GB2312"/>
        </w:rPr>
        <w:t>2、供应商资质：供应商须具备相关行政主管部门颁发的城乡规划编制乙级及以上资质。</w:t>
      </w:r>
    </w:p>
    <w:p>
      <w:pPr>
        <w:pStyle w:val="null3"/>
      </w:pPr>
      <w:r>
        <w:rPr>
          <w:rFonts w:ascii="仿宋_GB2312" w:hAnsi="仿宋_GB2312" w:cs="仿宋_GB2312" w:eastAsia="仿宋_GB2312"/>
        </w:rPr>
        <w:t>3、信用记录：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4、供应商提供参与磋商的承诺函：符合竞争性磋商文件要求。</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西安市自然资源和规划局鄠邑分局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南环中路3号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029-84812969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 B 座 3105</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张景伟、高丹、孙翠、张晓筱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国家发展和改革委员会办公厅颁发的《关于招标代理服务收费有关问题的通知》（发改办价格[2003]857号）的有关规定标准收取。由中标（成交）单位在领取中标（成交）通知书前一次性向乙方支付。2、成交单位在领取成交通知书之前，须向采购代理机构支付招标代理服务费。 招标代理服务费以转账或现金形式缴纳至以下账户： 开户名称：陕西国信招标有限公司 开户银行：西安银行股份有限公司咸宁中路支行 账号：4120 1158 00000 61474 备 注：转账时请注明项目编号信息“GXZB2026- 项目招标代理服务费”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西安市自然资源和规划局鄠邑分局</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西安市自然资源和规划局鄠邑分局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西安市自然资源和规划局鄠邑分局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1.本项目产生的所有规划成果（包括但不限于图件、表格、数据库、文字报告等）的知识产权（含著作权）采购人所有。供应商不得将上述成果用于本项目之外的任何用途。 2.成交供应商应保证所提供的服务或其任何一部分均不会侵犯任何第三方的专利权、商标权或著作权。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联系人：张景伟</w:t>
      </w:r>
    </w:p>
    <w:p>
      <w:pPr>
        <w:pStyle w:val="null3"/>
      </w:pPr>
      <w:r>
        <w:rPr>
          <w:rFonts w:ascii="仿宋_GB2312" w:hAnsi="仿宋_GB2312" w:cs="仿宋_GB2312" w:eastAsia="仿宋_GB2312"/>
        </w:rPr>
        <w:t>联系电话：029-82680887</w:t>
      </w:r>
    </w:p>
    <w:p>
      <w:pPr>
        <w:pStyle w:val="null3"/>
      </w:pPr>
      <w:r>
        <w:rPr>
          <w:rFonts w:ascii="仿宋_GB2312" w:hAnsi="仿宋_GB2312" w:cs="仿宋_GB2312" w:eastAsia="仿宋_GB2312"/>
        </w:rPr>
        <w:t>地址：陕西省西安市曲江新区旺座曲江 B 座 3105</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为贯彻落实《中共中央 国务院关于建立国土空间规划体系并监督实施的若干意见》《中共陕西省委 陕西省人民政府关于加快建立并监督实施陕西省国土空间规划体系的实施意见》等文件精神，依据《陕西省乡村地区“通则式”规划技术管理规定编制要点（试行）》和《西安市联村规划编制导则（试行）》相关要求，为配合“农村乱占耕地建房住宅类房屋专项整治第二步试点”分类处置工作，现组织开展鄠邑区六老庵村、河头村等57个村的简版村庄规划编制工作。 本项目旨在通过编制简版村庄规划（具体形式为联村规划或“通则式”规定），落实上位国土空间规划管控要求，明确村庄建设边界、宅基地布局、公共服务设施和基础设施配套、产业用地安排及风貌引导等核心内容，为办理宅基地审批手续和指导村内各类建设活动提供法定依据，实现乡村地区规划管理全覆盖。</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1,140,000.00</w:t>
      </w:r>
    </w:p>
    <w:p>
      <w:pPr>
        <w:pStyle w:val="null3"/>
      </w:pPr>
      <w:r>
        <w:rPr>
          <w:rFonts w:ascii="仿宋_GB2312" w:hAnsi="仿宋_GB2312" w:cs="仿宋_GB2312" w:eastAsia="仿宋_GB2312"/>
        </w:rPr>
        <w:t>采购包最高限价（元）: 1,140,000.00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57个村简版村庄规划编制项目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标的名称：57个村简版村庄规划编制项目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1"/>
                <w:b/>
              </w:rPr>
              <w:t>一、项目概况</w:t>
            </w:r>
          </w:p>
          <w:p>
            <w:pPr>
              <w:pStyle w:val="null3"/>
              <w:ind w:firstLine="400"/>
              <w:jc w:val="both"/>
            </w:pPr>
            <w:r>
              <w:rPr>
                <w:rFonts w:ascii="仿宋_GB2312" w:hAnsi="仿宋_GB2312" w:cs="仿宋_GB2312" w:eastAsia="仿宋_GB2312"/>
                <w:sz w:val="21"/>
              </w:rPr>
              <w:t>为贯彻落实《中共中央国务院关于建立国土空间规划体系并监督实施的若干意见》《中共陕西省委 陕西省人民政府关于加快建立并监督实施陕西省国土空间规划体系的实施意见》等文件精神，依据《陕西省乡村地区“通则式”规划技术管理规定编制要点（试行）》和《西安市联村规划编制导则（试行）》相关要求，为配合“农村乱占耕地建房住宅类房屋专项整治第二步试点”分类处置工作，现组织开展鄠邑区六老庵村、河头村等57个村的简版村庄规划编制工作。</w:t>
            </w:r>
          </w:p>
          <w:p>
            <w:pPr>
              <w:pStyle w:val="null3"/>
              <w:ind w:firstLine="400"/>
              <w:jc w:val="both"/>
            </w:pPr>
            <w:r>
              <w:rPr>
                <w:rFonts w:ascii="仿宋_GB2312" w:hAnsi="仿宋_GB2312" w:cs="仿宋_GB2312" w:eastAsia="仿宋_GB2312"/>
                <w:sz w:val="21"/>
              </w:rPr>
              <w:t>本项目旨在通过编制简版村庄规划（具体形式为联村规划或“通则式”规定），落实上位国土空间规划管控要求，明确村庄建设边界、宅基地布局、公共服务设施和基础设施配套、产业用地安排及风貌引导等核心内容，为办理宅基地审批手续和指导村内各类建设活动提供法定依据，实现乡村地区规划管理全覆盖。</w:t>
            </w:r>
          </w:p>
          <w:p>
            <w:pPr>
              <w:pStyle w:val="null3"/>
              <w:jc w:val="both"/>
              <w:outlineLvl w:val="0"/>
            </w:pPr>
            <w:r>
              <w:rPr>
                <w:rFonts w:ascii="仿宋_GB2312" w:hAnsi="仿宋_GB2312" w:cs="仿宋_GB2312" w:eastAsia="仿宋_GB2312"/>
                <w:sz w:val="21"/>
                <w:b/>
              </w:rPr>
              <w:t>二、服务内容</w:t>
            </w:r>
          </w:p>
          <w:p>
            <w:pPr>
              <w:pStyle w:val="null3"/>
              <w:jc w:val="both"/>
              <w:outlineLvl w:val="1"/>
            </w:pPr>
            <w:r>
              <w:rPr>
                <w:rFonts w:ascii="仿宋_GB2312" w:hAnsi="仿宋_GB2312" w:cs="仿宋_GB2312" w:eastAsia="仿宋_GB2312"/>
                <w:sz w:val="21"/>
                <w:b/>
              </w:rPr>
              <w:t>（一）工作范围</w:t>
            </w:r>
          </w:p>
          <w:p>
            <w:pPr>
              <w:pStyle w:val="null3"/>
              <w:ind w:firstLine="400"/>
              <w:jc w:val="both"/>
            </w:pPr>
            <w:r>
              <w:rPr>
                <w:rFonts w:ascii="仿宋_GB2312" w:hAnsi="仿宋_GB2312" w:cs="仿宋_GB2312" w:eastAsia="仿宋_GB2312"/>
                <w:sz w:val="21"/>
              </w:rPr>
              <w:t>西安市鄠邑区六老庵村、河头村等57个村，具体村庄名单在合同签订后由采购人提供。</w:t>
            </w:r>
          </w:p>
          <w:p>
            <w:pPr>
              <w:pStyle w:val="null3"/>
              <w:jc w:val="both"/>
              <w:outlineLvl w:val="1"/>
            </w:pPr>
            <w:r>
              <w:rPr>
                <w:rFonts w:ascii="仿宋_GB2312" w:hAnsi="仿宋_GB2312" w:cs="仿宋_GB2312" w:eastAsia="仿宋_GB2312"/>
                <w:sz w:val="21"/>
                <w:b/>
              </w:rPr>
              <w:t>（二）工作内容</w:t>
            </w:r>
          </w:p>
          <w:p>
            <w:pPr>
              <w:pStyle w:val="null3"/>
              <w:ind w:firstLine="400"/>
              <w:jc w:val="both"/>
            </w:pPr>
            <w:r>
              <w:rPr>
                <w:rFonts w:ascii="仿宋_GB2312" w:hAnsi="仿宋_GB2312" w:cs="仿宋_GB2312" w:eastAsia="仿宋_GB2312"/>
                <w:sz w:val="21"/>
              </w:rPr>
              <w:t>服务商需依据《陕西省乡村地区“通则式”规划技术管理规定编制要点（试行）》和《西安市联村规划编制导则（试行）》的要求，完成但不限于以下工作：</w:t>
            </w:r>
          </w:p>
          <w:p>
            <w:pPr>
              <w:pStyle w:val="null3"/>
              <w:ind w:firstLine="400"/>
              <w:jc w:val="both"/>
            </w:pPr>
            <w:r>
              <w:rPr>
                <w:rFonts w:ascii="仿宋_GB2312" w:hAnsi="仿宋_GB2312" w:cs="仿宋_GB2312" w:eastAsia="仿宋_GB2312"/>
                <w:sz w:val="21"/>
              </w:rPr>
              <w:t>1、现状调研与评估：开展实地调研，收集村庄自然地理、社会经济、土地利用、历史文化、建房需求等基础资料，分析现状特征和主要问题。</w:t>
            </w:r>
          </w:p>
          <w:p>
            <w:pPr>
              <w:pStyle w:val="null3"/>
              <w:ind w:firstLine="400"/>
              <w:jc w:val="both"/>
            </w:pPr>
            <w:r>
              <w:rPr>
                <w:rFonts w:ascii="仿宋_GB2312" w:hAnsi="仿宋_GB2312" w:cs="仿宋_GB2312" w:eastAsia="仿宋_GB2312"/>
                <w:sz w:val="21"/>
              </w:rPr>
              <w:t>2、村庄定位与目标确定：落实上位镇村体系布局和村庄分类，科学研判各村庄的定位和发展目标。</w:t>
            </w:r>
          </w:p>
          <w:p>
            <w:pPr>
              <w:pStyle w:val="null3"/>
              <w:ind w:firstLine="400"/>
              <w:jc w:val="both"/>
            </w:pPr>
            <w:r>
              <w:rPr>
                <w:rFonts w:ascii="仿宋_GB2312" w:hAnsi="仿宋_GB2312" w:cs="仿宋_GB2312" w:eastAsia="仿宋_GB2312"/>
                <w:sz w:val="21"/>
              </w:rPr>
              <w:t>3、底线管控规定：严格落实上位规划确定的耕地和永久基本农田保护红线、生态保护红线。统筹划定村庄建设边界，明确规模和管控要求。落实历史文化保护线、灾害风险防控线等重要控制线。</w:t>
            </w:r>
          </w:p>
          <w:p>
            <w:pPr>
              <w:pStyle w:val="null3"/>
              <w:ind w:firstLine="400"/>
              <w:jc w:val="both"/>
            </w:pPr>
            <w:r>
              <w:rPr>
                <w:rFonts w:ascii="仿宋_GB2312" w:hAnsi="仿宋_GB2312" w:cs="仿宋_GB2312" w:eastAsia="仿宋_GB2312"/>
                <w:sz w:val="21"/>
              </w:rPr>
              <w:t>4、农民建房管控：严格落实“一户一宅”政策，结合农村房地一体确权成果和村民合理建房需求，明确新增农民建房的选址范围、用地标准、建筑层数、建筑高度、建筑退距等管控要求，提出农房风貌指引。</w:t>
            </w:r>
          </w:p>
          <w:p>
            <w:pPr>
              <w:pStyle w:val="null3"/>
              <w:ind w:firstLine="400"/>
              <w:jc w:val="both"/>
            </w:pPr>
            <w:r>
              <w:rPr>
                <w:rFonts w:ascii="仿宋_GB2312" w:hAnsi="仿宋_GB2312" w:cs="仿宋_GB2312" w:eastAsia="仿宋_GB2312"/>
                <w:sz w:val="21"/>
              </w:rPr>
              <w:t>5、农村公益设施布局：按照“缺什么、补什么”的原则，明确公共服务设施（如村委会、文化活动室、卫生室、老年活动中心等）和基础设施（如污水处理、公共厕所、垃圾收集点等）的用地范围、规模和建设管控要求。</w:t>
            </w:r>
          </w:p>
          <w:p>
            <w:pPr>
              <w:pStyle w:val="null3"/>
              <w:ind w:firstLine="400"/>
              <w:jc w:val="both"/>
            </w:pPr>
            <w:r>
              <w:rPr>
                <w:rFonts w:ascii="仿宋_GB2312" w:hAnsi="仿宋_GB2312" w:cs="仿宋_GB2312" w:eastAsia="仿宋_GB2312"/>
                <w:sz w:val="21"/>
              </w:rPr>
              <w:t>6、农村产业用地布局：优先保障农村一二三产业融合发展需求，统筹布局商业服务业、工业、仓储等产业用地，明确用地的范围、规模和管控要求。</w:t>
            </w:r>
          </w:p>
          <w:p>
            <w:pPr>
              <w:pStyle w:val="null3"/>
              <w:ind w:firstLine="400"/>
              <w:jc w:val="both"/>
            </w:pPr>
            <w:r>
              <w:rPr>
                <w:rFonts w:ascii="仿宋_GB2312" w:hAnsi="仿宋_GB2312" w:cs="仿宋_GB2312" w:eastAsia="仿宋_GB2312"/>
                <w:sz w:val="21"/>
              </w:rPr>
              <w:t>7、国土综合整治与生态修复：落实上位规划任务，明确土地整治、生态修复等项目的类型、布局和实施时序。</w:t>
            </w:r>
          </w:p>
          <w:p>
            <w:pPr>
              <w:pStyle w:val="null3"/>
              <w:ind w:firstLine="400"/>
              <w:jc w:val="both"/>
            </w:pPr>
            <w:r>
              <w:rPr>
                <w:rFonts w:ascii="仿宋_GB2312" w:hAnsi="仿宋_GB2312" w:cs="仿宋_GB2312" w:eastAsia="仿宋_GB2312"/>
                <w:sz w:val="21"/>
              </w:rPr>
              <w:t>8、和美乡村特色风貌引导：挖掘村庄自然和人文特色，提出乡村建筑设计、公共空间、绿化景观等方面的风貌管控和引导要求。</w:t>
            </w:r>
          </w:p>
          <w:p>
            <w:pPr>
              <w:pStyle w:val="null3"/>
              <w:ind w:firstLine="400"/>
              <w:jc w:val="both"/>
            </w:pPr>
            <w:r>
              <w:rPr>
                <w:rFonts w:ascii="仿宋_GB2312" w:hAnsi="仿宋_GB2312" w:cs="仿宋_GB2312" w:eastAsia="仿宋_GB2312"/>
                <w:sz w:val="21"/>
              </w:rPr>
              <w:t>9、规划成果编制：按照要求编制形成“两图、四表、一数据库”的规划成果，确保图、表、库内容一致。</w:t>
            </w:r>
          </w:p>
          <w:p>
            <w:pPr>
              <w:pStyle w:val="null3"/>
              <w:ind w:firstLine="400"/>
              <w:jc w:val="both"/>
            </w:pPr>
            <w:r>
              <w:rPr>
                <w:rFonts w:ascii="仿宋_GB2312" w:hAnsi="仿宋_GB2312" w:cs="仿宋_GB2312" w:eastAsia="仿宋_GB2312"/>
                <w:sz w:val="21"/>
              </w:rPr>
              <w:t>10、参与规划报批：根据征求意见、专家评审和审查期间的反馈意见修改完善规划成果，直至获得正式批复。</w:t>
            </w:r>
          </w:p>
          <w:p>
            <w:pPr>
              <w:pStyle w:val="null3"/>
              <w:jc w:val="both"/>
              <w:outlineLvl w:val="0"/>
            </w:pPr>
            <w:r>
              <w:rPr>
                <w:rFonts w:ascii="仿宋_GB2312" w:hAnsi="仿宋_GB2312" w:cs="仿宋_GB2312" w:eastAsia="仿宋_GB2312"/>
                <w:sz w:val="21"/>
                <w:b/>
              </w:rPr>
              <w:t>三、技术要求</w:t>
            </w:r>
          </w:p>
          <w:p>
            <w:pPr>
              <w:pStyle w:val="null3"/>
              <w:jc w:val="both"/>
              <w:outlineLvl w:val="1"/>
            </w:pPr>
            <w:r>
              <w:rPr>
                <w:rFonts w:ascii="仿宋_GB2312" w:hAnsi="仿宋_GB2312" w:cs="仿宋_GB2312" w:eastAsia="仿宋_GB2312"/>
                <w:sz w:val="21"/>
                <w:b/>
              </w:rPr>
              <w:t>（一）规范标准</w:t>
            </w:r>
          </w:p>
          <w:p>
            <w:pPr>
              <w:pStyle w:val="null3"/>
              <w:ind w:firstLine="400"/>
              <w:jc w:val="both"/>
            </w:pPr>
            <w:r>
              <w:rPr>
                <w:rFonts w:ascii="仿宋_GB2312" w:hAnsi="仿宋_GB2312" w:cs="仿宋_GB2312" w:eastAsia="仿宋_GB2312"/>
                <w:sz w:val="21"/>
              </w:rPr>
              <w:t>规划编制全过程须严格遵守国家及陕西省、西安市现行有效的技术标准和规范，特别是：</w:t>
            </w:r>
          </w:p>
          <w:p>
            <w:pPr>
              <w:pStyle w:val="null3"/>
              <w:ind w:firstLine="400"/>
              <w:jc w:val="both"/>
            </w:pPr>
            <w:r>
              <w:rPr>
                <w:rFonts w:ascii="仿宋_GB2312" w:hAnsi="仿宋_GB2312" w:cs="仿宋_GB2312" w:eastAsia="仿宋_GB2312"/>
                <w:sz w:val="21"/>
              </w:rPr>
              <w:t>1、《西安市联村规划编制导则（试行）》。</w:t>
            </w:r>
          </w:p>
          <w:p>
            <w:pPr>
              <w:pStyle w:val="null3"/>
              <w:ind w:firstLine="400"/>
              <w:jc w:val="both"/>
            </w:pPr>
            <w:r>
              <w:rPr>
                <w:rFonts w:ascii="仿宋_GB2312" w:hAnsi="仿宋_GB2312" w:cs="仿宋_GB2312" w:eastAsia="仿宋_GB2312"/>
                <w:sz w:val="21"/>
              </w:rPr>
              <w:t>2、《陕西省乡村地区“通则式”规划技术管理规定编制要点（试行）》（陕自然资办发〔2024〕338号）。</w:t>
            </w:r>
          </w:p>
          <w:p>
            <w:pPr>
              <w:pStyle w:val="null3"/>
              <w:jc w:val="both"/>
              <w:outlineLvl w:val="1"/>
            </w:pPr>
            <w:r>
              <w:rPr>
                <w:rFonts w:ascii="仿宋_GB2312" w:hAnsi="仿宋_GB2312" w:cs="仿宋_GB2312" w:eastAsia="仿宋_GB2312"/>
                <w:sz w:val="21"/>
                <w:b/>
              </w:rPr>
              <w:t>（二）数据要求</w:t>
            </w:r>
          </w:p>
          <w:p>
            <w:pPr>
              <w:pStyle w:val="null3"/>
              <w:ind w:firstLine="400"/>
              <w:jc w:val="both"/>
            </w:pPr>
            <w:r>
              <w:rPr>
                <w:rFonts w:ascii="仿宋_GB2312" w:hAnsi="仿宋_GB2312" w:cs="仿宋_GB2312" w:eastAsia="仿宋_GB2312"/>
                <w:sz w:val="21"/>
              </w:rPr>
              <w:t>统一采用2000国家大地坐标系和1985国家高程基准。以第三次全国国土调查数据及最新的国土变更调查成果为基础，形成坐标一致、边界清晰的规划工作底图。</w:t>
            </w:r>
          </w:p>
          <w:p>
            <w:pPr>
              <w:pStyle w:val="null3"/>
              <w:jc w:val="both"/>
              <w:outlineLvl w:val="1"/>
            </w:pPr>
            <w:r>
              <w:rPr>
                <w:rFonts w:ascii="仿宋_GB2312" w:hAnsi="仿宋_GB2312" w:cs="仿宋_GB2312" w:eastAsia="仿宋_GB2312"/>
                <w:sz w:val="21"/>
                <w:b/>
              </w:rPr>
              <w:t>（三）成果衔接</w:t>
            </w:r>
          </w:p>
          <w:p>
            <w:pPr>
              <w:pStyle w:val="null3"/>
              <w:ind w:firstLine="400"/>
              <w:jc w:val="both"/>
            </w:pPr>
            <w:r>
              <w:rPr>
                <w:rFonts w:ascii="仿宋_GB2312" w:hAnsi="仿宋_GB2312" w:cs="仿宋_GB2312" w:eastAsia="仿宋_GB2312"/>
                <w:sz w:val="21"/>
              </w:rPr>
              <w:t>规划成果须与已批的《鄠邑区国土空间总体规划（2021—2025年）》和正在编制的《鄠邑区甘亭街道国土空间规划（2021—2025年）》等10个街道规划阶段性成果及其他相关专项规划充分衔接，确保管控要求和数据上下贯通、协调一致。</w:t>
            </w:r>
          </w:p>
          <w:p>
            <w:pPr>
              <w:pStyle w:val="null3"/>
              <w:jc w:val="both"/>
              <w:outlineLvl w:val="0"/>
            </w:pPr>
            <w:r>
              <w:rPr>
                <w:rFonts w:ascii="仿宋_GB2312" w:hAnsi="仿宋_GB2312" w:cs="仿宋_GB2312" w:eastAsia="仿宋_GB2312"/>
                <w:sz w:val="21"/>
                <w:b/>
              </w:rPr>
              <w:t>四、服务要求</w:t>
            </w:r>
          </w:p>
          <w:p>
            <w:pPr>
              <w:pStyle w:val="null3"/>
              <w:jc w:val="both"/>
              <w:outlineLvl w:val="1"/>
            </w:pPr>
            <w:r>
              <w:rPr>
                <w:rFonts w:ascii="仿宋_GB2312" w:hAnsi="仿宋_GB2312" w:cs="仿宋_GB2312" w:eastAsia="仿宋_GB2312"/>
                <w:sz w:val="21"/>
                <w:b/>
              </w:rPr>
              <w:t>（一）人员配置</w:t>
            </w:r>
          </w:p>
          <w:p>
            <w:pPr>
              <w:pStyle w:val="null3"/>
              <w:ind w:firstLine="400"/>
              <w:jc w:val="both"/>
            </w:pPr>
            <w:r>
              <w:rPr>
                <w:rFonts w:ascii="仿宋_GB2312" w:hAnsi="仿宋_GB2312" w:cs="仿宋_GB2312" w:eastAsia="仿宋_GB2312"/>
                <w:sz w:val="21"/>
              </w:rPr>
              <w:t>1、项目负责人：须具备注册城乡规划师或相关专业技术职称。</w:t>
            </w:r>
          </w:p>
          <w:p>
            <w:pPr>
              <w:pStyle w:val="null3"/>
              <w:ind w:firstLine="400"/>
              <w:jc w:val="both"/>
            </w:pPr>
            <w:r>
              <w:rPr>
                <w:rFonts w:ascii="仿宋_GB2312" w:hAnsi="仿宋_GB2312" w:cs="仿宋_GB2312" w:eastAsia="仿宋_GB2312"/>
                <w:sz w:val="21"/>
              </w:rPr>
              <w:t>2、项目团队：应配备城乡规划、土地资源管理等</w:t>
            </w:r>
            <w:r>
              <w:rPr>
                <w:rFonts w:ascii="仿宋_GB2312" w:hAnsi="仿宋_GB2312" w:cs="仿宋_GB2312" w:eastAsia="仿宋_GB2312"/>
                <w:sz w:val="21"/>
              </w:rPr>
              <w:t>相关</w:t>
            </w:r>
            <w:r>
              <w:rPr>
                <w:rFonts w:ascii="仿宋_GB2312" w:hAnsi="仿宋_GB2312" w:cs="仿宋_GB2312" w:eastAsia="仿宋_GB2312"/>
                <w:sz w:val="21"/>
              </w:rPr>
              <w:t>专业技术人员，其中高级职称人员不少于2人，注册城乡规划师或相关专业中级以上职称人员不少于3人。</w:t>
            </w:r>
          </w:p>
          <w:p>
            <w:pPr>
              <w:pStyle w:val="null3"/>
              <w:ind w:firstLine="400"/>
              <w:jc w:val="both"/>
            </w:pPr>
            <w:r>
              <w:rPr>
                <w:rFonts w:ascii="仿宋_GB2312" w:hAnsi="仿宋_GB2312" w:cs="仿宋_GB2312" w:eastAsia="仿宋_GB2312"/>
                <w:sz w:val="21"/>
              </w:rPr>
              <w:t>3、团队核心成员在合同期内须保持稳定，未经采购人同意不得擅自更换。</w:t>
            </w:r>
          </w:p>
          <w:p>
            <w:pPr>
              <w:pStyle w:val="null3"/>
              <w:jc w:val="both"/>
              <w:outlineLvl w:val="1"/>
            </w:pPr>
            <w:r>
              <w:rPr>
                <w:rFonts w:ascii="仿宋_GB2312" w:hAnsi="仿宋_GB2312" w:cs="仿宋_GB2312" w:eastAsia="仿宋_GB2312"/>
                <w:sz w:val="21"/>
                <w:b/>
              </w:rPr>
              <w:t>（二）服务标准</w:t>
            </w:r>
          </w:p>
          <w:p>
            <w:pPr>
              <w:pStyle w:val="null3"/>
              <w:ind w:firstLine="400"/>
              <w:jc w:val="both"/>
            </w:pPr>
            <w:r>
              <w:rPr>
                <w:rFonts w:ascii="仿宋_GB2312" w:hAnsi="仿宋_GB2312" w:cs="仿宋_GB2312" w:eastAsia="仿宋_GB2312"/>
                <w:sz w:val="21"/>
              </w:rPr>
              <w:t>1、会议汇报：按采购人要求，及时参加项目协调会、街道及村民意见征询会、评审会等，并准备高质量的汇报材料。</w:t>
            </w:r>
          </w:p>
          <w:p>
            <w:pPr>
              <w:pStyle w:val="null3"/>
              <w:ind w:firstLine="400"/>
              <w:jc w:val="both"/>
            </w:pPr>
            <w:r>
              <w:rPr>
                <w:rFonts w:ascii="仿宋_GB2312" w:hAnsi="仿宋_GB2312" w:cs="仿宋_GB2312" w:eastAsia="仿宋_GB2312"/>
                <w:sz w:val="21"/>
              </w:rPr>
              <w:t>2、过程服务：积极配合采购人完成征求意见、专家评审等全流程工作，确保规划成果能顺利获批。</w:t>
            </w:r>
          </w:p>
          <w:p>
            <w:pPr>
              <w:pStyle w:val="null3"/>
              <w:ind w:firstLine="400"/>
              <w:jc w:val="both"/>
            </w:pPr>
            <w:r>
              <w:rPr>
                <w:rFonts w:ascii="仿宋_GB2312" w:hAnsi="仿宋_GB2312" w:cs="仿宋_GB2312" w:eastAsia="仿宋_GB2312"/>
                <w:sz w:val="21"/>
              </w:rPr>
              <w:t>3、保密义务：对项目实施过程中接触到的所有资料和数据负有保密责任，不得向第三方泄露。</w:t>
            </w:r>
          </w:p>
          <w:p>
            <w:pPr>
              <w:pStyle w:val="null3"/>
              <w:jc w:val="both"/>
              <w:outlineLvl w:val="0"/>
            </w:pPr>
            <w:r>
              <w:rPr>
                <w:rFonts w:ascii="仿宋_GB2312" w:hAnsi="仿宋_GB2312" w:cs="仿宋_GB2312" w:eastAsia="仿宋_GB2312"/>
                <w:sz w:val="21"/>
                <w:b/>
              </w:rPr>
              <w:t>五、商务要求</w:t>
            </w:r>
          </w:p>
          <w:p>
            <w:pPr>
              <w:pStyle w:val="null3"/>
              <w:jc w:val="both"/>
              <w:outlineLvl w:val="1"/>
            </w:pPr>
            <w:r>
              <w:rPr>
                <w:rFonts w:ascii="仿宋_GB2312" w:hAnsi="仿宋_GB2312" w:cs="仿宋_GB2312" w:eastAsia="仿宋_GB2312"/>
                <w:sz w:val="21"/>
                <w:b/>
              </w:rPr>
              <w:t>（一）服务期限</w:t>
            </w:r>
          </w:p>
          <w:p>
            <w:pPr>
              <w:pStyle w:val="null3"/>
              <w:ind w:firstLine="400"/>
              <w:jc w:val="both"/>
            </w:pPr>
            <w:r>
              <w:rPr>
                <w:rFonts w:ascii="仿宋_GB2312" w:hAnsi="仿宋_GB2312" w:cs="仿宋_GB2312" w:eastAsia="仿宋_GB2312"/>
                <w:sz w:val="21"/>
              </w:rPr>
              <w:t>总服务期限为</w:t>
            </w:r>
            <w:r>
              <w:rPr>
                <w:rFonts w:ascii="仿宋_GB2312" w:hAnsi="仿宋_GB2312" w:cs="仿宋_GB2312" w:eastAsia="仿宋_GB2312"/>
                <w:sz w:val="21"/>
              </w:rPr>
              <w:t>自合同签订之日起</w:t>
            </w:r>
            <w:r>
              <w:rPr>
                <w:rFonts w:ascii="仿宋_GB2312" w:hAnsi="仿宋_GB2312" w:cs="仿宋_GB2312" w:eastAsia="仿宋_GB2312"/>
                <w:sz w:val="21"/>
              </w:rPr>
              <w:t>120日历天。此期限包括规划编制、征求意见、专家评审、成果修改直至提交最终报批成果的全过程。</w:t>
            </w:r>
          </w:p>
          <w:p>
            <w:pPr>
              <w:pStyle w:val="null3"/>
              <w:jc w:val="both"/>
              <w:outlineLvl w:val="1"/>
            </w:pPr>
            <w:r>
              <w:rPr>
                <w:rFonts w:ascii="仿宋_GB2312" w:hAnsi="仿宋_GB2312" w:cs="仿宋_GB2312" w:eastAsia="仿宋_GB2312"/>
                <w:sz w:val="21"/>
                <w:b/>
              </w:rPr>
              <w:t>（二）款项结算</w:t>
            </w:r>
          </w:p>
          <w:p>
            <w:pPr>
              <w:pStyle w:val="null3"/>
              <w:ind w:firstLine="400"/>
              <w:jc w:val="both"/>
            </w:pPr>
            <w:r>
              <w:rPr>
                <w:rFonts w:ascii="仿宋_GB2312" w:hAnsi="仿宋_GB2312" w:cs="仿宋_GB2312" w:eastAsia="仿宋_GB2312"/>
                <w:sz w:val="21"/>
              </w:rPr>
              <w:t>1、支付方式：采用分阶段按比例支付。</w:t>
            </w:r>
          </w:p>
          <w:p>
            <w:pPr>
              <w:pStyle w:val="null3"/>
              <w:ind w:firstLine="400"/>
              <w:jc w:val="both"/>
            </w:pPr>
            <w:r>
              <w:rPr>
                <w:rFonts w:ascii="仿宋_GB2312" w:hAnsi="仿宋_GB2312" w:cs="仿宋_GB2312" w:eastAsia="仿宋_GB2312"/>
                <w:sz w:val="21"/>
              </w:rPr>
              <w:t>2、付款条件：</w:t>
            </w:r>
          </w:p>
          <w:p>
            <w:pPr>
              <w:pStyle w:val="null3"/>
              <w:ind w:firstLine="400"/>
              <w:jc w:val="both"/>
            </w:pPr>
            <w:r>
              <w:rPr>
                <w:rFonts w:ascii="仿宋_GB2312" w:hAnsi="仿宋_GB2312" w:cs="仿宋_GB2312" w:eastAsia="仿宋_GB2312"/>
                <w:sz w:val="21"/>
              </w:rPr>
              <w:t>（1）合同签订生效后30日内，支付合同总价的30%作为项目启动预付款；</w:t>
            </w:r>
          </w:p>
          <w:p>
            <w:pPr>
              <w:pStyle w:val="null3"/>
              <w:ind w:firstLine="400"/>
              <w:jc w:val="both"/>
            </w:pPr>
            <w:r>
              <w:rPr>
                <w:rFonts w:ascii="仿宋_GB2312" w:hAnsi="仿宋_GB2312" w:cs="仿宋_GB2312" w:eastAsia="仿宋_GB2312"/>
                <w:sz w:val="21"/>
              </w:rPr>
              <w:t>（2）规划初步成果（含“两图、四表、一数据库”等）经采购人审核通过后30日内，支付合同总价的50%；</w:t>
            </w:r>
          </w:p>
          <w:p>
            <w:pPr>
              <w:pStyle w:val="null3"/>
              <w:ind w:firstLine="400"/>
              <w:jc w:val="both"/>
            </w:pPr>
            <w:r>
              <w:rPr>
                <w:rFonts w:ascii="仿宋_GB2312" w:hAnsi="仿宋_GB2312" w:cs="仿宋_GB2312" w:eastAsia="仿宋_GB2312"/>
                <w:sz w:val="21"/>
              </w:rPr>
              <w:t>（3）提交最终成果(报批稿)</w:t>
            </w:r>
            <w:r>
              <w:rPr>
                <w:rFonts w:ascii="仿宋_GB2312" w:hAnsi="仿宋_GB2312" w:cs="仿宋_GB2312" w:eastAsia="仿宋_GB2312"/>
                <w:sz w:val="21"/>
              </w:rPr>
              <w:t>后</w:t>
            </w:r>
            <w:r>
              <w:rPr>
                <w:rFonts w:ascii="仿宋_GB2312" w:hAnsi="仿宋_GB2312" w:cs="仿宋_GB2312" w:eastAsia="仿宋_GB2312"/>
                <w:sz w:val="21"/>
              </w:rPr>
              <w:t>取得区人民政府正式批复文件，并于系统备案后30日内，支付剩余合同总价的20%。</w:t>
            </w:r>
          </w:p>
          <w:p>
            <w:pPr>
              <w:pStyle w:val="null3"/>
              <w:jc w:val="both"/>
              <w:outlineLvl w:val="0"/>
            </w:pPr>
            <w:r>
              <w:rPr>
                <w:rFonts w:ascii="仿宋_GB2312" w:hAnsi="仿宋_GB2312" w:cs="仿宋_GB2312" w:eastAsia="仿宋_GB2312"/>
                <w:sz w:val="21"/>
                <w:b/>
              </w:rPr>
              <w:t>六、其他要求</w:t>
            </w:r>
          </w:p>
          <w:p>
            <w:pPr>
              <w:pStyle w:val="null3"/>
              <w:jc w:val="both"/>
              <w:outlineLvl w:val="1"/>
            </w:pPr>
            <w:r>
              <w:rPr>
                <w:rFonts w:ascii="仿宋_GB2312" w:hAnsi="仿宋_GB2312" w:cs="仿宋_GB2312" w:eastAsia="仿宋_GB2312"/>
                <w:sz w:val="21"/>
                <w:b/>
              </w:rPr>
              <w:t>（一）成果交付要求</w:t>
            </w:r>
          </w:p>
          <w:p>
            <w:pPr>
              <w:pStyle w:val="null3"/>
              <w:ind w:firstLine="400"/>
              <w:jc w:val="both"/>
            </w:pPr>
            <w:r>
              <w:rPr>
                <w:rFonts w:ascii="仿宋_GB2312" w:hAnsi="仿宋_GB2312" w:cs="仿宋_GB2312" w:eastAsia="仿宋_GB2312"/>
                <w:sz w:val="21"/>
              </w:rPr>
              <w:t>1、成果内容：依据《西安市联村规划编制导则（试行）》，成果应包括“两图”（行政村域国土空间规划图、自然村建设用地管控图）、“四表”（主要控制指标表、设施配置与风貌引导表、规划图则指标一览表、规划重大建设项目表）和“一数据库”。</w:t>
            </w:r>
          </w:p>
          <w:p>
            <w:pPr>
              <w:pStyle w:val="null3"/>
              <w:ind w:firstLine="400"/>
              <w:jc w:val="both"/>
            </w:pPr>
            <w:r>
              <w:rPr>
                <w:rFonts w:ascii="仿宋_GB2312" w:hAnsi="仿宋_GB2312" w:cs="仿宋_GB2312" w:eastAsia="仿宋_GB2312"/>
                <w:sz w:val="21"/>
              </w:rPr>
              <w:t>2、交付规格与数量</w:t>
            </w:r>
          </w:p>
          <w:p>
            <w:pPr>
              <w:pStyle w:val="null3"/>
              <w:ind w:firstLine="400"/>
              <w:jc w:val="both"/>
            </w:pPr>
            <w:r>
              <w:rPr>
                <w:rFonts w:ascii="仿宋_GB2312" w:hAnsi="仿宋_GB2312" w:cs="仿宋_GB2312" w:eastAsia="仿宋_GB2312"/>
                <w:sz w:val="21"/>
              </w:rPr>
              <w:t>（1）纸质成果：所有村庄的图件（含规划表格）一式3份，A3版式。</w:t>
            </w:r>
          </w:p>
          <w:p>
            <w:pPr>
              <w:pStyle w:val="null3"/>
              <w:ind w:firstLine="400"/>
              <w:jc w:val="both"/>
            </w:pPr>
            <w:r>
              <w:rPr>
                <w:rFonts w:ascii="仿宋_GB2312" w:hAnsi="仿宋_GB2312" w:cs="仿宋_GB2312" w:eastAsia="仿宋_GB2312"/>
                <w:sz w:val="21"/>
              </w:rPr>
              <w:t>（2）电子成果：全套成果（含数据库）的光盘或U盘一式3份。</w:t>
            </w:r>
          </w:p>
          <w:p>
            <w:pPr>
              <w:pStyle w:val="null3"/>
              <w:jc w:val="both"/>
              <w:outlineLvl w:val="1"/>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）质量验收标准或规范</w:t>
            </w:r>
          </w:p>
          <w:p>
            <w:pPr>
              <w:pStyle w:val="null3"/>
              <w:ind w:firstLine="400"/>
              <w:jc w:val="both"/>
            </w:pPr>
            <w:r>
              <w:rPr>
                <w:rFonts w:ascii="仿宋_GB2312" w:hAnsi="仿宋_GB2312" w:cs="仿宋_GB2312" w:eastAsia="仿宋_GB2312"/>
                <w:sz w:val="21"/>
              </w:rPr>
              <w:t>1、规划成果必须通过采购人组织的内部审查、专家评审和区政府审批。</w:t>
            </w:r>
          </w:p>
          <w:p>
            <w:pPr>
              <w:pStyle w:val="null3"/>
              <w:ind w:firstLine="400"/>
              <w:jc w:val="both"/>
            </w:pPr>
            <w:r>
              <w:rPr>
                <w:rFonts w:ascii="仿宋_GB2312" w:hAnsi="仿宋_GB2312" w:cs="仿宋_GB2312" w:eastAsia="仿宋_GB2312"/>
                <w:sz w:val="21"/>
              </w:rPr>
              <w:t>2、成果内容和形式须符合《陕西省乡村地区“通则式”规划技术管理规定编制要点（试行）》和《西安市联村规划编制导则（试行）》的要求。</w:t>
            </w:r>
          </w:p>
          <w:p>
            <w:pPr>
              <w:pStyle w:val="null3"/>
              <w:ind w:firstLine="400"/>
              <w:jc w:val="both"/>
            </w:pPr>
            <w:r>
              <w:rPr>
                <w:rFonts w:ascii="仿宋_GB2312" w:hAnsi="仿宋_GB2312" w:cs="仿宋_GB2312" w:eastAsia="仿宋_GB2312"/>
                <w:sz w:val="21"/>
              </w:rPr>
              <w:t>3、数据库成果须与图、表成果保持一致，满足国土空间规划“一张图”实施监督系统入库要求。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1、项目负责人：须具备注册城乡规划师或相关专业技术职称。 2、项目团队：应配备城乡规划、土地资源管理等相关专业技术人员，其中高级职称人员不少于2人，注册城乡规划师或相关专业中级以上职称人员不少于3人。 3、团队核心成员在合同期内须保持稳定，未经采购人同意不得擅自更换。</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⾃合同签订之⽇起120⽇历天。此期限包括规划编制、征求意⻅、专家评审、成果修改直⾄提交最终报批成果的全过程。</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进度款，规划初步成果（含“两图、四表、一数据库”等）经采购人审核通过后，达到付款条件起30个工作日内，支付合同总金额的50.0%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进度款，提交最终成果(报批稿)后取得区人民政府正式批复文件，并于系统备案后，达到付款条件起30个工作日内，支付合同总金额的20.0%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按照合同约定执行。（二）合同争议的解决方式：在执行本合同中发生的或与本合同有关的争端，双方应通过友好协商解决，经协商在30天内不能达成协议时，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参与本项目采购的供应商应通过陕西省政府采购综合管理平台的项目电子化交易系统在线实施响应、磋商、报价等操作，磋商响应时无需供应商现场提供纸质响应文件，但在中标（成交）后中标（成交）供应商需在2个工作日内提供纸质响应文件正本一套、副本一套（电子版文件一份含完整的电子文件PDF版本），纸质响应文件应通过专用制作软件直接打印，确保与项目电子化交易系统中的电子响应文件保持一致，不允许修改和补充。递交文件地点：陕西省西安市曲江新区旺座曲江 B 座 3105。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 《响应函》完成承诺并进行电子签章。①、供应商须具备独立承担民事责任能力的法人、其他组织或自然人，提供营业执照或事业单位法人证书；自然人参与的提供其身份证明；②提供首次响应文件递交截止时间前6个月内任意时段的纳税证明或完税证明（除印花税外任意税种），纳税证明或完税证明上应有代收机构或税务机关的公章或业务专用章。依法免税的供应商应提供相关文件证明；③提供首次响应文件递交截止时间前6个月内任意时段的社会保障资金缴存单据或社保机构开具的社会保险参保缴费情况证明，依法不需要缴纳社会保障资金的单位应提供相关证明材料；④、供应商参加政府采购活动前3年内在经营活动中没有重大违法记录的书面声明；⑤、提供履行合同所必需的设备和专业技术能力的承诺。</w:t>
            </w:r>
          </w:p>
        </w:tc>
        <w:tc>
          <w:tcPr>
            <w:tcW w:type="dxa" w:w="1661"/>
          </w:tcPr>
          <w:p>
            <w:pPr>
              <w:pStyle w:val="null3"/>
            </w:pPr>
            <w:r>
              <w:rPr>
                <w:rFonts w:ascii="仿宋_GB2312" w:hAnsi="仿宋_GB2312" w:cs="仿宋_GB2312" w:eastAsia="仿宋_GB2312"/>
              </w:rPr>
              <w:t>资格性证明文件.docx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具有经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资格性证明文件.docx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控股管理关系说明：若与其他投标人存在单位负责人为同一人或者存在直接控股、管理关系的，则投标无效。提供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资格性证明文件.docx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资格性证明文件.docx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法定代表人（或负责人）身份证明/法定代表人（或负责人）授权委托书</w:t>
            </w:r>
          </w:p>
        </w:tc>
        <w:tc>
          <w:tcPr>
            <w:tcW w:type="dxa" w:w="3322"/>
          </w:tcPr>
          <w:p>
            <w:pPr>
              <w:pStyle w:val="null3"/>
            </w:pPr>
            <w:r>
              <w:rPr>
                <w:rFonts w:ascii="仿宋_GB2312" w:hAnsi="仿宋_GB2312" w:cs="仿宋_GB2312" w:eastAsia="仿宋_GB2312"/>
              </w:rPr>
              <w:t>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tc>
        <w:tc>
          <w:tcPr>
            <w:tcW w:type="dxa" w:w="1661"/>
          </w:tcPr>
          <w:p>
            <w:pPr>
              <w:pStyle w:val="null3"/>
            </w:pPr>
            <w:r>
              <w:rPr>
                <w:rFonts w:ascii="仿宋_GB2312" w:hAnsi="仿宋_GB2312" w:cs="仿宋_GB2312" w:eastAsia="仿宋_GB2312"/>
              </w:rPr>
              <w:t>资格性证明文件.docx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供应商须具备相关行政主管部门颁发的城乡规划编制乙级及以上资质。</w:t>
            </w:r>
          </w:p>
        </w:tc>
        <w:tc>
          <w:tcPr>
            <w:tcW w:type="dxa" w:w="1661"/>
          </w:tcPr>
          <w:p>
            <w:pPr>
              <w:pStyle w:val="null3"/>
            </w:pPr>
            <w:r>
              <w:rPr>
                <w:rFonts w:ascii="仿宋_GB2312" w:hAnsi="仿宋_GB2312" w:cs="仿宋_GB2312" w:eastAsia="仿宋_GB2312"/>
              </w:rPr>
              <w:t>资格性证明文件.docx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资格性证明文件.docx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供应商提供参与磋商的承诺函</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资格性证明文件.docx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资格性证明文件.docx 标的清单 符合性证明文件.docx 报价表 响应函 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资格性证明文件.docx 标的清单 符合性证明文件.docx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标的清单 符合性证明文件.docx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 符合性证明文件.docx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 符合性证明文件.docx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响应文件封面 资格性证明文件.docx 标的清单 符合性证明文件.docx 报价表 响应函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针对本项目提供整体实施方案，根据各供应商提供的方案响应情况进行评审，每个评审因素最高得4分，本项最高得28分。 1.评审因素：①项目需求分析理解；②规划总体思路与技术路线；③工作进度计划安排及工作进度计划保障措施；④服务理念及特色；⑤对本项目的重点、难点分析；⑥作业过程中突发状况的应急处理及应急响应流程方案；⑦项目保密措施； 2.每个评审因素的评审标准为： ①方案全面、具体，科学合理，可行性强，得4分； ②方案基本全面、具体，有一定的可行性，得3分； ③方案不够全面、具体，可行性相对较弱，得2分； ④方案不全面、具体，可行性较差，得1分； 【注：未提供方案或与评审因素无关的不得分】。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针对本项目提供质量保证措施，根据各供应商提供的响应情况进行评审，每个评审因素最高得3分，本项最高得12分。1.评审因素：①质量保证体系； ②过程控制措施； ③成果审核机制；④不合格成果整改措施； 2.每个评审因素的评审标准为：①方案全面、具体，科学合理，可行性强，得3分； ②方案基本全面、具体，有一定的可行性，得2分； ③方案不够全面、具体，可行性相对较弱，得1分； 【注：未提供完整质量保证措施章节或内容与评审因素无关的，本大项不得分。】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承诺接受采购人对本项目服务的监督及管理，定期调研采购人对服务质量的满意度并加以改进，确保服务工作的优质高效，得2分。②承诺团队核心成员在合同期内须保持稳定，未经采购人同意不得擅自更换，若出现服务人员因事、病等不能工作的，及时调整其他服务人员补充，确保服务工作的正常进行，得2分。③承诺储备可调度人员，调度人员可保障临时性工作需要及突发事件处置，得2分。④承诺积极配合采购人完成征求意见、专家评审等全流程工作，确保规划成果能顺利获批。得2分。⑤承诺严格按照按采购人要求，及时参加项目协调会、街道及村民意见征询会、评审会等，并准备高质量的汇报材料得2分。评审依据：以响应文件中加盖供应商公章的承诺函为准，格式自拟，未提供承诺函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项目负责人资历</w:t>
            </w:r>
          </w:p>
        </w:tc>
        <w:tc>
          <w:tcPr>
            <w:tcW w:type="dxa" w:w="2492"/>
          </w:tcPr>
          <w:p>
            <w:pPr>
              <w:pStyle w:val="null3"/>
            </w:pPr>
            <w:r>
              <w:rPr>
                <w:rFonts w:ascii="仿宋_GB2312" w:hAnsi="仿宋_GB2312" w:cs="仿宋_GB2312" w:eastAsia="仿宋_GB2312"/>
              </w:rPr>
              <w:t>1.项目负责人具有注册城乡规划师得2分； 2.项目负责人具有相关高级及以上职称得3分，中级职称得 2分，初级职称得1分。 3.项目负责人具有硕士研究生学历以上得2分；本科学历得1分； （注：需提供身份证、最高学历证、相关资质资格证书及社保缴纳证明），未提供相关内容不得分。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项目组成员技术能力情况</w:t>
            </w:r>
          </w:p>
        </w:tc>
        <w:tc>
          <w:tcPr>
            <w:tcW w:type="dxa" w:w="2492"/>
          </w:tcPr>
          <w:p>
            <w:pPr>
              <w:pStyle w:val="null3"/>
            </w:pPr>
            <w:r>
              <w:rPr>
                <w:rFonts w:ascii="仿宋_GB2312" w:hAnsi="仿宋_GB2312" w:cs="仿宋_GB2312" w:eastAsia="仿宋_GB2312"/>
              </w:rPr>
              <w:t>1.项目组成员配备城乡规划、土地资源管理专业技术人员；团队内具备2名高级职称人员的得4分，每增加1人得2分，本项最高得8分； 2.团队内具备3名注册城乡规划师或中级职称人员的得3分，每增加1人得1分，本项最高得6分； （注：以上项目团队成员不包含项目负责人，团队成员需提供身份证、相关资质资格证书及社保缴纳证明），未提供相关内容不得分。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企业资质与信誉</w:t>
            </w:r>
          </w:p>
        </w:tc>
        <w:tc>
          <w:tcPr>
            <w:tcW w:type="dxa" w:w="2492"/>
          </w:tcPr>
          <w:p>
            <w:pPr>
              <w:pStyle w:val="null3"/>
            </w:pPr>
            <w:r>
              <w:rPr>
                <w:rFonts w:ascii="仿宋_GB2312" w:hAnsi="仿宋_GB2312" w:cs="仿宋_GB2312" w:eastAsia="仿宋_GB2312"/>
              </w:rPr>
              <w:t>获得过省级及以上优秀城乡规划奖项，每提供一个得1分，最多得1分。未提供不得分。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提供供应商2023年1月至今类似业绩合同（以合同签订时间为准），每提供一份得2分，最高得16分，未提供不得分。 评审标准：提供完整合同扫描件加盖供应商公章。</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1、经初审合格的竞争性磋商响应文件，其磋商报价为有效磋商报价。 2、满足竞争性磋商文件实质性要求且最终报价最低的供应商的价格为磋商基准价，其价格分为满分10分。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符合性证明文件.docx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详见附件：资格性证明文件.docx</w:t>
      </w:r>
    </w:p>
    <w:p>
      <w:pPr>
        <w:pStyle w:val="null3"/>
        <w:ind w:firstLine="960"/>
      </w:pPr>
      <w:r>
        <w:rPr>
          <w:rFonts w:ascii="仿宋_GB2312" w:hAnsi="仿宋_GB2312" w:cs="仿宋_GB2312" w:eastAsia="仿宋_GB2312"/>
        </w:rPr>
        <w:t>详见附件：符合性证明文件.docx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