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452F8">
      <w:pPr>
        <w:pStyle w:val="8"/>
        <w:jc w:val="center"/>
        <w:outlineLvl w:val="1"/>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补充说明</w:t>
      </w:r>
    </w:p>
    <w:tbl>
      <w:tblPr>
        <w:tblStyle w:val="6"/>
        <w:tblW w:w="9386"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907"/>
        <w:gridCol w:w="6589"/>
      </w:tblGrid>
      <w:tr w14:paraId="45AE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3EB377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907" w:type="dxa"/>
            <w:vAlign w:val="center"/>
          </w:tcPr>
          <w:p w14:paraId="4A130A5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条款名称</w:t>
            </w:r>
          </w:p>
        </w:tc>
        <w:tc>
          <w:tcPr>
            <w:tcW w:w="6589" w:type="dxa"/>
            <w:vAlign w:val="center"/>
          </w:tcPr>
          <w:p w14:paraId="7C0EBE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lang w:val="en-US" w:eastAsia="zh-CN"/>
              </w:rPr>
              <w:t>内容</w:t>
            </w:r>
          </w:p>
        </w:tc>
      </w:tr>
      <w:tr w14:paraId="18AB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FC925D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1</w:t>
            </w:r>
          </w:p>
        </w:tc>
        <w:tc>
          <w:tcPr>
            <w:tcW w:w="1907" w:type="dxa"/>
            <w:shd w:val="clear" w:color="auto" w:fill="auto"/>
            <w:vAlign w:val="center"/>
          </w:tcPr>
          <w:p w14:paraId="697F058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供应商</w:t>
            </w:r>
          </w:p>
          <w:p w14:paraId="5F23BF0D">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资格连续性</w:t>
            </w:r>
          </w:p>
        </w:tc>
        <w:tc>
          <w:tcPr>
            <w:tcW w:w="6589" w:type="dxa"/>
            <w:shd w:val="clear" w:color="auto" w:fill="auto"/>
            <w:vAlign w:val="center"/>
          </w:tcPr>
          <w:p w14:paraId="399AC666">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1）供应商发生合并、分立、破产等重大变化的，应及时</w:t>
            </w:r>
            <w:r>
              <w:rPr>
                <w:rFonts w:hint="default" w:ascii="仿宋" w:hAnsi="仿宋" w:eastAsia="仿宋" w:cs="仿宋"/>
                <w:color w:val="auto"/>
                <w:kern w:val="2"/>
                <w:sz w:val="24"/>
                <w:szCs w:val="24"/>
                <w:highlight w:val="none"/>
                <w:lang w:val="en-US" w:eastAsia="zh-CN" w:bidi="ar-SA"/>
              </w:rPr>
              <w:t>书面</w:t>
            </w:r>
            <w:r>
              <w:rPr>
                <w:rFonts w:hint="eastAsia" w:ascii="仿宋" w:hAnsi="仿宋" w:eastAsia="仿宋" w:cs="仿宋"/>
                <w:color w:val="auto"/>
                <w:kern w:val="2"/>
                <w:sz w:val="24"/>
                <w:szCs w:val="24"/>
                <w:highlight w:val="none"/>
                <w:lang w:val="en-US" w:eastAsia="zh-CN" w:bidi="ar-SA"/>
              </w:rPr>
              <w:t>告知采购人，否则承担一切不利后果。重大变化导致供应商或成交人不再符合采购要求或不能正常履约的，任何时候采购人均有权取消其响应或成交资格。</w:t>
            </w:r>
          </w:p>
          <w:p w14:paraId="15397D93">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成交人应保证企业及项目履约相关的必备资质及相关证书的有效性、连续性。如遇资质或证书临界到期需更换，成交人应提前及时续办，确保成交人资格合规合法有效，否则采购人有权随时取消其成交或履约资格，由此造成的后果由成交人自行承担。</w:t>
            </w:r>
          </w:p>
        </w:tc>
      </w:tr>
      <w:tr w14:paraId="3986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2B9A74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907" w:type="dxa"/>
            <w:shd w:val="clear" w:color="auto" w:fill="auto"/>
            <w:vAlign w:val="center"/>
          </w:tcPr>
          <w:p w14:paraId="2A7E5E80">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现场勘查</w:t>
            </w:r>
          </w:p>
        </w:tc>
        <w:tc>
          <w:tcPr>
            <w:tcW w:w="6589" w:type="dxa"/>
            <w:shd w:val="clear" w:color="auto" w:fill="auto"/>
            <w:vAlign w:val="center"/>
          </w:tcPr>
          <w:p w14:paraId="317DEB4F">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p w14:paraId="331FBBA7">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1.若需自行踏勘，请联系采购人。在踏勘现场中发生的费用、人员伤亡和财产损失均由供应商自行负责。</w:t>
            </w:r>
          </w:p>
          <w:p w14:paraId="112EA5B8">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2.供应商在踏勘现场中了解到的相关情况，仅供其在编制响应文件时参考，采购人不对供应商据此作出的判断和决策负责。</w:t>
            </w:r>
          </w:p>
        </w:tc>
      </w:tr>
      <w:tr w14:paraId="2DDF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D9AC10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2DA2CFCB">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标前答疑会</w:t>
            </w:r>
          </w:p>
        </w:tc>
        <w:tc>
          <w:tcPr>
            <w:tcW w:w="6589" w:type="dxa"/>
            <w:shd w:val="clear" w:color="auto" w:fill="auto"/>
            <w:vAlign w:val="center"/>
          </w:tcPr>
          <w:p w14:paraId="0170D93F">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tc>
      </w:tr>
      <w:tr w14:paraId="5B11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166D52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907" w:type="dxa"/>
            <w:tcBorders>
              <w:right w:val="nil"/>
            </w:tcBorders>
            <w:vAlign w:val="center"/>
          </w:tcPr>
          <w:p w14:paraId="43D67EE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磋商</w:t>
            </w:r>
            <w:r>
              <w:rPr>
                <w:rFonts w:hint="eastAsia" w:ascii="仿宋" w:hAnsi="仿宋" w:eastAsia="仿宋" w:cs="仿宋"/>
                <w:color w:val="auto"/>
                <w:sz w:val="24"/>
                <w:szCs w:val="24"/>
              </w:rPr>
              <w:t>文件</w:t>
            </w:r>
          </w:p>
        </w:tc>
        <w:tc>
          <w:tcPr>
            <w:tcW w:w="6589" w:type="dxa"/>
            <w:tcBorders>
              <w:left w:val="nil"/>
            </w:tcBorders>
            <w:vAlign w:val="center"/>
          </w:tcPr>
          <w:p w14:paraId="22EE7B61">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p>
        </w:tc>
      </w:tr>
      <w:tr w14:paraId="0172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E8DD2C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4.1</w:t>
            </w:r>
          </w:p>
        </w:tc>
        <w:tc>
          <w:tcPr>
            <w:tcW w:w="1907" w:type="dxa"/>
            <w:vAlign w:val="center"/>
          </w:tcPr>
          <w:p w14:paraId="18A8CD8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磋商文件的</w:t>
            </w:r>
          </w:p>
          <w:p w14:paraId="0FF4B608">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sz w:val="24"/>
                <w:szCs w:val="24"/>
                <w:highlight w:val="none"/>
              </w:rPr>
              <w:t>澄清、修改</w:t>
            </w:r>
          </w:p>
        </w:tc>
        <w:tc>
          <w:tcPr>
            <w:tcW w:w="6589" w:type="dxa"/>
            <w:vAlign w:val="top"/>
          </w:tcPr>
          <w:p w14:paraId="796E686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en-US" w:eastAsia="zh-CN"/>
              </w:rPr>
              <w:t>文件发出后，</w:t>
            </w:r>
            <w:r>
              <w:rPr>
                <w:rFonts w:hint="eastAsia" w:ascii="仿宋" w:hAnsi="仿宋" w:eastAsia="仿宋" w:cs="仿宋"/>
                <w:color w:val="auto"/>
                <w:kern w:val="2"/>
                <w:sz w:val="24"/>
                <w:szCs w:val="24"/>
                <w:lang w:val="en-US" w:eastAsia="zh-CN" w:bidi="ar-SA"/>
              </w:rPr>
              <w:t>采购人或者代理机构可以对已发出的</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文件进行必要的</w:t>
            </w: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kern w:val="2"/>
                <w:sz w:val="24"/>
                <w:szCs w:val="24"/>
                <w:lang w:val="en-US" w:eastAsia="zh-CN" w:bidi="ar-SA"/>
              </w:rPr>
              <w:t>澄清或者修改。</w:t>
            </w:r>
          </w:p>
          <w:p w14:paraId="652F11D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r>
              <w:rPr>
                <w:rFonts w:hint="eastAsia" w:ascii="仿宋" w:hAnsi="仿宋" w:eastAsia="仿宋" w:cs="仿宋"/>
                <w:sz w:val="24"/>
                <w:szCs w:val="24"/>
                <w:lang w:val="en-US" w:eastAsia="zh-CN"/>
              </w:rPr>
              <w:t>说明、澄清或修改</w:t>
            </w:r>
            <w:r>
              <w:rPr>
                <w:rFonts w:hint="eastAsia" w:ascii="仿宋" w:hAnsi="仿宋" w:eastAsia="仿宋" w:cs="仿宋"/>
                <w:color w:val="auto"/>
                <w:kern w:val="2"/>
                <w:sz w:val="24"/>
                <w:szCs w:val="24"/>
                <w:lang w:val="en-US" w:eastAsia="zh-CN" w:bidi="ar-SA"/>
              </w:rPr>
              <w:t>的内容为</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文件的组成部分，采购人或者代理机构将在陕西省政府采购网以公告形式通知所有已合法获取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文件的供应商。澄清、修改内容可能影响响应文件编制的，应在提交首次响应文件截止之日5个工作日前进行，不足顺延。</w:t>
            </w:r>
          </w:p>
          <w:p w14:paraId="37AA983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供应商应及时关注并了解本项目更正信息，按更正后的最新要求进行应标，若未按最新要求应标的，自行承担不利后果。采购人或代理机构不承担由于供应商联络信息不准确、人员变动等自身原因造成的信息接收不及时、不准确等后果。</w:t>
            </w:r>
          </w:p>
        </w:tc>
      </w:tr>
      <w:tr w14:paraId="780B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6065BD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w:t>
            </w:r>
          </w:p>
        </w:tc>
        <w:tc>
          <w:tcPr>
            <w:tcW w:w="1907" w:type="dxa"/>
            <w:vAlign w:val="center"/>
          </w:tcPr>
          <w:p w14:paraId="214ECD8B">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供应商对</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文件的</w:t>
            </w:r>
            <w:r>
              <w:rPr>
                <w:rFonts w:hint="eastAsia" w:ascii="仿宋" w:hAnsi="仿宋" w:eastAsia="仿宋" w:cs="仿宋"/>
                <w:color w:val="auto"/>
                <w:sz w:val="24"/>
                <w:szCs w:val="24"/>
                <w:highlight w:val="none"/>
                <w:lang w:val="en-US" w:eastAsia="zh-CN"/>
              </w:rPr>
              <w:t>咨询</w:t>
            </w:r>
          </w:p>
        </w:tc>
        <w:tc>
          <w:tcPr>
            <w:tcW w:w="6589" w:type="dxa"/>
            <w:vAlign w:val="top"/>
          </w:tcPr>
          <w:p w14:paraId="469A5783">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highlight w:val="cyan"/>
                <w:lang w:val="en-US" w:eastAsia="zh-CN"/>
              </w:rPr>
            </w:pPr>
            <w:r>
              <w:rPr>
                <w:rFonts w:hint="eastAsia" w:ascii="仿宋" w:hAnsi="仿宋" w:eastAsia="仿宋" w:cs="仿宋"/>
                <w:color w:val="auto"/>
                <w:kern w:val="0"/>
                <w:sz w:val="24"/>
                <w:szCs w:val="24"/>
                <w:highlight w:val="none"/>
                <w:lang w:val="en-US" w:eastAsia="zh-CN"/>
              </w:rPr>
              <w:t>1.供应商</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文件后，应尽快阅读，</w:t>
            </w:r>
            <w:r>
              <w:rPr>
                <w:rFonts w:hint="eastAsia" w:ascii="仿宋" w:hAnsi="仿宋" w:eastAsia="仿宋" w:cs="仿宋"/>
                <w:color w:val="auto"/>
                <w:sz w:val="24"/>
                <w:highlight w:val="none"/>
                <w:lang w:val="en-US" w:eastAsia="zh-CN"/>
              </w:rPr>
              <w:t>对于文件中出现的同一内容前后不一致、表述不准确、笔误/瑕疵、漏项等问题，供应商应及时向代理公司提出咨询、确认，否则应视为其完全理解和接受</w:t>
            </w:r>
            <w:r>
              <w:rPr>
                <w:rFonts w:hint="eastAsia" w:ascii="仿宋" w:hAnsi="仿宋" w:eastAsia="仿宋" w:cs="仿宋"/>
                <w:color w:val="auto"/>
                <w:sz w:val="24"/>
                <w:szCs w:val="24"/>
                <w:highlight w:val="none"/>
              </w:rPr>
              <w:t>磋商</w:t>
            </w:r>
            <w:r>
              <w:rPr>
                <w:rFonts w:hint="eastAsia" w:ascii="仿宋" w:hAnsi="仿宋" w:eastAsia="仿宋" w:cs="仿宋"/>
                <w:color w:val="auto"/>
                <w:sz w:val="24"/>
                <w:highlight w:val="none"/>
                <w:lang w:val="en-US" w:eastAsia="zh-CN"/>
              </w:rPr>
              <w:t>文件，对此造成的不良后果自担</w:t>
            </w:r>
            <w:r>
              <w:rPr>
                <w:rFonts w:hint="eastAsia" w:ascii="仿宋" w:hAnsi="仿宋" w:eastAsia="仿宋" w:cs="仿宋"/>
                <w:color w:val="auto"/>
                <w:sz w:val="24"/>
                <w:szCs w:val="24"/>
                <w:highlight w:val="none"/>
                <w:lang w:val="en-US" w:eastAsia="zh-CN"/>
              </w:rPr>
              <w:t>。</w:t>
            </w:r>
          </w:p>
          <w:p w14:paraId="28348288">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2.供应商未及时查看获取项目相关信息及对磋商文件的自我理解、判定、推测等造成的不利后果，供应商自行承担。</w:t>
            </w:r>
          </w:p>
          <w:p w14:paraId="0A8DC785">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highlight w:val="none"/>
                <w:lang w:val="en-US" w:eastAsia="zh-CN"/>
              </w:rPr>
              <w:t>3.采购人有权拒绝接收或回复供应商逾期提出的任何要求。</w:t>
            </w:r>
          </w:p>
        </w:tc>
      </w:tr>
      <w:tr w14:paraId="4ED4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1A25E7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1907" w:type="dxa"/>
            <w:shd w:val="clear" w:color="auto" w:fill="auto"/>
            <w:vAlign w:val="center"/>
          </w:tcPr>
          <w:p w14:paraId="7A316945">
            <w:pPr>
              <w:pStyle w:val="9"/>
              <w:keepNext w:val="0"/>
              <w:keepLines w:val="0"/>
              <w:pageBreakBefore w:val="0"/>
              <w:wordWrap/>
              <w:overflowPunct/>
              <w:topLinePunct w:val="0"/>
              <w:bidi w:val="0"/>
              <w:spacing w:line="460" w:lineRule="exact"/>
              <w:ind w:left="122"/>
              <w:jc w:val="center"/>
              <w:rPr>
                <w:rFonts w:hint="default" w:ascii="仿宋" w:hAnsi="仿宋" w:eastAsia="仿宋" w:cs="仿宋"/>
                <w:color w:val="auto"/>
                <w:spacing w:val="4"/>
                <w:sz w:val="24"/>
                <w:szCs w:val="24"/>
                <w:highlight w:val="none"/>
                <w:lang w:val="en-US" w:eastAsia="zh-CN"/>
              </w:rPr>
            </w:pPr>
            <w:r>
              <w:rPr>
                <w:rFonts w:hint="eastAsia" w:cs="仿宋"/>
                <w:color w:val="auto"/>
                <w:spacing w:val="4"/>
                <w:sz w:val="24"/>
                <w:szCs w:val="24"/>
                <w:highlight w:val="none"/>
                <w:lang w:val="en-US" w:eastAsia="zh-CN"/>
              </w:rPr>
              <w:t>最高限价</w:t>
            </w:r>
          </w:p>
          <w:p w14:paraId="031CE407">
            <w:pPr>
              <w:pStyle w:val="9"/>
              <w:keepNext w:val="0"/>
              <w:keepLines w:val="0"/>
              <w:pageBreakBefore w:val="0"/>
              <w:wordWrap/>
              <w:overflowPunct/>
              <w:topLinePunct w:val="0"/>
              <w:bidi w:val="0"/>
              <w:spacing w:line="460" w:lineRule="exact"/>
              <w:ind w:left="122" w:leftChars="0"/>
              <w:jc w:val="center"/>
              <w:rPr>
                <w:rFonts w:hint="eastAsia" w:ascii="仿宋" w:hAnsi="仿宋" w:eastAsia="仿宋" w:cs="仿宋"/>
                <w:snapToGrid w:val="0"/>
                <w:color w:val="auto"/>
                <w:spacing w:val="4"/>
                <w:kern w:val="0"/>
                <w:sz w:val="24"/>
                <w:szCs w:val="24"/>
                <w:lang w:val="en-US" w:eastAsia="zh-CN" w:bidi="ar-SA"/>
              </w:rPr>
            </w:pPr>
            <w:r>
              <w:rPr>
                <w:rFonts w:hint="eastAsia" w:ascii="仿宋" w:hAnsi="仿宋" w:eastAsia="仿宋" w:cs="仿宋"/>
                <w:color w:val="auto"/>
                <w:spacing w:val="4"/>
                <w:sz w:val="24"/>
                <w:szCs w:val="24"/>
                <w:highlight w:val="none"/>
                <w:lang w:val="en-US" w:eastAsia="zh-CN"/>
              </w:rPr>
              <w:t>编制</w:t>
            </w:r>
            <w:r>
              <w:rPr>
                <w:rFonts w:hint="eastAsia" w:cs="仿宋"/>
                <w:color w:val="auto"/>
                <w:spacing w:val="4"/>
                <w:sz w:val="24"/>
                <w:szCs w:val="24"/>
                <w:highlight w:val="none"/>
                <w:lang w:val="en-US" w:eastAsia="zh-CN"/>
              </w:rPr>
              <w:t>、计算</w:t>
            </w:r>
            <w:r>
              <w:rPr>
                <w:rFonts w:hint="eastAsia" w:ascii="仿宋" w:hAnsi="仿宋" w:eastAsia="仿宋" w:cs="仿宋"/>
                <w:color w:val="auto"/>
                <w:spacing w:val="4"/>
                <w:sz w:val="24"/>
                <w:szCs w:val="24"/>
                <w:highlight w:val="none"/>
                <w:lang w:val="en-US" w:eastAsia="zh-CN"/>
              </w:rPr>
              <w:t>依据</w:t>
            </w:r>
          </w:p>
        </w:tc>
        <w:tc>
          <w:tcPr>
            <w:tcW w:w="6589" w:type="dxa"/>
            <w:shd w:val="clear" w:color="auto" w:fill="auto"/>
            <w:vAlign w:val="center"/>
          </w:tcPr>
          <w:p w14:paraId="44B4E03F">
            <w:pPr>
              <w:pStyle w:val="9"/>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1.本工程电子版图纸；</w:t>
            </w:r>
          </w:p>
          <w:p w14:paraId="77BF611C">
            <w:pPr>
              <w:pStyle w:val="9"/>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lang w:val="en-US" w:eastAsia="zh-CN"/>
              </w:rPr>
            </w:pPr>
            <w:r>
              <w:rPr>
                <w:rFonts w:hint="eastAsia" w:cs="仿宋"/>
                <w:spacing w:val="4"/>
                <w:sz w:val="24"/>
                <w:szCs w:val="24"/>
                <w:lang w:val="en-US" w:eastAsia="zh-CN"/>
              </w:rPr>
              <w:t>2.</w:t>
            </w:r>
            <w:r>
              <w:rPr>
                <w:rFonts w:hint="eastAsia" w:ascii="仿宋" w:hAnsi="仿宋" w:eastAsia="仿宋" w:cs="仿宋"/>
                <w:spacing w:val="4"/>
                <w:sz w:val="24"/>
                <w:szCs w:val="24"/>
                <w:lang w:val="en-US" w:eastAsia="zh-CN"/>
              </w:rPr>
              <w:t>《陕西省建设工程工程量清单计价计算标准》（2025）、《陕西省建设工程费用规则》(2025)、《陕西省房屋建筑与装饰工程消耗量定额》(2025)、《陕西省通用安装工程消耗量定额》(2025)、《陕西省房屋建筑与装饰工程基价表》（2025）、《陕西省通用安装工程基价表》（2025）及其他相关的计价依据和办法；</w:t>
            </w:r>
          </w:p>
          <w:p w14:paraId="4D876E9B">
            <w:pPr>
              <w:pStyle w:val="9"/>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lang w:val="en-US" w:eastAsia="zh-CN"/>
              </w:rPr>
            </w:pPr>
            <w:r>
              <w:rPr>
                <w:rFonts w:hint="eastAsia" w:cs="仿宋"/>
                <w:spacing w:val="4"/>
                <w:sz w:val="24"/>
                <w:szCs w:val="24"/>
                <w:lang w:val="en-US" w:eastAsia="zh-CN"/>
              </w:rPr>
              <w:t>3.</w:t>
            </w:r>
            <w:r>
              <w:rPr>
                <w:rFonts w:hint="eastAsia" w:ascii="仿宋" w:hAnsi="仿宋" w:eastAsia="仿宋" w:cs="仿宋"/>
                <w:spacing w:val="4"/>
                <w:sz w:val="24"/>
                <w:szCs w:val="24"/>
                <w:lang w:val="en-US" w:eastAsia="zh-CN"/>
              </w:rPr>
              <w:t>正常的施工组织及方法、施工规范和验收规范等；</w:t>
            </w:r>
          </w:p>
          <w:p w14:paraId="61407B02">
            <w:pPr>
              <w:pStyle w:val="9"/>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lang w:val="en-US" w:eastAsia="zh-CN"/>
              </w:rPr>
            </w:pPr>
            <w:r>
              <w:rPr>
                <w:rFonts w:hint="eastAsia" w:cs="仿宋"/>
                <w:spacing w:val="4"/>
                <w:sz w:val="24"/>
                <w:szCs w:val="24"/>
                <w:lang w:val="en-US" w:eastAsia="zh-CN"/>
              </w:rPr>
              <w:t>4.</w:t>
            </w:r>
            <w:r>
              <w:rPr>
                <w:rFonts w:hint="eastAsia" w:ascii="仿宋" w:hAnsi="仿宋" w:eastAsia="仿宋" w:cs="仿宋"/>
                <w:spacing w:val="4"/>
                <w:sz w:val="24"/>
                <w:szCs w:val="24"/>
                <w:lang w:val="en-US" w:eastAsia="zh-CN"/>
              </w:rPr>
              <w:t>材料价按照《陕西工程造价信息》2025年6月(铜川市印台区)计取，并结合市场价编制；</w:t>
            </w:r>
          </w:p>
          <w:p w14:paraId="267F15CC">
            <w:pPr>
              <w:pStyle w:val="9"/>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lang w:val="en-US" w:eastAsia="zh-CN"/>
              </w:rPr>
            </w:pPr>
            <w:r>
              <w:rPr>
                <w:rFonts w:hint="eastAsia" w:cs="仿宋"/>
                <w:spacing w:val="4"/>
                <w:sz w:val="24"/>
                <w:szCs w:val="24"/>
                <w:lang w:val="en-US" w:eastAsia="zh-CN"/>
              </w:rPr>
              <w:t>5.</w:t>
            </w:r>
            <w:r>
              <w:rPr>
                <w:rFonts w:hint="eastAsia" w:ascii="仿宋" w:hAnsi="仿宋" w:eastAsia="仿宋" w:cs="仿宋"/>
                <w:spacing w:val="4"/>
                <w:sz w:val="24"/>
                <w:szCs w:val="24"/>
                <w:lang w:val="en-US" w:eastAsia="zh-CN"/>
              </w:rPr>
              <w:t>其他与本项目有关的资料等。</w:t>
            </w:r>
          </w:p>
        </w:tc>
      </w:tr>
      <w:tr w14:paraId="45FF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3AFDE2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6</w:t>
            </w:r>
          </w:p>
        </w:tc>
        <w:tc>
          <w:tcPr>
            <w:tcW w:w="1907" w:type="dxa"/>
            <w:shd w:val="clear" w:color="auto" w:fill="auto"/>
            <w:vAlign w:val="center"/>
          </w:tcPr>
          <w:p w14:paraId="70B92F92">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最高限价</w:t>
            </w:r>
          </w:p>
        </w:tc>
        <w:tc>
          <w:tcPr>
            <w:tcW w:w="6589" w:type="dxa"/>
            <w:shd w:val="clear" w:color="auto" w:fill="auto"/>
            <w:vAlign w:val="center"/>
          </w:tcPr>
          <w:p w14:paraId="4FBF8833">
            <w:pPr>
              <w:pStyle w:val="9"/>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lang w:val="en-US" w:eastAsia="zh-CN"/>
              </w:rPr>
            </w:pPr>
            <w:r>
              <w:rPr>
                <w:rFonts w:hint="eastAsia" w:cs="仿宋"/>
                <w:spacing w:val="4"/>
                <w:sz w:val="24"/>
                <w:szCs w:val="24"/>
                <w:highlight w:val="none"/>
                <w:lang w:val="en-US" w:eastAsia="zh-CN"/>
              </w:rPr>
              <w:t>1,619,889.25</w:t>
            </w:r>
            <w:r>
              <w:rPr>
                <w:rFonts w:hint="eastAsia" w:ascii="仿宋" w:hAnsi="仿宋" w:eastAsia="仿宋" w:cs="仿宋"/>
                <w:spacing w:val="4"/>
                <w:sz w:val="24"/>
                <w:szCs w:val="24"/>
                <w:highlight w:val="none"/>
                <w:lang w:val="en-US" w:eastAsia="zh-CN"/>
              </w:rPr>
              <w:t>元</w:t>
            </w:r>
            <w:r>
              <w:rPr>
                <w:rFonts w:hint="eastAsia" w:cs="仿宋"/>
                <w:spacing w:val="4"/>
                <w:sz w:val="24"/>
                <w:szCs w:val="24"/>
                <w:highlight w:val="none"/>
                <w:lang w:val="en-US" w:eastAsia="zh-CN"/>
              </w:rPr>
              <w:t>（</w:t>
            </w:r>
            <w:r>
              <w:rPr>
                <w:rFonts w:hint="eastAsia" w:ascii="仿宋" w:hAnsi="仿宋" w:eastAsia="仿宋" w:cs="仿宋"/>
                <w:spacing w:val="4"/>
                <w:sz w:val="24"/>
                <w:szCs w:val="24"/>
                <w:highlight w:val="none"/>
                <w:lang w:val="en-US" w:eastAsia="zh-CN"/>
              </w:rPr>
              <w:t>超出限价，</w:t>
            </w:r>
            <w:r>
              <w:rPr>
                <w:rFonts w:hint="eastAsia" w:cs="仿宋"/>
                <w:spacing w:val="4"/>
                <w:sz w:val="24"/>
                <w:szCs w:val="24"/>
                <w:highlight w:val="none"/>
                <w:lang w:val="en-US" w:eastAsia="zh-CN"/>
              </w:rPr>
              <w:t>响应</w:t>
            </w:r>
            <w:r>
              <w:rPr>
                <w:rFonts w:hint="eastAsia" w:ascii="仿宋" w:hAnsi="仿宋" w:eastAsia="仿宋" w:cs="仿宋"/>
                <w:spacing w:val="4"/>
                <w:sz w:val="24"/>
                <w:szCs w:val="24"/>
                <w:highlight w:val="none"/>
                <w:lang w:val="en-US" w:eastAsia="zh-CN"/>
              </w:rPr>
              <w:t>无效</w:t>
            </w:r>
            <w:r>
              <w:rPr>
                <w:rFonts w:hint="eastAsia" w:cs="仿宋"/>
                <w:spacing w:val="4"/>
                <w:sz w:val="24"/>
                <w:szCs w:val="24"/>
                <w:highlight w:val="none"/>
                <w:lang w:val="en-US" w:eastAsia="zh-CN"/>
              </w:rPr>
              <w:t>）</w:t>
            </w:r>
            <w:r>
              <w:rPr>
                <w:rFonts w:hint="eastAsia" w:ascii="仿宋" w:hAnsi="仿宋" w:eastAsia="仿宋" w:cs="仿宋"/>
                <w:spacing w:val="4"/>
                <w:sz w:val="24"/>
                <w:szCs w:val="24"/>
                <w:lang w:val="en-US" w:eastAsia="zh-CN"/>
              </w:rPr>
              <w:t>。</w:t>
            </w:r>
          </w:p>
        </w:tc>
      </w:tr>
      <w:tr w14:paraId="3727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8A2DAFC">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7</w:t>
            </w:r>
          </w:p>
        </w:tc>
        <w:tc>
          <w:tcPr>
            <w:tcW w:w="1907" w:type="dxa"/>
            <w:shd w:val="clear" w:color="auto" w:fill="auto"/>
            <w:vAlign w:val="center"/>
          </w:tcPr>
          <w:p w14:paraId="2459328F">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响应计价要求</w:t>
            </w:r>
          </w:p>
        </w:tc>
        <w:tc>
          <w:tcPr>
            <w:tcW w:w="6589" w:type="dxa"/>
            <w:shd w:val="clear" w:color="auto" w:fill="auto"/>
            <w:vAlign w:val="center"/>
          </w:tcPr>
          <w:p w14:paraId="7D8DBF1F">
            <w:pPr>
              <w:pStyle w:val="9"/>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1.计价以广联达计价平台GBQ7.0版本：7.5000.23.3版本编制。</w:t>
            </w:r>
          </w:p>
          <w:p w14:paraId="1DFFCF83">
            <w:pPr>
              <w:pStyle w:val="9"/>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2.未按要求计价，后果由</w:t>
            </w:r>
            <w:r>
              <w:rPr>
                <w:rFonts w:hint="eastAsia" w:cs="仿宋"/>
                <w:spacing w:val="4"/>
                <w:sz w:val="24"/>
                <w:szCs w:val="24"/>
                <w:lang w:val="en-US" w:eastAsia="zh-CN"/>
              </w:rPr>
              <w:t>供应商</w:t>
            </w:r>
            <w:r>
              <w:rPr>
                <w:rFonts w:hint="eastAsia" w:ascii="仿宋" w:hAnsi="仿宋" w:eastAsia="仿宋" w:cs="仿宋"/>
                <w:spacing w:val="4"/>
                <w:sz w:val="24"/>
                <w:szCs w:val="24"/>
                <w:lang w:val="en-US" w:eastAsia="zh-CN"/>
              </w:rPr>
              <w:t>自行承担。</w:t>
            </w:r>
          </w:p>
        </w:tc>
      </w:tr>
      <w:tr w14:paraId="18DD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5CD719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8</w:t>
            </w:r>
          </w:p>
        </w:tc>
        <w:tc>
          <w:tcPr>
            <w:tcW w:w="1907" w:type="dxa"/>
            <w:tcBorders>
              <w:right w:val="nil"/>
            </w:tcBorders>
            <w:vAlign w:val="center"/>
          </w:tcPr>
          <w:p w14:paraId="0DB3538D">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kern w:val="0"/>
                <w:sz w:val="24"/>
                <w:szCs w:val="24"/>
              </w:rPr>
              <w:t>响应</w:t>
            </w:r>
            <w:r>
              <w:rPr>
                <w:rFonts w:hint="eastAsia" w:ascii="仿宋" w:hAnsi="仿宋" w:eastAsia="仿宋" w:cs="仿宋"/>
                <w:color w:val="auto"/>
                <w:sz w:val="24"/>
                <w:szCs w:val="24"/>
              </w:rPr>
              <w:t>文件</w:t>
            </w:r>
          </w:p>
        </w:tc>
        <w:tc>
          <w:tcPr>
            <w:tcW w:w="6589" w:type="dxa"/>
            <w:tcBorders>
              <w:left w:val="nil"/>
            </w:tcBorders>
            <w:vAlign w:val="top"/>
          </w:tcPr>
          <w:p w14:paraId="35D694D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0"/>
                <w:sz w:val="24"/>
                <w:szCs w:val="24"/>
                <w:lang w:val="en-US" w:eastAsia="zh-CN"/>
              </w:rPr>
            </w:pPr>
          </w:p>
        </w:tc>
      </w:tr>
      <w:tr w14:paraId="6214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31B7DA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kern w:val="2"/>
                <w:sz w:val="24"/>
                <w:szCs w:val="24"/>
                <w:lang w:val="en-US" w:eastAsia="zh-CN" w:bidi="ar-SA"/>
              </w:rPr>
              <w:t>.1</w:t>
            </w:r>
          </w:p>
        </w:tc>
        <w:tc>
          <w:tcPr>
            <w:tcW w:w="1907" w:type="dxa"/>
            <w:shd w:val="clear" w:color="auto" w:fill="auto"/>
            <w:vAlign w:val="center"/>
          </w:tcPr>
          <w:p w14:paraId="7177AA83">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供应商对响应文件的补充、修改、</w:t>
            </w:r>
            <w:r>
              <w:rPr>
                <w:rFonts w:hint="default" w:ascii="仿宋" w:hAnsi="仿宋" w:eastAsia="仿宋" w:cs="仿宋"/>
                <w:color w:val="auto"/>
                <w:sz w:val="24"/>
                <w:szCs w:val="24"/>
                <w:lang w:val="en-US" w:eastAsia="zh-CN"/>
              </w:rPr>
              <w:t>撤回</w:t>
            </w:r>
          </w:p>
        </w:tc>
        <w:tc>
          <w:tcPr>
            <w:tcW w:w="6589" w:type="dxa"/>
            <w:shd w:val="clear" w:color="auto" w:fill="auto"/>
            <w:vAlign w:val="top"/>
          </w:tcPr>
          <w:p w14:paraId="128FB1A9">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1.供应商在提交首次响应文件截止时间前，供应商可以补充、修改或者撤回已成功提交的响应文件；对响应文件进行补充、修改的，应当先行撤回已提交的响应文件，补充、修改后重新提交。</w:t>
            </w:r>
          </w:p>
          <w:p w14:paraId="0F0CE27E">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2.响应文件撤回再未及时提交，视为未提交响应文件。</w:t>
            </w:r>
          </w:p>
        </w:tc>
      </w:tr>
      <w:tr w14:paraId="2E3EF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70B0D0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8.2</w:t>
            </w:r>
          </w:p>
        </w:tc>
        <w:tc>
          <w:tcPr>
            <w:tcW w:w="1907" w:type="dxa"/>
            <w:shd w:val="clear" w:color="auto" w:fill="auto"/>
            <w:vAlign w:val="center"/>
          </w:tcPr>
          <w:p w14:paraId="66F4649B">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磋商响应</w:t>
            </w:r>
          </w:p>
        </w:tc>
        <w:tc>
          <w:tcPr>
            <w:tcW w:w="6589" w:type="dxa"/>
            <w:shd w:val="clear" w:color="auto" w:fill="auto"/>
            <w:vAlign w:val="center"/>
          </w:tcPr>
          <w:p w14:paraId="632558B2">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1.投标提供的工程施工、服务等，应满足国家、行业现行标准规范及本次采购要求是基本要求，对于国家、行业相关的强制性要求，无论磋商文件是否要求/规定，供应商也均应完全满足，否则响应无效。</w:t>
            </w:r>
          </w:p>
          <w:p w14:paraId="073F434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评审小组须依据磋商文件规定的关联文件进行要素评审：若关联文件相应内容与响应文件前后不一致，以关联文件内容为准；关联文件以外的响应内容前后不一致时，以澄清后的内容为准，若未经澄清，则以对采购人有利的内容为准。</w:t>
            </w:r>
          </w:p>
          <w:p w14:paraId="2DBA459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3.若合同签订或履约期间与项目相关的国家、行业标准规范废止或更新，双方可依法进行上报、变更，经监督管理部门审核批准后，由合同双方以补充协议的方式进行并做好详细说明、记录。</w:t>
            </w:r>
          </w:p>
          <w:p w14:paraId="49840E6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成交后或合同签订前，采购人有权对成交人的响应文件相关资料原件、货物性能、参数等进行核查、检验，若成交人在规定时间内拒不配合或核查不实，造成可能导致无法按期签订合同或项目无法按期推进，视为不按采购要求和响应承诺执行、不履行对采购要约的承诺，损害了采购方的权益，构成违约，采购人有权上报监管部门随时取消其成交资格，造成损失的应当赔偿。</w:t>
            </w:r>
          </w:p>
        </w:tc>
      </w:tr>
      <w:tr w14:paraId="46120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1C7B66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8.3</w:t>
            </w:r>
          </w:p>
        </w:tc>
        <w:tc>
          <w:tcPr>
            <w:tcW w:w="1907" w:type="dxa"/>
            <w:shd w:val="clear" w:color="auto" w:fill="auto"/>
            <w:vAlign w:val="center"/>
          </w:tcPr>
          <w:p w14:paraId="1BDB7FE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磋</w:t>
            </w:r>
            <w:r>
              <w:rPr>
                <w:rFonts w:hint="eastAsia" w:ascii="仿宋" w:hAnsi="仿宋" w:eastAsia="仿宋" w:cs="仿宋"/>
                <w:color w:val="auto"/>
                <w:sz w:val="24"/>
                <w:szCs w:val="24"/>
                <w:highlight w:val="none"/>
                <w:lang w:val="en-US" w:eastAsia="zh-CN"/>
              </w:rPr>
              <w:t>商（响应）</w:t>
            </w:r>
            <w:r>
              <w:rPr>
                <w:rFonts w:hint="eastAsia" w:ascii="仿宋" w:hAnsi="仿宋" w:eastAsia="仿宋" w:cs="仿宋"/>
                <w:color w:val="auto"/>
                <w:sz w:val="24"/>
                <w:szCs w:val="24"/>
                <w:highlight w:val="none"/>
              </w:rPr>
              <w:t>报</w:t>
            </w:r>
            <w:r>
              <w:rPr>
                <w:rFonts w:hint="eastAsia" w:ascii="仿宋" w:hAnsi="仿宋" w:eastAsia="仿宋" w:cs="仿宋"/>
                <w:sz w:val="24"/>
                <w:szCs w:val="24"/>
                <w:highlight w:val="none"/>
              </w:rPr>
              <w:t>价</w:t>
            </w:r>
          </w:p>
        </w:tc>
        <w:tc>
          <w:tcPr>
            <w:tcW w:w="6589" w:type="dxa"/>
            <w:shd w:val="clear" w:color="auto" w:fill="auto"/>
            <w:vAlign w:val="center"/>
          </w:tcPr>
          <w:p w14:paraId="4BEA9D30">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1.人民币报价，为含税价。</w:t>
            </w:r>
          </w:p>
          <w:p w14:paraId="4A9AF27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pacing w:val="4"/>
                <w:sz w:val="24"/>
                <w:szCs w:val="24"/>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pacing w:val="4"/>
                <w:sz w:val="24"/>
                <w:szCs w:val="24"/>
                <w:highlight w:val="none"/>
                <w:lang w:val="en-US" w:eastAsia="zh-CN"/>
              </w:rPr>
              <w:t>本项目为固定单价合同</w:t>
            </w:r>
            <w:bookmarkStart w:id="0" w:name="_GoBack"/>
            <w:bookmarkEnd w:id="0"/>
            <w:r>
              <w:rPr>
                <w:rFonts w:hint="eastAsia" w:ascii="仿宋" w:hAnsi="仿宋" w:eastAsia="仿宋" w:cs="仿宋"/>
                <w:color w:val="auto"/>
                <w:spacing w:val="4"/>
                <w:sz w:val="24"/>
                <w:szCs w:val="24"/>
                <w:lang w:val="en-US" w:eastAsia="zh-CN"/>
              </w:rPr>
              <w:t>。</w:t>
            </w:r>
          </w:p>
          <w:p w14:paraId="4CD7898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3.响应报价是采购范围内全部工作内容的价格体现，包含按采购要求及响应完成本项目所发生的可预见和不可预见的一切费用，采购人不再支付任何费用（合同另有约定的事项除外）。供应商根据磋商文件、施工图纸、工程量清单、施工现场情况及工程特点行业规范等，全面考虑风险，及时了解和掌握项目情况及所在地区与本项目相关的政策、规定及价格等情况，结合企业自身技术力量、装备管理水平及市场行情，做到报价准确合理、合法合规，减少失误。不得违反《价格法》和《反不正当竞争法》的相关规定。因误读、理解偏差、对文件、项目或政策了解不全等原因造成的后果，将按照对采购人有利的方法进行处理，不利后果由供应商自行承担。</w:t>
            </w:r>
          </w:p>
          <w:p w14:paraId="694C25A4">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4.措施项目中的安全文明施工费、规费和税金等，须按国家或省级、行业建设主管部门的规定计算，不得作为竞争性费用。</w:t>
            </w:r>
          </w:p>
          <w:p w14:paraId="086B552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4"/>
                <w:sz w:val="24"/>
                <w:szCs w:val="24"/>
                <w:lang w:val="en-US" w:eastAsia="zh-CN"/>
              </w:rPr>
              <w:t>5.若有“免费”视为表述，对其相应成本费用视为已均摊入响应报价中。漏报、少报费用也视为已含在响应报价中（实质性要求除外），且不对磋商范围、磋商内容及项目质量等完整履约产生任何影响</w:t>
            </w:r>
            <w:r>
              <w:rPr>
                <w:rFonts w:hint="eastAsia" w:ascii="仿宋" w:hAnsi="仿宋" w:eastAsia="仿宋" w:cs="仿宋"/>
                <w:color w:val="auto"/>
                <w:sz w:val="24"/>
                <w:szCs w:val="24"/>
                <w:lang w:val="en-US" w:eastAsia="zh-CN"/>
              </w:rPr>
              <w:t>。</w:t>
            </w:r>
          </w:p>
        </w:tc>
      </w:tr>
      <w:tr w14:paraId="6005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87B0017">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8.4</w:t>
            </w:r>
          </w:p>
        </w:tc>
        <w:tc>
          <w:tcPr>
            <w:tcW w:w="1907" w:type="dxa"/>
            <w:shd w:val="clear" w:color="auto" w:fill="auto"/>
            <w:vAlign w:val="center"/>
          </w:tcPr>
          <w:p w14:paraId="2C2009A5">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eastAsia="zh-CN"/>
              </w:rPr>
              <w:t>磋商</w:t>
            </w:r>
            <w:r>
              <w:rPr>
                <w:rFonts w:hint="eastAsia" w:ascii="仿宋" w:hAnsi="仿宋" w:eastAsia="仿宋" w:cs="仿宋"/>
                <w:kern w:val="2"/>
                <w:sz w:val="24"/>
                <w:szCs w:val="24"/>
                <w:lang w:val="en-US" w:eastAsia="zh-CN" w:bidi="ar-SA"/>
              </w:rPr>
              <w:t>规则</w:t>
            </w:r>
          </w:p>
        </w:tc>
        <w:tc>
          <w:tcPr>
            <w:tcW w:w="6589" w:type="dxa"/>
            <w:shd w:val="clear" w:color="auto" w:fill="auto"/>
            <w:vAlign w:val="center"/>
          </w:tcPr>
          <w:p w14:paraId="5CFA65AD">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1.磋商轮次和报价次数根据磋商情况由磋商小组决定，磋商轮次至少一轮，报价次数不少于两次（含首次响应报价），最后报价无效，响应无效。</w:t>
            </w:r>
          </w:p>
          <w:p w14:paraId="7542CCE7">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磋商多轮报价采用首次响应文件的总报价下浮一定比例的方式进行报价，供应商在未提高响应文件中承诺的标准情况下，其后轮报价不得高于对该项目前轮的报价，否则，磋商小组应当对其响应文件作无效处理，不允许进入综合评分。</w:t>
            </w:r>
          </w:p>
          <w:p w14:paraId="27CA52CA">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3.成交后的价格不得更改，最终结算时以最后报价-下浮比例调整后的工程量清单综合单价进行计算，</w:t>
            </w:r>
          </w:p>
          <w:p w14:paraId="69EA03CB">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磋商过程可能实质性变动采购需求中的技术、服务及合同条款等（磋商文件规定的实质性内容不得变动），变动后的内容须经采购人认可，并通知进入磋商环节的所有供应商，磋商结束后，供应商根据磋商变化后的内容提交响应文件和最后响应报价，磋商小组以提交的最后响应文件和报价进行评审。</w:t>
            </w:r>
          </w:p>
          <w:p w14:paraId="1515C432">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5.在提交最后报价之前，供应商可以根据磋商情况退出磋商。</w:t>
            </w:r>
          </w:p>
        </w:tc>
      </w:tr>
      <w:tr w14:paraId="2D15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AB0EF8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8.5</w:t>
            </w:r>
          </w:p>
        </w:tc>
        <w:tc>
          <w:tcPr>
            <w:tcW w:w="1907" w:type="dxa"/>
            <w:shd w:val="clear" w:color="auto" w:fill="auto"/>
            <w:vAlign w:val="center"/>
          </w:tcPr>
          <w:p w14:paraId="3BF67099">
            <w:pPr>
              <w:keepNext w:val="0"/>
              <w:keepLines w:val="0"/>
              <w:pageBreakBefore w:val="0"/>
              <w:wordWrap/>
              <w:overflowPunct/>
              <w:topLinePunct w:val="0"/>
              <w:bidi w:val="0"/>
              <w:spacing w:line="460" w:lineRule="exact"/>
              <w:jc w:val="center"/>
              <w:rPr>
                <w:rFonts w:hint="eastAsia" w:ascii="仿宋" w:hAnsi="仿宋" w:eastAsia="仿宋" w:cs="仿宋"/>
                <w:snapToGrid w:val="0"/>
                <w:color w:val="000000"/>
                <w:spacing w:val="4"/>
                <w:kern w:val="0"/>
                <w:sz w:val="24"/>
                <w:szCs w:val="24"/>
                <w:lang w:val="en-US" w:eastAsia="zh-CN" w:bidi="ar-SA"/>
              </w:rPr>
            </w:pPr>
            <w:r>
              <w:rPr>
                <w:rFonts w:hint="eastAsia" w:ascii="仿宋" w:hAnsi="仿宋" w:eastAsia="仿宋" w:cs="仿宋"/>
                <w:snapToGrid w:val="0"/>
                <w:color w:val="000000"/>
                <w:spacing w:val="4"/>
                <w:kern w:val="0"/>
                <w:sz w:val="24"/>
                <w:szCs w:val="24"/>
                <w:lang w:val="en-US" w:eastAsia="zh-CN" w:bidi="ar-SA"/>
              </w:rPr>
              <w:t>工程变更、工程量偏差调整</w:t>
            </w:r>
          </w:p>
        </w:tc>
        <w:tc>
          <w:tcPr>
            <w:tcW w:w="6589" w:type="dxa"/>
            <w:shd w:val="clear" w:color="auto" w:fill="auto"/>
            <w:vAlign w:val="center"/>
          </w:tcPr>
          <w:p w14:paraId="19CDCEAB">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供应商在响应前应复核并确认采购方提供的工程量清单、图纸及相关资料，如发现工程量清单、图纸及相关资料中有不符项、漏项或错误，应及时提出，经由采购方确认是否进行修改调整，否则视为供应商理解、认可并接受工程量清单、图纸及相关资料所包含的所有内容和范围。对于供应商因为误读、漏项、理解偏差、对文件资料了解不全等原因造成的损失，均由供应商自行承担。</w:t>
            </w:r>
          </w:p>
          <w:p w14:paraId="1E13309B">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2.合同项下工程变更：合同项下工程累计变更金额超过成交合同价10%（含10%）的，原则上应重新进行采购。</w:t>
            </w:r>
          </w:p>
          <w:p w14:paraId="052B83DB">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zh-CN"/>
              </w:rPr>
              <w:t>3.合同外变更：依法进行。</w:t>
            </w:r>
          </w:p>
        </w:tc>
      </w:tr>
      <w:tr w14:paraId="1C1B1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CBD95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rPr>
              <w:t>8.6</w:t>
            </w:r>
          </w:p>
        </w:tc>
        <w:tc>
          <w:tcPr>
            <w:tcW w:w="1907" w:type="dxa"/>
            <w:shd w:val="clear" w:color="auto" w:fill="auto"/>
            <w:vAlign w:val="center"/>
          </w:tcPr>
          <w:p w14:paraId="036DBB1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rPr>
              <w:t>响应备选方案</w:t>
            </w:r>
          </w:p>
        </w:tc>
        <w:tc>
          <w:tcPr>
            <w:tcW w:w="6589" w:type="dxa"/>
            <w:shd w:val="clear" w:color="auto" w:fill="auto"/>
            <w:vAlign w:val="center"/>
          </w:tcPr>
          <w:p w14:paraId="00857E37">
            <w:pPr>
              <w:keepNext w:val="0"/>
              <w:keepLines w:val="0"/>
              <w:pageBreakBefore w:val="0"/>
              <w:kinsoku/>
              <w:wordWrap/>
              <w:overflowPunct/>
              <w:topLinePunct w:val="0"/>
              <w:autoSpaceDE/>
              <w:autoSpaceDN/>
              <w:bidi w:val="0"/>
              <w:adjustRightInd/>
              <w:snapToGrid w:val="0"/>
              <w:spacing w:line="500" w:lineRule="exact"/>
              <w:jc w:val="left"/>
              <w:textAlignment w:val="baseline"/>
              <w:rPr>
                <w:rFonts w:hint="eastAsia" w:ascii="仿宋" w:hAnsi="仿宋" w:eastAsia="仿宋" w:cs="仿宋"/>
                <w:snapToGrid w:val="0"/>
                <w:color w:val="auto"/>
                <w:kern w:val="2"/>
                <w:sz w:val="24"/>
                <w:szCs w:val="24"/>
                <w:lang w:val="en-US" w:eastAsia="zh-CN" w:bidi="ar-SA"/>
              </w:rPr>
            </w:pPr>
            <w:r>
              <w:rPr>
                <w:rFonts w:hint="eastAsia" w:ascii="仿宋" w:hAnsi="仿宋" w:eastAsia="仿宋" w:cs="仿宋"/>
                <w:color w:val="auto"/>
                <w:sz w:val="24"/>
                <w:szCs w:val="24"/>
                <w:lang w:val="en-US" w:eastAsia="zh-CN"/>
              </w:rPr>
              <w:t>不允许</w:t>
            </w:r>
          </w:p>
        </w:tc>
      </w:tr>
      <w:tr w14:paraId="2456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043923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9</w:t>
            </w:r>
          </w:p>
        </w:tc>
        <w:tc>
          <w:tcPr>
            <w:tcW w:w="1907" w:type="dxa"/>
            <w:shd w:val="clear" w:color="auto" w:fill="auto"/>
            <w:vAlign w:val="center"/>
          </w:tcPr>
          <w:p w14:paraId="1AAD020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★实质性要求</w:t>
            </w:r>
          </w:p>
        </w:tc>
        <w:tc>
          <w:tcPr>
            <w:tcW w:w="6589" w:type="dxa"/>
            <w:shd w:val="clear" w:color="auto" w:fill="auto"/>
            <w:vAlign w:val="center"/>
          </w:tcPr>
          <w:p w14:paraId="209F704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1.供应商资格要求；2.符合性要求；3.法律法规和磋商文件规定的其他实质性要求。</w:t>
            </w:r>
          </w:p>
        </w:tc>
      </w:tr>
      <w:tr w14:paraId="28D1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B4A758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1907" w:type="dxa"/>
            <w:shd w:val="clear" w:color="auto" w:fill="auto"/>
            <w:vAlign w:val="center"/>
          </w:tcPr>
          <w:p w14:paraId="5EC54D7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约定与标准</w:t>
            </w:r>
          </w:p>
        </w:tc>
        <w:tc>
          <w:tcPr>
            <w:tcW w:w="6589" w:type="dxa"/>
            <w:shd w:val="clear" w:color="auto" w:fill="auto"/>
            <w:vAlign w:val="center"/>
          </w:tcPr>
          <w:p w14:paraId="107FD9F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成交人在磋商或履约过程中，应严格遵守诚信原则与全面履约义务。对于采购活动中有关服务、质量、技术等约定不明确的，应首先按国家强制性标准、推荐性标准、地方标准依次执行，其次应符合国家、行业/地方现行标准规范和采购要求，最终达到满足实现本合同目的和功能的特定标准。</w:t>
            </w:r>
          </w:p>
          <w:p w14:paraId="3CD7022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本磋商文件所拟订的技术为基本/主要技术要求，并未对一切技术细节做出规定，也未充分引述有关标准和规范条文，供应商所提供的服务、货物、性能和功能应不低于本文件条款的要求，并应按本磋商文件的要求提交符合本技术要求规定及与项目有关的完整的技术方案。</w:t>
            </w:r>
          </w:p>
          <w:p w14:paraId="67671CB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3.供应商必须保证所提供服务、货物等的质量满足国家或行业现行法律法规及相关规章和采购要求，并且承担所有在合同中指定的责任和义务。</w:t>
            </w:r>
          </w:p>
          <w:p w14:paraId="45ADD5F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供应商拟提供的服务/产品须是成熟的、市场供应充足的、能保证正常履约的。成交后不能以任何理由对磋商、响应做实质性的修改（如工程内容、标准、工期、变更价格、减少工程量等），导致采购人与成交人之间权利义务发生重大变化。若确实需要变更，则由采购人上报监管部门审批，依法进行处理。</w:t>
            </w:r>
          </w:p>
          <w:p w14:paraId="01AA5FDA">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5.供应商的磋商响应，视为已充分考虑了本项目的特殊性、作业限制性及现场可能存在的所有现场风险，所报价格已涵盖了本项目已明确或未明确但与项目相关联的伴随服务等全部内容，无漏项、缺项，后续不能因未踏勘、未核实现场信息、现场细节及其他问题提出任何调价、索赔和异议。</w:t>
            </w:r>
          </w:p>
          <w:p w14:paraId="5C0B7B8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6.成交后若遇相关强制性标准变更导致无法正常履约（或采购方要求按新标准执行），经监督部门审批同意后，双方可签定补充协议，协商按新标准调整方案。</w:t>
            </w:r>
          </w:p>
        </w:tc>
      </w:tr>
      <w:tr w14:paraId="1CD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B378EF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11</w:t>
            </w:r>
          </w:p>
        </w:tc>
        <w:tc>
          <w:tcPr>
            <w:tcW w:w="1907" w:type="dxa"/>
            <w:shd w:val="clear" w:color="auto" w:fill="auto"/>
            <w:vAlign w:val="center"/>
          </w:tcPr>
          <w:p w14:paraId="3A416E0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数字计算</w:t>
            </w:r>
          </w:p>
        </w:tc>
        <w:tc>
          <w:tcPr>
            <w:tcW w:w="6589" w:type="dxa"/>
            <w:shd w:val="clear" w:color="auto" w:fill="auto"/>
            <w:vAlign w:val="center"/>
          </w:tcPr>
          <w:p w14:paraId="6D0E531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四舍五入，保留小数点后两位</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（特殊说明除外）</w:t>
            </w:r>
          </w:p>
        </w:tc>
      </w:tr>
      <w:tr w14:paraId="3491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72C10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p>
        </w:tc>
        <w:tc>
          <w:tcPr>
            <w:tcW w:w="1907" w:type="dxa"/>
            <w:tcBorders>
              <w:right w:val="nil"/>
            </w:tcBorders>
            <w:vAlign w:val="center"/>
          </w:tcPr>
          <w:p w14:paraId="3DB5CE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eastAsia="zh-CN"/>
              </w:rPr>
              <w:t>中小企业</w:t>
            </w:r>
          </w:p>
        </w:tc>
        <w:tc>
          <w:tcPr>
            <w:tcW w:w="6589" w:type="dxa"/>
            <w:tcBorders>
              <w:left w:val="nil"/>
            </w:tcBorders>
            <w:vAlign w:val="center"/>
          </w:tcPr>
          <w:p w14:paraId="04BA17B2">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402D0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F5CBD65">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r>
              <w:rPr>
                <w:rFonts w:hint="eastAsia" w:ascii="仿宋" w:hAnsi="仿宋" w:eastAsia="仿宋" w:cs="仿宋"/>
                <w:color w:val="auto"/>
                <w:sz w:val="24"/>
                <w:szCs w:val="24"/>
                <w:lang w:val="en-US" w:eastAsia="zh-CN"/>
              </w:rPr>
              <w:t>.1</w:t>
            </w:r>
          </w:p>
        </w:tc>
        <w:tc>
          <w:tcPr>
            <w:tcW w:w="1907" w:type="dxa"/>
            <w:shd w:val="clear" w:color="auto" w:fill="auto"/>
            <w:vAlign w:val="center"/>
          </w:tcPr>
          <w:p w14:paraId="310A23C6">
            <w:pPr>
              <w:keepNext w:val="0"/>
              <w:keepLines w:val="0"/>
              <w:pageBreakBefore w:val="0"/>
              <w:tabs>
                <w:tab w:val="left" w:pos="0"/>
              </w:tabs>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中小企业</w:t>
            </w:r>
          </w:p>
        </w:tc>
        <w:tc>
          <w:tcPr>
            <w:tcW w:w="6589" w:type="dxa"/>
            <w:shd w:val="clear" w:color="auto" w:fill="auto"/>
            <w:vAlign w:val="center"/>
          </w:tcPr>
          <w:p w14:paraId="678FE3F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1.中小企业判定依据：《中小企业划型标准规定》。</w:t>
            </w:r>
          </w:p>
          <w:p w14:paraId="04E3D92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w:t>
            </w:r>
          </w:p>
          <w:p w14:paraId="2186A87B">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3.符合中小企业划分标准的个体工商户，在政府采购活动中视同中小企业。符合条件的监狱企业、残疾人福利性单位视同小微企业，在参加政府采购活动时享受扶持政策。</w:t>
            </w:r>
          </w:p>
          <w:p w14:paraId="240C0B8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4.供应商提供《中小企业声明函》（或《残疾人福利性单位声明函》、《监狱或戒毒企业声明函》），并对声明的真实性、准确性、有效性负责。</w:t>
            </w:r>
          </w:p>
          <w:p w14:paraId="0EFB68B3">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5.成交人提供的《中小企业声明函》、《残疾人福利性单位声明函》、《监狱或戒毒企业声明函》随同成交结果公示，接受社会监督，若有不实，将承担经济和法律后果。</w:t>
            </w:r>
          </w:p>
          <w:p w14:paraId="59BE69DF">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6.享受扶持政策获得政府采购合同的，小微企业不得将合同分包给大中型企业，中型企业不得将合同分包给大型企业。</w:t>
            </w:r>
          </w:p>
          <w:p w14:paraId="54404E2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7.发生纠纷时，对中小企业的最终认定，由磋商企业注册登记所在地的县级以上人民政府中小企业主管部门负责。</w:t>
            </w:r>
          </w:p>
        </w:tc>
      </w:tr>
      <w:tr w14:paraId="2D87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E58B2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r>
              <w:rPr>
                <w:rFonts w:hint="eastAsia" w:ascii="仿宋" w:hAnsi="仿宋" w:eastAsia="仿宋" w:cs="仿宋"/>
                <w:color w:val="auto"/>
                <w:sz w:val="24"/>
                <w:szCs w:val="24"/>
                <w:lang w:val="en-US" w:eastAsia="zh-CN"/>
              </w:rPr>
              <w:t>.2</w:t>
            </w:r>
          </w:p>
        </w:tc>
        <w:tc>
          <w:tcPr>
            <w:tcW w:w="1907" w:type="dxa"/>
            <w:shd w:val="clear" w:color="auto" w:fill="auto"/>
            <w:vAlign w:val="center"/>
          </w:tcPr>
          <w:p w14:paraId="23826781">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中小企业</w:t>
            </w:r>
          </w:p>
          <w:p w14:paraId="0C50D9B7">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划型标准</w:t>
            </w:r>
          </w:p>
        </w:tc>
        <w:tc>
          <w:tcPr>
            <w:tcW w:w="6589" w:type="dxa"/>
            <w:shd w:val="clear" w:color="auto" w:fill="auto"/>
            <w:vAlign w:val="center"/>
          </w:tcPr>
          <w:p w14:paraId="28BF162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1.本项目所属行业：建筑业</w:t>
            </w:r>
          </w:p>
          <w:p w14:paraId="7554190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2.划型标准：</w:t>
            </w:r>
            <w:r>
              <w:rPr>
                <w:rFonts w:hint="eastAsia" w:ascii="仿宋" w:hAnsi="仿宋" w:eastAsia="仿宋" w:cs="仿宋"/>
                <w:snapToGrid w:val="0"/>
                <w:color w:val="000000"/>
                <w:spacing w:val="4"/>
                <w:kern w:val="0"/>
                <w:sz w:val="24"/>
                <w:szCs w:val="24"/>
                <w:lang w:val="en-US" w:eastAsia="zh-CN" w:bidi="ar-SA"/>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仿宋" w:hAnsi="仿宋" w:eastAsia="仿宋" w:cs="仿宋"/>
                <w:color w:val="auto"/>
                <w:sz w:val="24"/>
                <w:szCs w:val="24"/>
                <w:lang w:val="en-US" w:eastAsia="zh-CN"/>
              </w:rPr>
              <w:t>。</w:t>
            </w:r>
          </w:p>
        </w:tc>
      </w:tr>
      <w:tr w14:paraId="56B4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F4C1B7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r>
              <w:rPr>
                <w:rFonts w:hint="eastAsia" w:ascii="仿宋" w:hAnsi="仿宋" w:eastAsia="仿宋" w:cs="仿宋"/>
                <w:color w:val="auto"/>
                <w:sz w:val="24"/>
                <w:szCs w:val="24"/>
                <w:lang w:val="en-US" w:eastAsia="zh-CN"/>
              </w:rPr>
              <w:t>.3</w:t>
            </w:r>
          </w:p>
        </w:tc>
        <w:tc>
          <w:tcPr>
            <w:tcW w:w="1907" w:type="dxa"/>
            <w:shd w:val="clear" w:color="auto" w:fill="auto"/>
            <w:vAlign w:val="center"/>
          </w:tcPr>
          <w:p w14:paraId="484E8863">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中小企业声明函填写说明</w:t>
            </w:r>
          </w:p>
        </w:tc>
        <w:tc>
          <w:tcPr>
            <w:tcW w:w="6589" w:type="dxa"/>
            <w:shd w:val="clear" w:color="auto" w:fill="auto"/>
            <w:vAlign w:val="center"/>
          </w:tcPr>
          <w:p w14:paraId="01B632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从业人员、营业收入、资产总额：以参加本采购活动的上年年末数字为准（或全年平均数字），无上一年度数据的新成立企业可不填报（须提供有效印证材料）。</w:t>
            </w:r>
          </w:p>
        </w:tc>
      </w:tr>
      <w:tr w14:paraId="58B1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5999B2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12.4</w:t>
            </w:r>
          </w:p>
        </w:tc>
        <w:tc>
          <w:tcPr>
            <w:tcW w:w="1907" w:type="dxa"/>
            <w:shd w:val="clear" w:color="auto" w:fill="auto"/>
            <w:vAlign w:val="center"/>
          </w:tcPr>
          <w:p w14:paraId="3CD88BA2">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声明函澄清、</w:t>
            </w:r>
          </w:p>
          <w:p w14:paraId="486AA957">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修正</w:t>
            </w:r>
          </w:p>
        </w:tc>
        <w:tc>
          <w:tcPr>
            <w:tcW w:w="6589" w:type="dxa"/>
            <w:shd w:val="clear" w:color="auto" w:fill="auto"/>
            <w:vAlign w:val="center"/>
          </w:tcPr>
          <w:p w14:paraId="4858EF4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声明函中存在明显笔误、划</w:t>
            </w:r>
            <w:r>
              <w:rPr>
                <w:rFonts w:hint="default" w:ascii="仿宋" w:hAnsi="仿宋" w:eastAsia="仿宋" w:cs="仿宋"/>
                <w:color w:val="auto"/>
                <w:sz w:val="24"/>
                <w:szCs w:val="24"/>
                <w:lang w:val="en-US" w:eastAsia="zh-CN"/>
              </w:rPr>
              <w:t>型</w:t>
            </w:r>
            <w:r>
              <w:rPr>
                <w:rFonts w:hint="eastAsia" w:ascii="仿宋" w:hAnsi="仿宋" w:eastAsia="仿宋" w:cs="仿宋"/>
                <w:color w:val="auto"/>
                <w:sz w:val="24"/>
                <w:szCs w:val="24"/>
                <w:lang w:val="en-US" w:eastAsia="zh-CN"/>
              </w:rPr>
              <w:t>错误、同一内容前后不一致等无主观故意为之的</w:t>
            </w:r>
            <w:r>
              <w:rPr>
                <w:rFonts w:hint="default" w:ascii="仿宋" w:hAnsi="仿宋" w:eastAsia="仿宋" w:cs="仿宋"/>
                <w:color w:val="auto"/>
                <w:sz w:val="24"/>
                <w:szCs w:val="24"/>
                <w:lang w:val="en-US" w:eastAsia="zh-CN"/>
              </w:rPr>
              <w:t>情</w:t>
            </w:r>
            <w:r>
              <w:rPr>
                <w:rFonts w:hint="eastAsia" w:ascii="仿宋" w:hAnsi="仿宋" w:eastAsia="仿宋" w:cs="仿宋"/>
                <w:color w:val="auto"/>
                <w:sz w:val="24"/>
                <w:szCs w:val="24"/>
                <w:lang w:val="en-US" w:eastAsia="zh-CN"/>
              </w:rPr>
              <w:t>形，磋商小组可要求供应商予以澄清，澄清后符合中小企业条件的，该声明函有效，否则无效。</w:t>
            </w:r>
          </w:p>
        </w:tc>
      </w:tr>
      <w:tr w14:paraId="7D01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8BBA22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w:t>
            </w:r>
          </w:p>
        </w:tc>
        <w:tc>
          <w:tcPr>
            <w:tcW w:w="1907" w:type="dxa"/>
            <w:tcBorders>
              <w:right w:val="nil"/>
            </w:tcBorders>
            <w:vAlign w:val="center"/>
          </w:tcPr>
          <w:p w14:paraId="55EA803C">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合同</w:t>
            </w:r>
          </w:p>
        </w:tc>
        <w:tc>
          <w:tcPr>
            <w:tcW w:w="6589" w:type="dxa"/>
            <w:tcBorders>
              <w:left w:val="nil"/>
            </w:tcBorders>
            <w:vAlign w:val="center"/>
          </w:tcPr>
          <w:p w14:paraId="2E3718CD">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3C14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086240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13.1</w:t>
            </w:r>
          </w:p>
        </w:tc>
        <w:tc>
          <w:tcPr>
            <w:tcW w:w="1907" w:type="dxa"/>
            <w:vAlign w:val="center"/>
          </w:tcPr>
          <w:p w14:paraId="259F7FC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合同类型</w:t>
            </w:r>
          </w:p>
        </w:tc>
        <w:tc>
          <w:tcPr>
            <w:tcW w:w="6589" w:type="dxa"/>
            <w:vAlign w:val="center"/>
          </w:tcPr>
          <w:p w14:paraId="3B7CD1C0">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固定单</w:t>
            </w:r>
            <w:r>
              <w:rPr>
                <w:rFonts w:hint="eastAsia" w:ascii="仿宋" w:hAnsi="仿宋" w:eastAsia="仿宋" w:cs="仿宋"/>
                <w:color w:val="auto"/>
                <w:spacing w:val="4"/>
                <w:sz w:val="24"/>
                <w:szCs w:val="24"/>
                <w:highlight w:val="none"/>
                <w:lang w:val="en-US" w:eastAsia="zh-CN"/>
              </w:rPr>
              <w:t>价</w:t>
            </w:r>
            <w:r>
              <w:rPr>
                <w:rFonts w:hint="eastAsia" w:ascii="仿宋" w:hAnsi="仿宋" w:eastAsia="仿宋" w:cs="仿宋"/>
                <w:color w:val="auto"/>
                <w:sz w:val="24"/>
                <w:szCs w:val="24"/>
                <w:highlight w:val="none"/>
                <w:lang w:val="en-US" w:eastAsia="zh-CN"/>
              </w:rPr>
              <w:t>合同</w:t>
            </w:r>
          </w:p>
        </w:tc>
      </w:tr>
      <w:tr w14:paraId="29B4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A224F5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13.2</w:t>
            </w:r>
          </w:p>
        </w:tc>
        <w:tc>
          <w:tcPr>
            <w:tcW w:w="1907" w:type="dxa"/>
            <w:shd w:val="clear" w:color="auto" w:fill="auto"/>
            <w:vAlign w:val="center"/>
          </w:tcPr>
          <w:p w14:paraId="5EA69C9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val="en-US" w:eastAsia="zh-CN"/>
              </w:rPr>
              <w:t>合同订立</w:t>
            </w:r>
          </w:p>
        </w:tc>
        <w:tc>
          <w:tcPr>
            <w:tcW w:w="6589" w:type="dxa"/>
            <w:shd w:val="clear" w:color="auto" w:fill="auto"/>
            <w:vAlign w:val="center"/>
          </w:tcPr>
          <w:p w14:paraId="51A96A85">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val="en-US" w:eastAsia="zh-CN"/>
              </w:rPr>
              <w:t>自成交</w:t>
            </w:r>
            <w:r>
              <w:rPr>
                <w:rFonts w:hint="eastAsia" w:ascii="仿宋" w:hAnsi="仿宋" w:eastAsia="仿宋" w:cs="仿宋"/>
                <w:bCs/>
                <w:color w:val="auto"/>
                <w:sz w:val="24"/>
                <w:szCs w:val="24"/>
              </w:rPr>
              <w:t>通知书</w:t>
            </w:r>
            <w:r>
              <w:rPr>
                <w:rFonts w:hint="eastAsia" w:ascii="仿宋" w:hAnsi="仿宋" w:eastAsia="仿宋" w:cs="仿宋"/>
                <w:bCs/>
                <w:color w:val="auto"/>
                <w:sz w:val="24"/>
                <w:szCs w:val="24"/>
                <w:lang w:val="en-US" w:eastAsia="zh-CN"/>
              </w:rPr>
              <w:t>发出之日起</w:t>
            </w:r>
            <w:r>
              <w:rPr>
                <w:rFonts w:hint="eastAsia" w:ascii="仿宋" w:hAnsi="仿宋" w:eastAsia="仿宋" w:cs="仿宋"/>
                <w:bCs/>
                <w:color w:val="auto"/>
                <w:sz w:val="24"/>
                <w:szCs w:val="24"/>
                <w:highlight w:val="none"/>
                <w:lang w:val="en-US" w:eastAsia="zh-CN"/>
              </w:rPr>
              <w:t>二十五日</w:t>
            </w:r>
            <w:r>
              <w:rPr>
                <w:rFonts w:hint="eastAsia" w:ascii="仿宋" w:hAnsi="仿宋" w:eastAsia="仿宋" w:cs="仿宋"/>
                <w:bCs/>
                <w:color w:val="auto"/>
                <w:sz w:val="24"/>
                <w:szCs w:val="24"/>
              </w:rPr>
              <w:t>内</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采购人与成交人按照磋商文件确定的事项和响应文件订立书面合同（合同不能对已确定的实质性内容进行修改）。采购人和成交人不得再行订立背离合同实质性内容的其他协议</w:t>
            </w:r>
            <w:r>
              <w:rPr>
                <w:rFonts w:hint="eastAsia" w:ascii="仿宋" w:hAnsi="仿宋" w:eastAsia="仿宋" w:cs="仿宋"/>
                <w:bCs/>
                <w:color w:val="auto"/>
                <w:sz w:val="24"/>
                <w:szCs w:val="24"/>
                <w:lang w:eastAsia="zh-CN"/>
              </w:rPr>
              <w:t>。</w:t>
            </w:r>
          </w:p>
          <w:p w14:paraId="410752BD">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2、磋商文件要求成交人提交履约保证金或者其他形式履约或风险保证的，成交人应当提交；拒绝提交的，视为放弃成交资格。</w:t>
            </w:r>
          </w:p>
          <w:p w14:paraId="4EA27030">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3、甲乙双方无正当理由不按规定签订合同，或在签订合同时向对方提出附加条件，更改合同实质性内容的，依法承担相应法律责任；给对方造成损失的应当赔偿。</w:t>
            </w:r>
          </w:p>
          <w:p w14:paraId="2866F81A">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成交通知书是合同的重要组成部分。磋商文件、响应文件及评审过程中有关的澄清文件均作为合同附件。成交无效的，发出的成交通知书和签订的合同自始没有法律约束力，但不影响合同中独立存在的有关解决争议方法的条款的效力。</w:t>
            </w:r>
          </w:p>
          <w:p w14:paraId="5601475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5、成交人应按照合同约定完整履行义务。</w:t>
            </w:r>
          </w:p>
          <w:p w14:paraId="30C94900">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6、若乙方违约，采购人有权单方面取消合同，相应风险由成交人承担。</w:t>
            </w:r>
          </w:p>
          <w:p w14:paraId="3F0C8EBF">
            <w:pPr>
              <w:keepNext w:val="0"/>
              <w:keepLines w:val="0"/>
              <w:pageBreakBefore w:val="0"/>
              <w:tabs>
                <w:tab w:val="left" w:pos="0"/>
              </w:tabs>
              <w:kinsoku/>
              <w:wordWrap/>
              <w:overflowPunct/>
              <w:topLinePunct w:val="0"/>
              <w:autoSpaceDE/>
              <w:autoSpaceDN/>
              <w:bidi w:val="0"/>
              <w:adjustRightInd/>
              <w:spacing w:line="500" w:lineRule="exact"/>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7、若本项目实施条件/要求发生变化或发生不可抗力，采购方有权单方解除合同，相关风险由成交方承担。</w:t>
            </w:r>
          </w:p>
        </w:tc>
      </w:tr>
      <w:tr w14:paraId="7EF4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877609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13.3</w:t>
            </w:r>
          </w:p>
        </w:tc>
        <w:tc>
          <w:tcPr>
            <w:tcW w:w="1907" w:type="dxa"/>
            <w:vAlign w:val="center"/>
          </w:tcPr>
          <w:p w14:paraId="31167329">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分包</w:t>
            </w:r>
          </w:p>
        </w:tc>
        <w:tc>
          <w:tcPr>
            <w:tcW w:w="6589" w:type="dxa"/>
            <w:vAlign w:val="center"/>
          </w:tcPr>
          <w:p w14:paraId="5D87A4F3">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本项目不允许分包。</w:t>
            </w:r>
          </w:p>
        </w:tc>
      </w:tr>
      <w:tr w14:paraId="1CFC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C2C0D4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w:t>
            </w:r>
            <w:r>
              <w:rPr>
                <w:rFonts w:hint="eastAsia" w:ascii="仿宋" w:hAnsi="仿宋" w:eastAsia="仿宋" w:cs="仿宋"/>
                <w:color w:val="auto"/>
                <w:kern w:val="2"/>
                <w:sz w:val="24"/>
                <w:szCs w:val="24"/>
                <w:lang w:val="en-US" w:eastAsia="zh-CN" w:bidi="ar-SA"/>
              </w:rPr>
              <w:t>.4</w:t>
            </w:r>
          </w:p>
        </w:tc>
        <w:tc>
          <w:tcPr>
            <w:tcW w:w="1907" w:type="dxa"/>
            <w:vAlign w:val="center"/>
          </w:tcPr>
          <w:p w14:paraId="5A7D6E7A">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转包</w:t>
            </w:r>
          </w:p>
        </w:tc>
        <w:tc>
          <w:tcPr>
            <w:tcW w:w="6589" w:type="dxa"/>
            <w:vAlign w:val="center"/>
          </w:tcPr>
          <w:p w14:paraId="7004B1CD">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本项目不允许转包。</w:t>
            </w:r>
          </w:p>
        </w:tc>
      </w:tr>
      <w:tr w14:paraId="4E39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76B98B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w:t>
            </w:r>
            <w:r>
              <w:rPr>
                <w:rFonts w:hint="eastAsia" w:ascii="仿宋" w:hAnsi="仿宋" w:eastAsia="仿宋" w:cs="仿宋"/>
                <w:color w:val="auto"/>
                <w:kern w:val="2"/>
                <w:sz w:val="24"/>
                <w:szCs w:val="24"/>
                <w:lang w:val="en-US" w:eastAsia="zh-CN" w:bidi="ar-SA"/>
              </w:rPr>
              <w:t>.5</w:t>
            </w:r>
          </w:p>
        </w:tc>
        <w:tc>
          <w:tcPr>
            <w:tcW w:w="1907" w:type="dxa"/>
            <w:vAlign w:val="center"/>
          </w:tcPr>
          <w:p w14:paraId="61E1691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合同争议及违约</w:t>
            </w:r>
          </w:p>
        </w:tc>
        <w:tc>
          <w:tcPr>
            <w:tcW w:w="6589" w:type="dxa"/>
            <w:vAlign w:val="center"/>
          </w:tcPr>
          <w:p w14:paraId="743AD4B8">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先按本项目采购合同执行，若涉及采购合同未规定的条款，则按《中华人民共和国民法典》</w:t>
            </w:r>
            <w:r>
              <w:rPr>
                <w:rFonts w:hint="eastAsia" w:ascii="仿宋" w:hAnsi="仿宋" w:eastAsia="仿宋" w:cs="仿宋"/>
                <w:bCs/>
                <w:color w:val="auto"/>
                <w:sz w:val="24"/>
                <w:szCs w:val="24"/>
                <w:lang w:val="en-US" w:eastAsia="zh-CN"/>
              </w:rPr>
              <w:t>等相关规定执行。</w:t>
            </w:r>
          </w:p>
        </w:tc>
      </w:tr>
      <w:tr w14:paraId="3495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840A5D1">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w:t>
            </w:r>
          </w:p>
        </w:tc>
        <w:tc>
          <w:tcPr>
            <w:tcW w:w="1907" w:type="dxa"/>
            <w:tcBorders>
              <w:right w:val="nil"/>
            </w:tcBorders>
            <w:vAlign w:val="center"/>
          </w:tcPr>
          <w:p w14:paraId="2C7084C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磋商评审</w:t>
            </w:r>
          </w:p>
        </w:tc>
        <w:tc>
          <w:tcPr>
            <w:tcW w:w="6589" w:type="dxa"/>
            <w:tcBorders>
              <w:left w:val="nil"/>
            </w:tcBorders>
            <w:vAlign w:val="center"/>
          </w:tcPr>
          <w:p w14:paraId="104B4E72">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4A1B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E572D8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14.1</w:t>
            </w:r>
          </w:p>
        </w:tc>
        <w:tc>
          <w:tcPr>
            <w:tcW w:w="1907" w:type="dxa"/>
            <w:shd w:val="clear" w:color="auto" w:fill="auto"/>
            <w:vAlign w:val="center"/>
          </w:tcPr>
          <w:p w14:paraId="552899FE">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color w:val="auto"/>
                <w:sz w:val="24"/>
                <w:szCs w:val="24"/>
                <w:lang w:val="en-US" w:eastAsia="zh-CN"/>
              </w:rPr>
              <w:t>资格审查主体</w:t>
            </w:r>
          </w:p>
        </w:tc>
        <w:tc>
          <w:tcPr>
            <w:tcW w:w="6589" w:type="dxa"/>
            <w:shd w:val="clear" w:color="auto" w:fill="auto"/>
            <w:vAlign w:val="center"/>
          </w:tcPr>
          <w:p w14:paraId="1C2A0FC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highlight w:val="none"/>
                <w:lang w:val="en-US" w:eastAsia="zh-CN" w:bidi="ar-SA"/>
              </w:rPr>
              <w:t>采购人</w:t>
            </w:r>
          </w:p>
        </w:tc>
      </w:tr>
      <w:tr w14:paraId="3876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7BF8B4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14.2</w:t>
            </w:r>
          </w:p>
        </w:tc>
        <w:tc>
          <w:tcPr>
            <w:tcW w:w="1907" w:type="dxa"/>
            <w:shd w:val="clear" w:color="auto" w:fill="auto"/>
            <w:vAlign w:val="center"/>
          </w:tcPr>
          <w:p w14:paraId="4263917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符合性审查主体</w:t>
            </w:r>
          </w:p>
        </w:tc>
        <w:tc>
          <w:tcPr>
            <w:tcW w:w="6589" w:type="dxa"/>
            <w:shd w:val="clear" w:color="auto" w:fill="auto"/>
            <w:vAlign w:val="center"/>
          </w:tcPr>
          <w:p w14:paraId="4805F43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磋商小组</w:t>
            </w:r>
          </w:p>
        </w:tc>
      </w:tr>
      <w:tr w14:paraId="577E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A1E193C">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14.3</w:t>
            </w:r>
          </w:p>
        </w:tc>
        <w:tc>
          <w:tcPr>
            <w:tcW w:w="1907" w:type="dxa"/>
            <w:shd w:val="clear" w:color="auto" w:fill="auto"/>
            <w:vAlign w:val="center"/>
          </w:tcPr>
          <w:p w14:paraId="23590250">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澄清、更正</w:t>
            </w:r>
          </w:p>
        </w:tc>
        <w:tc>
          <w:tcPr>
            <w:tcW w:w="6589" w:type="dxa"/>
            <w:shd w:val="clear" w:color="auto" w:fill="auto"/>
            <w:vAlign w:val="center"/>
          </w:tcPr>
          <w:p w14:paraId="61FEB03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磋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24CFB78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2.磋商小组要求供应商澄清、说明或者更正响应文件应当线上提出。供应商的澄清、说明或者更正应当进行签章。</w:t>
            </w:r>
          </w:p>
        </w:tc>
      </w:tr>
      <w:tr w14:paraId="1CF6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A0AB6F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14.4</w:t>
            </w:r>
          </w:p>
        </w:tc>
        <w:tc>
          <w:tcPr>
            <w:tcW w:w="1907" w:type="dxa"/>
            <w:shd w:val="clear" w:color="auto" w:fill="auto"/>
            <w:vAlign w:val="center"/>
          </w:tcPr>
          <w:p w14:paraId="75FCEBF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default"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修正</w:t>
            </w:r>
          </w:p>
        </w:tc>
        <w:tc>
          <w:tcPr>
            <w:tcW w:w="6589" w:type="dxa"/>
            <w:shd w:val="clear" w:color="auto" w:fill="auto"/>
            <w:vAlign w:val="center"/>
          </w:tcPr>
          <w:p w14:paraId="59FF2D3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（一）响应文件中未构成实质性偏差的不正规、不一致或不规则，采购人可以接受，但这种接受不能损害或影响供应商的评审排序；</w:t>
            </w:r>
          </w:p>
          <w:p w14:paraId="1368025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（二）除磋商文件另有规定外，报价出现下列情况的，不需要供应商澄清，按以下原则处理：</w:t>
            </w:r>
          </w:p>
          <w:p w14:paraId="697DCA5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240" w:firstLineChars="1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（1）报价函与标的清单总价不一致的以报价函为准。报价函中的大写金额和小写金额不一致的，以大写金额为准，但大写金额出现文字错误，导致金额无法判断的除外；</w:t>
            </w:r>
          </w:p>
          <w:p w14:paraId="3755CB6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240" w:firstLineChars="1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（2）工程量清单单价小数点或者百分比有明显错位的，应以单价汇总为准修改单价；</w:t>
            </w:r>
          </w:p>
          <w:p w14:paraId="2DAB886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240" w:firstLineChars="1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（3）总价金额与按单价汇总金额不一致的，以单价汇总金额计算结果为准修正总价金额；</w:t>
            </w:r>
          </w:p>
          <w:p w14:paraId="5E1180FF">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同时出现两种以上不一致的，按照前款规定的顺序修正。修正后的最后报价（不浮比例）经加盖供应商（法定名称）电子印章后产生约束力，供应商不确认的，其最后报价无效。</w:t>
            </w:r>
          </w:p>
          <w:p w14:paraId="558410B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（三）响应文件图表与文字不符时，以文字为准；</w:t>
            </w:r>
          </w:p>
          <w:p w14:paraId="3469F52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（四）对不同文字文本响应文件的解释发生异议的，以中文文本为准。</w:t>
            </w:r>
          </w:p>
        </w:tc>
      </w:tr>
      <w:tr w14:paraId="3B67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FFA959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snapToGrid w:val="0"/>
                <w:color w:val="auto"/>
                <w:kern w:val="2"/>
                <w:sz w:val="24"/>
                <w:szCs w:val="24"/>
                <w:lang w:val="en-US" w:eastAsia="zh-CN" w:bidi="ar-SA"/>
              </w:rPr>
            </w:pPr>
            <w:r>
              <w:rPr>
                <w:rFonts w:hint="eastAsia" w:ascii="仿宋" w:hAnsi="仿宋" w:eastAsia="仿宋" w:cs="仿宋"/>
                <w:color w:val="auto"/>
                <w:sz w:val="24"/>
                <w:szCs w:val="24"/>
                <w:lang w:val="en-US" w:eastAsia="zh-CN"/>
              </w:rPr>
              <w:t>14.5</w:t>
            </w:r>
          </w:p>
        </w:tc>
        <w:tc>
          <w:tcPr>
            <w:tcW w:w="1907" w:type="dxa"/>
            <w:shd w:val="clear" w:color="auto" w:fill="auto"/>
            <w:vAlign w:val="center"/>
          </w:tcPr>
          <w:p w14:paraId="7374E1B6">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磋商时可能变化的内容</w:t>
            </w:r>
          </w:p>
        </w:tc>
        <w:tc>
          <w:tcPr>
            <w:tcW w:w="6589" w:type="dxa"/>
            <w:shd w:val="clear" w:color="auto" w:fill="auto"/>
            <w:vAlign w:val="center"/>
          </w:tcPr>
          <w:p w14:paraId="5D492E7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磋商文件“第三章 磋商项目技术、服务、商务及其他要求”中的技术、服务；“第八章 拟签订采购合同文本”的合同条款。</w:t>
            </w:r>
          </w:p>
        </w:tc>
      </w:tr>
      <w:tr w14:paraId="18FE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EE7B27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14.6</w:t>
            </w:r>
          </w:p>
        </w:tc>
        <w:tc>
          <w:tcPr>
            <w:tcW w:w="1907" w:type="dxa"/>
            <w:shd w:val="clear" w:color="auto" w:fill="auto"/>
            <w:vAlign w:val="center"/>
          </w:tcPr>
          <w:p w14:paraId="471E2DB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评审中主观分</w:t>
            </w:r>
          </w:p>
          <w:p w14:paraId="5456717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的修正</w:t>
            </w:r>
          </w:p>
        </w:tc>
        <w:tc>
          <w:tcPr>
            <w:tcW w:w="6589" w:type="dxa"/>
            <w:shd w:val="clear" w:color="auto" w:fill="auto"/>
            <w:vAlign w:val="center"/>
          </w:tcPr>
          <w:p w14:paraId="338C37A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 xml:space="preserve">1、采购人、代理机构依法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w:t>
            </w:r>
          </w:p>
          <w:p w14:paraId="4219AE4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①主观分总分值在 15 分以下的，评审专家主观分评分偏离 全体评委对应主观分平均分 20%以上（含本数）；</w:t>
            </w:r>
          </w:p>
          <w:p w14:paraId="4BB597A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②主观分总分值在 15 分（含）至 30 分的，评审专家主观分 评分偏离全体评委对应主观分平均分 15%以上（含本数）；</w:t>
            </w:r>
          </w:p>
          <w:p w14:paraId="206DC3A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③主观分总分值在 30 分（含）以上的，评审专家主观分评 分偏离全体评委对应主观分平均分 10%以上（含本数）。</w:t>
            </w:r>
          </w:p>
          <w:p w14:paraId="3427768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2、</w:t>
            </w:r>
            <w:r>
              <w:rPr>
                <w:rFonts w:hint="default" w:ascii="仿宋" w:hAnsi="仿宋" w:eastAsia="仿宋" w:cs="仿宋"/>
                <w:snapToGrid w:val="0"/>
                <w:color w:val="auto"/>
                <w:kern w:val="0"/>
                <w:sz w:val="24"/>
                <w:szCs w:val="24"/>
                <w:highlight w:val="none"/>
                <w:lang w:val="en-US" w:eastAsia="zh-CN" w:bidi="ar-SA"/>
              </w:rPr>
              <w:t>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 理由，对该评审专家不予支付评审劳务报酬。</w:t>
            </w:r>
          </w:p>
        </w:tc>
      </w:tr>
      <w:tr w14:paraId="4ED6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6D879B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14.7</w:t>
            </w:r>
          </w:p>
        </w:tc>
        <w:tc>
          <w:tcPr>
            <w:tcW w:w="1907" w:type="dxa"/>
            <w:shd w:val="clear" w:color="auto" w:fill="auto"/>
            <w:vAlign w:val="center"/>
          </w:tcPr>
          <w:p w14:paraId="5946034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val="0"/>
                <w:bCs w:val="0"/>
                <w:color w:val="auto"/>
                <w:kern w:val="0"/>
                <w:sz w:val="24"/>
                <w:szCs w:val="24"/>
                <w:highlight w:val="yellow"/>
                <w:lang w:val="en-US" w:eastAsia="zh-CN" w:bidi="ar-SA"/>
              </w:rPr>
            </w:pPr>
            <w:r>
              <w:rPr>
                <w:rFonts w:hint="eastAsia" w:ascii="仿宋" w:hAnsi="仿宋" w:eastAsia="仿宋" w:cs="仿宋"/>
                <w:color w:val="auto"/>
                <w:sz w:val="24"/>
                <w:szCs w:val="24"/>
              </w:rPr>
              <w:t>无效</w:t>
            </w:r>
            <w:r>
              <w:rPr>
                <w:rFonts w:hint="eastAsia" w:ascii="仿宋" w:hAnsi="仿宋" w:eastAsia="仿宋" w:cs="仿宋"/>
                <w:color w:val="auto"/>
                <w:sz w:val="24"/>
                <w:szCs w:val="24"/>
                <w:lang w:val="en-US" w:eastAsia="zh-CN"/>
              </w:rPr>
              <w:t>响应</w:t>
            </w:r>
          </w:p>
        </w:tc>
        <w:tc>
          <w:tcPr>
            <w:tcW w:w="6589" w:type="dxa"/>
            <w:shd w:val="clear" w:color="auto" w:fill="auto"/>
            <w:vAlign w:val="center"/>
          </w:tcPr>
          <w:p w14:paraId="5C36CF60">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响应文件出现下列情形之一为无效响应：</w:t>
            </w:r>
          </w:p>
          <w:p w14:paraId="1E8810D8">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1.未通过资格审查。</w:t>
            </w:r>
          </w:p>
          <w:p w14:paraId="052EB657">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2.未通过</w:t>
            </w:r>
            <w:r>
              <w:rPr>
                <w:rFonts w:hint="eastAsia" w:ascii="仿宋" w:hAnsi="仿宋" w:eastAsia="仿宋" w:cs="仿宋"/>
                <w:strike w:val="0"/>
                <w:dstrike w:val="0"/>
                <w:color w:val="auto"/>
                <w:sz w:val="24"/>
                <w:szCs w:val="24"/>
                <w:lang w:val="en-US" w:eastAsia="zh-CN"/>
              </w:rPr>
              <w:t>符合性</w:t>
            </w:r>
            <w:r>
              <w:rPr>
                <w:rFonts w:hint="eastAsia" w:ascii="仿宋" w:hAnsi="仿宋" w:eastAsia="仿宋" w:cs="仿宋"/>
                <w:color w:val="auto"/>
                <w:sz w:val="24"/>
                <w:szCs w:val="24"/>
                <w:lang w:val="en-US" w:eastAsia="zh-CN"/>
              </w:rPr>
              <w:t>审查</w:t>
            </w:r>
            <w:r>
              <w:rPr>
                <w:rFonts w:hint="eastAsia" w:ascii="仿宋" w:hAnsi="仿宋" w:eastAsia="仿宋" w:cs="仿宋"/>
                <w:color w:val="auto"/>
                <w:sz w:val="24"/>
                <w:szCs w:val="24"/>
              </w:rPr>
              <w:t>。</w:t>
            </w:r>
          </w:p>
          <w:p w14:paraId="0F7522C6">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有弄</w:t>
            </w:r>
            <w:r>
              <w:rPr>
                <w:rFonts w:hint="eastAsia" w:ascii="仿宋" w:hAnsi="仿宋" w:eastAsia="仿宋" w:cs="仿宋"/>
                <w:color w:val="auto"/>
                <w:sz w:val="24"/>
                <w:szCs w:val="24"/>
              </w:rPr>
              <w:t>虚</w:t>
            </w:r>
            <w:r>
              <w:rPr>
                <w:rFonts w:hint="eastAsia" w:ascii="仿宋" w:hAnsi="仿宋" w:eastAsia="仿宋" w:cs="仿宋"/>
                <w:color w:val="auto"/>
                <w:sz w:val="24"/>
                <w:szCs w:val="24"/>
                <w:lang w:val="en-US" w:eastAsia="zh-CN"/>
              </w:rPr>
              <w:t>作</w:t>
            </w:r>
            <w:r>
              <w:rPr>
                <w:rFonts w:hint="eastAsia" w:ascii="仿宋" w:hAnsi="仿宋" w:eastAsia="仿宋" w:cs="仿宋"/>
                <w:color w:val="auto"/>
                <w:sz w:val="24"/>
                <w:szCs w:val="24"/>
              </w:rPr>
              <w:t>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串标围标等违法违规行为的</w:t>
            </w:r>
            <w:r>
              <w:rPr>
                <w:rFonts w:hint="eastAsia" w:ascii="仿宋" w:hAnsi="仿宋" w:eastAsia="仿宋" w:cs="仿宋"/>
                <w:color w:val="auto"/>
                <w:sz w:val="24"/>
                <w:szCs w:val="24"/>
              </w:rPr>
              <w:t>。</w:t>
            </w:r>
          </w:p>
          <w:p w14:paraId="7C9A8949">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未合法合规获取采购资料。</w:t>
            </w:r>
          </w:p>
          <w:p w14:paraId="6916FFC0">
            <w:pPr>
              <w:keepNext w:val="0"/>
              <w:keepLines w:val="0"/>
              <w:pageBreakBefore w:val="0"/>
              <w:kinsoku/>
              <w:wordWrap/>
              <w:overflowPunct/>
              <w:topLinePunct w:val="0"/>
              <w:autoSpaceDE/>
              <w:autoSpaceDN/>
              <w:bidi w:val="0"/>
              <w:adjustRightInd/>
              <w:spacing w:beforeAutospacing="0" w:afterAutospacing="0" w:line="500" w:lineRule="exac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5.磋商响应</w:t>
            </w:r>
            <w:r>
              <w:rPr>
                <w:rFonts w:hint="eastAsia" w:ascii="仿宋" w:hAnsi="仿宋" w:eastAsia="仿宋" w:cs="仿宋"/>
                <w:color w:val="auto"/>
                <w:sz w:val="24"/>
                <w:szCs w:val="24"/>
              </w:rPr>
              <w:t>附有采购人</w:t>
            </w:r>
            <w:r>
              <w:rPr>
                <w:rFonts w:hint="eastAsia" w:ascii="仿宋" w:hAnsi="仿宋" w:eastAsia="仿宋" w:cs="仿宋"/>
                <w:color w:val="auto"/>
                <w:sz w:val="24"/>
                <w:szCs w:val="24"/>
                <w:lang w:val="en-US" w:eastAsia="zh-CN"/>
              </w:rPr>
              <w:t>不能接受的条件。</w:t>
            </w:r>
          </w:p>
          <w:p w14:paraId="01A92AF3">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6.磋商文件及法律法规规定的其他无效情形。</w:t>
            </w:r>
          </w:p>
        </w:tc>
      </w:tr>
      <w:tr w14:paraId="3ACD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3C95E0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1907" w:type="dxa"/>
            <w:tcBorders>
              <w:right w:val="nil"/>
            </w:tcBorders>
            <w:shd w:val="clear" w:color="auto" w:fill="auto"/>
            <w:vAlign w:val="center"/>
          </w:tcPr>
          <w:p w14:paraId="211C3B3E">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highlight w:val="none"/>
              </w:rPr>
              <w:t>成交人</w:t>
            </w:r>
          </w:p>
        </w:tc>
        <w:tc>
          <w:tcPr>
            <w:tcW w:w="6589" w:type="dxa"/>
            <w:tcBorders>
              <w:left w:val="nil"/>
            </w:tcBorders>
            <w:shd w:val="clear" w:color="auto" w:fill="auto"/>
            <w:vAlign w:val="center"/>
          </w:tcPr>
          <w:p w14:paraId="4E9B1FF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p>
        </w:tc>
      </w:tr>
      <w:tr w14:paraId="553D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F19C45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15.1</w:t>
            </w:r>
          </w:p>
        </w:tc>
        <w:tc>
          <w:tcPr>
            <w:tcW w:w="1907" w:type="dxa"/>
            <w:shd w:val="clear" w:color="auto" w:fill="auto"/>
            <w:vAlign w:val="center"/>
          </w:tcPr>
          <w:p w14:paraId="4038C68C">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确定</w:t>
            </w:r>
            <w:r>
              <w:rPr>
                <w:rFonts w:hint="eastAsia" w:ascii="仿宋" w:hAnsi="仿宋" w:eastAsia="仿宋" w:cs="仿宋"/>
                <w:color w:val="auto"/>
                <w:sz w:val="24"/>
                <w:szCs w:val="24"/>
                <w:highlight w:val="none"/>
              </w:rPr>
              <w:t>成交人</w:t>
            </w:r>
          </w:p>
        </w:tc>
        <w:tc>
          <w:tcPr>
            <w:tcW w:w="6589" w:type="dxa"/>
            <w:shd w:val="clear" w:color="auto" w:fill="auto"/>
            <w:vAlign w:val="center"/>
          </w:tcPr>
          <w:p w14:paraId="5DDF62AC">
            <w:pPr>
              <w:keepNext w:val="0"/>
              <w:keepLines w:val="0"/>
              <w:pageBreakBefore w:val="0"/>
              <w:numPr>
                <w:ilvl w:val="0"/>
                <w:numId w:val="0"/>
              </w:numPr>
              <w:tabs>
                <w:tab w:val="left" w:pos="0"/>
              </w:tabs>
              <w:kinsoku/>
              <w:wordWrap/>
              <w:overflowPunct/>
              <w:topLinePunct w:val="0"/>
              <w:autoSpaceDE/>
              <w:autoSpaceDN/>
              <w:bidi w:val="0"/>
              <w:adjustRightInd/>
              <w:spacing w:line="500" w:lineRule="exact"/>
              <w:ind w:left="0" w:leftChars="0" w:firstLine="0" w:firstLineChars="0"/>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color w:val="auto"/>
                <w:kern w:val="0"/>
                <w:sz w:val="24"/>
                <w:szCs w:val="24"/>
                <w:lang w:val="en-US" w:eastAsia="zh-CN" w:bidi="ar-SA"/>
              </w:rPr>
              <w:t>采购人</w:t>
            </w:r>
          </w:p>
        </w:tc>
      </w:tr>
      <w:tr w14:paraId="0576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FC2DF8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15.2</w:t>
            </w:r>
          </w:p>
        </w:tc>
        <w:tc>
          <w:tcPr>
            <w:tcW w:w="1907" w:type="dxa"/>
            <w:shd w:val="clear" w:color="auto" w:fill="auto"/>
            <w:vAlign w:val="center"/>
          </w:tcPr>
          <w:p w14:paraId="1CB6BACB">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人变更</w:t>
            </w:r>
          </w:p>
        </w:tc>
        <w:tc>
          <w:tcPr>
            <w:tcW w:w="6589" w:type="dxa"/>
            <w:shd w:val="clear" w:color="auto" w:fill="auto"/>
            <w:vAlign w:val="center"/>
          </w:tcPr>
          <w:p w14:paraId="2F4D6E72">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1.根据采购法实施条例第49条和财库便函【2019】154号文，成交人拒绝与采购人签订合同（或弃标），采购人可根据采购项目的实际情况，综合考虑递补供应商的经济性和效率等因素，自主确定是否重新开展采购活动或确定下一候选人为中标或者成交供应商。</w:t>
            </w:r>
          </w:p>
          <w:p w14:paraId="70E00AEF">
            <w:pPr>
              <w:keepNext w:val="0"/>
              <w:keepLines w:val="0"/>
              <w:pageBreakBefore w:val="0"/>
              <w:kinsoku/>
              <w:wordWrap/>
              <w:overflowPunct/>
              <w:topLinePunct w:val="0"/>
              <w:bidi w:val="0"/>
              <w:adjustRightInd/>
              <w:snapToGrid w:val="0"/>
              <w:spacing w:line="500" w:lineRule="exact"/>
              <w:jc w:val="left"/>
              <w:textAlignment w:val="baseline"/>
              <w:rPr>
                <w:rFonts w:hint="default" w:ascii="仿宋" w:hAnsi="仿宋" w:eastAsia="仿宋" w:cs="仿宋"/>
                <w:color w:val="auto"/>
                <w:kern w:val="0"/>
                <w:sz w:val="24"/>
                <w:lang w:val="en-US" w:eastAsia="zh-CN"/>
              </w:rPr>
            </w:pPr>
            <w:r>
              <w:rPr>
                <w:rFonts w:hint="default" w:ascii="仿宋" w:hAnsi="仿宋" w:eastAsia="仿宋" w:cs="仿宋"/>
                <w:color w:val="auto"/>
                <w:kern w:val="0"/>
                <w:sz w:val="24"/>
                <w:lang w:val="en-US" w:eastAsia="zh-CN"/>
              </w:rPr>
              <w:t>2.出现变更</w:t>
            </w:r>
            <w:r>
              <w:rPr>
                <w:rFonts w:hint="eastAsia" w:ascii="仿宋" w:hAnsi="仿宋" w:eastAsia="仿宋" w:cs="仿宋"/>
                <w:color w:val="auto"/>
                <w:kern w:val="0"/>
                <w:sz w:val="24"/>
                <w:lang w:val="en-US" w:eastAsia="zh-CN"/>
              </w:rPr>
              <w:t>成交</w:t>
            </w:r>
            <w:r>
              <w:rPr>
                <w:rFonts w:hint="default" w:ascii="仿宋" w:hAnsi="仿宋" w:eastAsia="仿宋" w:cs="仿宋"/>
                <w:color w:val="auto"/>
                <w:kern w:val="0"/>
                <w:sz w:val="24"/>
                <w:lang w:val="en-US" w:eastAsia="zh-CN"/>
              </w:rPr>
              <w:t>人的其他情形时，按照政府采购法及相关法律法规进行。</w:t>
            </w:r>
          </w:p>
          <w:p w14:paraId="784ED690">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3.合同签订前，若成交人经营状况发生变化，成交人须及时向采购人说明情况，采购人认为成交人不具备履约能力，可取消其成交资格。</w:t>
            </w:r>
          </w:p>
        </w:tc>
      </w:tr>
      <w:tr w14:paraId="19E3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3120522">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16</w:t>
            </w:r>
          </w:p>
        </w:tc>
        <w:tc>
          <w:tcPr>
            <w:tcW w:w="1907" w:type="dxa"/>
            <w:shd w:val="clear" w:color="auto" w:fill="auto"/>
            <w:vAlign w:val="center"/>
          </w:tcPr>
          <w:p w14:paraId="0C48C524">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en-US"/>
              </w:rPr>
            </w:pPr>
            <w:r>
              <w:rPr>
                <w:rFonts w:hint="eastAsia" w:ascii="仿宋" w:hAnsi="仿宋" w:eastAsia="仿宋" w:cs="仿宋"/>
                <w:color w:val="auto"/>
                <w:sz w:val="24"/>
                <w:szCs w:val="24"/>
                <w:highlight w:val="none"/>
                <w:lang w:val="en-US" w:eastAsia="zh-CN"/>
              </w:rPr>
              <w:t>重新采购</w:t>
            </w:r>
          </w:p>
        </w:tc>
        <w:tc>
          <w:tcPr>
            <w:tcW w:w="6589" w:type="dxa"/>
            <w:shd w:val="clear" w:color="auto" w:fill="auto"/>
            <w:vAlign w:val="center"/>
          </w:tcPr>
          <w:p w14:paraId="372CA98D">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（1）出现影响采购公正的违法、违规行为的；</w:t>
            </w:r>
          </w:p>
          <w:p w14:paraId="4AB3395C">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（2）实质响应的供应商不足三家的；（经审批可采取其他采购方式的除外）</w:t>
            </w:r>
          </w:p>
          <w:p w14:paraId="47030CC1">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（3）所有供应商的报价均超出项目预算金额或最高限价，采购人不能支付的；</w:t>
            </w:r>
          </w:p>
          <w:p w14:paraId="78A8810A">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（4）项目发生重大变更；</w:t>
            </w:r>
          </w:p>
          <w:p w14:paraId="07017C95">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（5）法律法规和招标文件规定的其他情形。</w:t>
            </w:r>
          </w:p>
        </w:tc>
      </w:tr>
      <w:tr w14:paraId="181A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7646A4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17</w:t>
            </w:r>
          </w:p>
        </w:tc>
        <w:tc>
          <w:tcPr>
            <w:tcW w:w="1907" w:type="dxa"/>
            <w:tcBorders>
              <w:right w:val="nil"/>
            </w:tcBorders>
            <w:shd w:val="clear" w:color="auto" w:fill="auto"/>
            <w:vAlign w:val="center"/>
          </w:tcPr>
          <w:p w14:paraId="7088D20C">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履约验收</w:t>
            </w:r>
          </w:p>
        </w:tc>
        <w:tc>
          <w:tcPr>
            <w:tcW w:w="6589" w:type="dxa"/>
            <w:tcBorders>
              <w:left w:val="nil"/>
            </w:tcBorders>
            <w:vAlign w:val="center"/>
          </w:tcPr>
          <w:p w14:paraId="7801AE0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24E9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251F1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17.1</w:t>
            </w:r>
          </w:p>
        </w:tc>
        <w:tc>
          <w:tcPr>
            <w:tcW w:w="1907" w:type="dxa"/>
            <w:shd w:val="clear" w:color="auto" w:fill="auto"/>
            <w:vAlign w:val="center"/>
          </w:tcPr>
          <w:p w14:paraId="24B98309">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履约验收主体</w:t>
            </w:r>
          </w:p>
        </w:tc>
        <w:tc>
          <w:tcPr>
            <w:tcW w:w="6589" w:type="dxa"/>
            <w:shd w:val="clear" w:color="auto" w:fill="auto"/>
            <w:vAlign w:val="center"/>
          </w:tcPr>
          <w:p w14:paraId="425F2BF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采购人是履约验收的第一责任人，负有对履约验收工作的主体责任。</w:t>
            </w:r>
          </w:p>
        </w:tc>
      </w:tr>
      <w:tr w14:paraId="5876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9E738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17.2</w:t>
            </w:r>
          </w:p>
        </w:tc>
        <w:tc>
          <w:tcPr>
            <w:tcW w:w="1907" w:type="dxa"/>
            <w:shd w:val="clear" w:color="auto" w:fill="auto"/>
            <w:vAlign w:val="center"/>
          </w:tcPr>
          <w:p w14:paraId="17A7BB89">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履约单位义务与责任</w:t>
            </w:r>
          </w:p>
        </w:tc>
        <w:tc>
          <w:tcPr>
            <w:tcW w:w="6589" w:type="dxa"/>
            <w:shd w:val="clear" w:color="auto" w:fill="auto"/>
            <w:vAlign w:val="center"/>
          </w:tcPr>
          <w:p w14:paraId="14283BEC">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诚信履约：履约单位应严守契约精神，将诚信履约作为经营底线。签订采购合同后，应按照履约期限，向采购人提供符合磋商文件要求、响应文件内容、合同约定交付标准的货物、服务或工程内容，不得擅自降低标准、缩减范围或变更配置。</w:t>
            </w:r>
          </w:p>
          <w:p w14:paraId="0CF415B8">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主动配合验收，承担违约责任：履约单位应积极配合采购人开展的履约验收工作，提供与项目验收相关的技术、服务、数量、质量、安全等资料。对不按合同履约、提供虚假材料、阻挠正常验收、拒不整改或整改不到位、履约过程违约的，采购人应依据采购合同及《民法典》等相关法律法规，依法追究其法律责任，必要时，可将违法线索报送监督部门予以查处。</w:t>
            </w:r>
          </w:p>
        </w:tc>
      </w:tr>
      <w:tr w14:paraId="00E9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9A5F0F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17.3</w:t>
            </w:r>
          </w:p>
        </w:tc>
        <w:tc>
          <w:tcPr>
            <w:tcW w:w="1907" w:type="dxa"/>
            <w:shd w:val="clear" w:color="auto" w:fill="auto"/>
            <w:vAlign w:val="center"/>
          </w:tcPr>
          <w:p w14:paraId="1069F5B5">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履约验收程序方法</w:t>
            </w:r>
          </w:p>
        </w:tc>
        <w:tc>
          <w:tcPr>
            <w:tcW w:w="6589" w:type="dxa"/>
            <w:shd w:val="clear" w:color="auto" w:fill="auto"/>
            <w:vAlign w:val="center"/>
          </w:tcPr>
          <w:p w14:paraId="7B1D863B">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竣工后一次性验收。</w:t>
            </w:r>
          </w:p>
        </w:tc>
      </w:tr>
      <w:tr w14:paraId="30D6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4D81CE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17.4</w:t>
            </w:r>
          </w:p>
        </w:tc>
        <w:tc>
          <w:tcPr>
            <w:tcW w:w="1907" w:type="dxa"/>
            <w:shd w:val="clear" w:color="auto" w:fill="auto"/>
            <w:vAlign w:val="center"/>
          </w:tcPr>
          <w:p w14:paraId="7153028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履约验收内容</w:t>
            </w:r>
          </w:p>
        </w:tc>
        <w:tc>
          <w:tcPr>
            <w:tcW w:w="6589" w:type="dxa"/>
            <w:shd w:val="clear" w:color="auto" w:fill="auto"/>
            <w:vAlign w:val="center"/>
          </w:tcPr>
          <w:p w14:paraId="60E57DDA">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验收小组须严格落实法律法规、履约验收内控制度要求，按照磋商文件、响应文件、合同约定的技术、质量标准、安全标准以及履约期限等要求，客观、公正进行验收，出具验收意见、验收报告等。验收报告应载明验收依据、验收过程、各项验收内容的评价、发现的问题（如有）、处理建议及最终的验收结论（合格或不合格）等,由验收双方共同签署。</w:t>
            </w:r>
          </w:p>
        </w:tc>
      </w:tr>
      <w:tr w14:paraId="18B4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FEA52C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17.5</w:t>
            </w:r>
          </w:p>
        </w:tc>
        <w:tc>
          <w:tcPr>
            <w:tcW w:w="1907" w:type="dxa"/>
            <w:shd w:val="clear" w:color="auto" w:fill="auto"/>
            <w:vAlign w:val="center"/>
          </w:tcPr>
          <w:p w14:paraId="5ADDC485">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highlight w:val="none"/>
                <w:lang w:val="en-US" w:eastAsia="zh-CN"/>
              </w:rPr>
              <w:t>履约验收依据</w:t>
            </w:r>
          </w:p>
        </w:tc>
        <w:tc>
          <w:tcPr>
            <w:tcW w:w="6589" w:type="dxa"/>
            <w:shd w:val="clear" w:color="auto" w:fill="auto"/>
            <w:vAlign w:val="center"/>
          </w:tcPr>
          <w:p w14:paraId="155BB268">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kern w:val="2"/>
                <w:sz w:val="24"/>
                <w:szCs w:val="24"/>
                <w:highlight w:val="yellow"/>
                <w:lang w:val="en-US" w:eastAsia="zh-CN" w:bidi="ar-SA"/>
              </w:rPr>
            </w:pPr>
            <w:r>
              <w:rPr>
                <w:rFonts w:hint="eastAsia" w:ascii="仿宋" w:hAnsi="仿宋" w:eastAsia="仿宋" w:cs="仿宋"/>
                <w:color w:val="auto"/>
                <w:sz w:val="24"/>
                <w:szCs w:val="24"/>
                <w:highlight w:val="none"/>
                <w:lang w:val="en-US" w:eastAsia="zh-CN"/>
              </w:rPr>
              <w:t>验收人依据国家、行业现行相关标准及采购合同规定的标的、技术、数量、质量和安全标准等，对供应商履约情况进行验收，并出具验收报告。</w:t>
            </w:r>
          </w:p>
        </w:tc>
      </w:tr>
      <w:tr w14:paraId="1ED5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5F2EEE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17.6</w:t>
            </w:r>
          </w:p>
        </w:tc>
        <w:tc>
          <w:tcPr>
            <w:tcW w:w="1907" w:type="dxa"/>
            <w:shd w:val="clear" w:color="auto" w:fill="auto"/>
            <w:vAlign w:val="center"/>
          </w:tcPr>
          <w:p w14:paraId="2176863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履约验收标准</w:t>
            </w:r>
          </w:p>
        </w:tc>
        <w:tc>
          <w:tcPr>
            <w:tcW w:w="6589" w:type="dxa"/>
            <w:shd w:val="clear" w:color="auto" w:fill="auto"/>
            <w:vAlign w:val="center"/>
          </w:tcPr>
          <w:p w14:paraId="184CA3EF">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达到国家、行业相关现行标准，依据合同约定验收合格，符合本次采购要求。</w:t>
            </w:r>
          </w:p>
        </w:tc>
      </w:tr>
      <w:tr w14:paraId="47AE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4EE8E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17.7</w:t>
            </w:r>
          </w:p>
        </w:tc>
        <w:tc>
          <w:tcPr>
            <w:tcW w:w="1907" w:type="dxa"/>
            <w:shd w:val="clear" w:color="auto" w:fill="auto"/>
            <w:vAlign w:val="center"/>
          </w:tcPr>
          <w:p w14:paraId="00EA7116">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履约验收问题</w:t>
            </w:r>
          </w:p>
          <w:p w14:paraId="56F28BEE">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处理</w:t>
            </w:r>
          </w:p>
        </w:tc>
        <w:tc>
          <w:tcPr>
            <w:tcW w:w="6589" w:type="dxa"/>
            <w:shd w:val="clear" w:color="auto" w:fill="auto"/>
            <w:vAlign w:val="center"/>
          </w:tcPr>
          <w:p w14:paraId="4068D814">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验收合格的项目,采购人应当根据采购合同的约定及时向成交人支付资金、退还履约保证金。验收不合格的项目,采购人应当依法及时处理。</w:t>
            </w:r>
          </w:p>
        </w:tc>
      </w:tr>
      <w:tr w14:paraId="7723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C94F23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17.8</w:t>
            </w:r>
          </w:p>
        </w:tc>
        <w:tc>
          <w:tcPr>
            <w:tcW w:w="1907" w:type="dxa"/>
            <w:shd w:val="clear" w:color="auto" w:fill="auto"/>
            <w:vAlign w:val="center"/>
          </w:tcPr>
          <w:p w14:paraId="063372D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2"/>
                <w:highlight w:val="none"/>
                <w:lang w:val="en-US" w:eastAsia="zh-CN" w:bidi="ar-SA"/>
              </w:rPr>
            </w:pPr>
            <w:r>
              <w:rPr>
                <w:rFonts w:hint="eastAsia" w:ascii="仿宋" w:hAnsi="仿宋" w:eastAsia="仿宋" w:cs="仿宋"/>
                <w:color w:val="auto"/>
                <w:kern w:val="0"/>
                <w:highlight w:val="none"/>
                <w:lang w:val="en-US" w:eastAsia="zh-CN"/>
              </w:rPr>
              <w:t>履约争议、违约</w:t>
            </w:r>
          </w:p>
        </w:tc>
        <w:tc>
          <w:tcPr>
            <w:tcW w:w="6589" w:type="dxa"/>
            <w:shd w:val="clear" w:color="auto" w:fill="auto"/>
            <w:vAlign w:val="center"/>
          </w:tcPr>
          <w:p w14:paraId="11C54C20">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lang w:val="en-US" w:eastAsia="zh-CN"/>
              </w:rPr>
              <w:t>采购合同履行、违约责任和解决争议的方式等适用采购合同及民法典。履约单位在履约过程中有相关法律法规规定的违法违规情形的,采购人应当及时报告监督部门。</w:t>
            </w:r>
          </w:p>
        </w:tc>
      </w:tr>
      <w:tr w14:paraId="70EC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1347C1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w:t>
            </w:r>
          </w:p>
        </w:tc>
        <w:tc>
          <w:tcPr>
            <w:tcW w:w="1907" w:type="dxa"/>
            <w:tcBorders>
              <w:right w:val="nil"/>
            </w:tcBorders>
            <w:shd w:val="clear" w:color="auto" w:fill="auto"/>
            <w:vAlign w:val="center"/>
          </w:tcPr>
          <w:p w14:paraId="765B97CE">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0"/>
                <w:highlight w:val="none"/>
                <w:lang w:val="en-US" w:eastAsia="zh-CN"/>
              </w:rPr>
            </w:pPr>
            <w:r>
              <w:rPr>
                <w:rFonts w:hint="eastAsia" w:ascii="仿宋" w:hAnsi="仿宋" w:eastAsia="仿宋" w:cs="仿宋"/>
                <w:sz w:val="24"/>
                <w:szCs w:val="24"/>
                <w:lang w:val="en-US" w:eastAsia="zh-CN"/>
              </w:rPr>
              <w:t>串标释义（部分）</w:t>
            </w:r>
          </w:p>
        </w:tc>
        <w:tc>
          <w:tcPr>
            <w:tcW w:w="6589" w:type="dxa"/>
            <w:tcBorders>
              <w:left w:val="nil"/>
            </w:tcBorders>
            <w:shd w:val="clear" w:color="auto" w:fill="auto"/>
            <w:vAlign w:val="center"/>
          </w:tcPr>
          <w:p w14:paraId="31EE4CC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p>
        </w:tc>
      </w:tr>
      <w:tr w14:paraId="26BA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38743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18.1</w:t>
            </w:r>
          </w:p>
        </w:tc>
        <w:tc>
          <w:tcPr>
            <w:tcW w:w="1907" w:type="dxa"/>
            <w:shd w:val="clear" w:color="auto" w:fill="auto"/>
            <w:vAlign w:val="center"/>
          </w:tcPr>
          <w:p w14:paraId="061D6CF1">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文件异常一致</w:t>
            </w:r>
            <w:r>
              <w:rPr>
                <w:rFonts w:hint="eastAsia" w:ascii="仿宋" w:hAnsi="仿宋" w:eastAsia="仿宋" w:cs="仿宋"/>
                <w:sz w:val="24"/>
                <w:szCs w:val="24"/>
                <w:lang w:val="en-US" w:eastAsia="zh-CN"/>
              </w:rPr>
              <w:t>（雷同）</w:t>
            </w:r>
          </w:p>
        </w:tc>
        <w:tc>
          <w:tcPr>
            <w:tcW w:w="6589" w:type="dxa"/>
            <w:shd w:val="clear" w:color="auto" w:fill="auto"/>
            <w:vAlign w:val="center"/>
          </w:tcPr>
          <w:p w14:paraId="4BD7512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极小概率或者完全不可能一致的内容在不同响应文件中同时出现（如响应文件错误的内容或打印错误的内容雷同；由供应商自行编制的格式或自行编写的方案异常一致；属于某一供应商特有的业绩、编号、标识等在其他响应文件中同时出现等情形）。</w:t>
            </w:r>
          </w:p>
        </w:tc>
      </w:tr>
      <w:tr w14:paraId="6DF97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6F642F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18.2</w:t>
            </w:r>
          </w:p>
        </w:tc>
        <w:tc>
          <w:tcPr>
            <w:tcW w:w="1907" w:type="dxa"/>
            <w:shd w:val="clear" w:color="auto" w:fill="auto"/>
            <w:vAlign w:val="center"/>
          </w:tcPr>
          <w:p w14:paraId="03589314">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文件相互混装</w:t>
            </w:r>
          </w:p>
        </w:tc>
        <w:tc>
          <w:tcPr>
            <w:tcW w:w="6589" w:type="dxa"/>
            <w:shd w:val="clear" w:color="auto" w:fill="auto"/>
            <w:vAlign w:val="center"/>
          </w:tcPr>
          <w:p w14:paraId="04248E8B">
            <w:pPr>
              <w:keepNext w:val="0"/>
              <w:keepLines w:val="0"/>
              <w:pageBreakBefore w:val="0"/>
              <w:widowControl/>
              <w:kinsoku/>
              <w:wordWrap/>
              <w:overflowPunct/>
              <w:topLinePunct w:val="0"/>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指一家响应文件中混有本项目其他供应商（指提交了响应文件的单位）的响应资料即为混装（并非仅指双方互有混装的情形）。</w:t>
            </w:r>
          </w:p>
        </w:tc>
      </w:tr>
      <w:tr w14:paraId="5C73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84B42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18.3</w:t>
            </w:r>
          </w:p>
        </w:tc>
        <w:tc>
          <w:tcPr>
            <w:tcW w:w="1907" w:type="dxa"/>
            <w:shd w:val="clear" w:color="auto" w:fill="auto"/>
            <w:vAlign w:val="center"/>
          </w:tcPr>
          <w:p w14:paraId="419876D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报价规律性</w:t>
            </w:r>
          </w:p>
        </w:tc>
        <w:tc>
          <w:tcPr>
            <w:tcW w:w="6589" w:type="dxa"/>
            <w:shd w:val="clear" w:color="auto" w:fill="auto"/>
            <w:vAlign w:val="center"/>
          </w:tcPr>
          <w:p w14:paraId="4E55B306">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指磋商报价（总价或分项）呈现等差或等比数列趋势变化、分项报价高度一致等情形。</w:t>
            </w:r>
          </w:p>
        </w:tc>
      </w:tr>
      <w:tr w14:paraId="250C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3BE726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18.4</w:t>
            </w:r>
          </w:p>
        </w:tc>
        <w:tc>
          <w:tcPr>
            <w:tcW w:w="1907" w:type="dxa"/>
            <w:shd w:val="clear" w:color="auto" w:fill="auto"/>
            <w:vAlign w:val="center"/>
          </w:tcPr>
          <w:p w14:paraId="51B6E93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串标认定</w:t>
            </w:r>
          </w:p>
        </w:tc>
        <w:tc>
          <w:tcPr>
            <w:tcW w:w="6589" w:type="dxa"/>
            <w:shd w:val="clear" w:color="auto" w:fill="auto"/>
            <w:vAlign w:val="center"/>
          </w:tcPr>
          <w:p w14:paraId="2B41D15B">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线上采购由系统进行串标警示。</w:t>
            </w:r>
          </w:p>
        </w:tc>
      </w:tr>
      <w:tr w14:paraId="2841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C23150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w:t>
            </w:r>
          </w:p>
        </w:tc>
        <w:tc>
          <w:tcPr>
            <w:tcW w:w="1907" w:type="dxa"/>
            <w:tcBorders>
              <w:right w:val="nil"/>
            </w:tcBorders>
            <w:vAlign w:val="center"/>
          </w:tcPr>
          <w:p w14:paraId="43F85C94">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补充事项</w:t>
            </w:r>
          </w:p>
        </w:tc>
        <w:tc>
          <w:tcPr>
            <w:tcW w:w="6589" w:type="dxa"/>
            <w:tcBorders>
              <w:left w:val="nil"/>
            </w:tcBorders>
            <w:vAlign w:val="center"/>
          </w:tcPr>
          <w:p w14:paraId="5179E9D8">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yellow"/>
                <w:lang w:val="en-US" w:eastAsia="zh-CN"/>
              </w:rPr>
            </w:pPr>
          </w:p>
        </w:tc>
      </w:tr>
      <w:tr w14:paraId="0298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570F12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w:t>
            </w:r>
            <w:r>
              <w:rPr>
                <w:rFonts w:hint="eastAsia" w:ascii="仿宋" w:hAnsi="仿宋" w:eastAsia="仿宋" w:cs="仿宋"/>
                <w:color w:val="auto"/>
                <w:sz w:val="24"/>
                <w:szCs w:val="24"/>
                <w:highlight w:val="none"/>
                <w:lang w:val="en-US" w:eastAsia="zh-CN"/>
              </w:rPr>
              <w:t>.1</w:t>
            </w:r>
          </w:p>
        </w:tc>
        <w:tc>
          <w:tcPr>
            <w:tcW w:w="1907" w:type="dxa"/>
            <w:vAlign w:val="center"/>
          </w:tcPr>
          <w:p w14:paraId="39E973CC">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磋商文件解释权</w:t>
            </w:r>
          </w:p>
        </w:tc>
        <w:tc>
          <w:tcPr>
            <w:tcW w:w="6589" w:type="dxa"/>
            <w:vAlign w:val="center"/>
          </w:tcPr>
          <w:p w14:paraId="2221918C">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文件的解释权归采购人及代理机构所有：1）对于当事各方对磋商文件发生理解偏差或歧义时，供应商又未在合法时间内提出咨询/质疑，均以代理机构的释义为基本依据，在不影响评审结果或评审公正公平进行的情况下，由代理机构澄清确认后继续评审。2）供应商对磋商文件的自主理解、推测、主观认为、随意臆造等造成的不利后果自负。</w:t>
            </w:r>
          </w:p>
        </w:tc>
      </w:tr>
      <w:tr w14:paraId="5C80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DDF391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19.2</w:t>
            </w:r>
          </w:p>
        </w:tc>
        <w:tc>
          <w:tcPr>
            <w:tcW w:w="1907" w:type="dxa"/>
            <w:shd w:val="clear" w:color="auto" w:fill="auto"/>
            <w:vAlign w:val="center"/>
          </w:tcPr>
          <w:p w14:paraId="5EF6A5A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权利和知识产权</w:t>
            </w:r>
          </w:p>
        </w:tc>
        <w:tc>
          <w:tcPr>
            <w:tcW w:w="6589" w:type="dxa"/>
            <w:shd w:val="clear" w:color="auto" w:fill="auto"/>
            <w:vAlign w:val="center"/>
          </w:tcPr>
          <w:p w14:paraId="7E8C349D">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应保证在本项目使用的任何产品和服务的任何一部分，不会产生因第三方提出的侵犯其专利权、商标权、著作权或其他知识产权而引起的法律和经济纠纷，由此引起的纠纷，由供应商承担所有相关责任；②本项目采购和履行中形成的知识成果、知识产权和其他权益均归采购人所有。</w:t>
            </w:r>
          </w:p>
        </w:tc>
      </w:tr>
      <w:tr w14:paraId="432F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4E9DC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w:t>
            </w: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3DF645EE">
            <w:pPr>
              <w:keepNext w:val="0"/>
              <w:keepLines w:val="0"/>
              <w:pageBreakBefore w:val="0"/>
              <w:widowControl w:val="0"/>
              <w:kinsoku/>
              <w:wordWrap/>
              <w:overflowPunct/>
              <w:topLinePunct w:val="0"/>
              <w:autoSpaceDE/>
              <w:autoSpaceDN/>
              <w:bidi w:val="0"/>
              <w:adjustRightInd/>
              <w:snapToGrid/>
              <w:spacing w:beforeAutospacing="0" w:afterAutospacing="0" w:line="4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无效资料</w:t>
            </w:r>
          </w:p>
        </w:tc>
        <w:tc>
          <w:tcPr>
            <w:tcW w:w="6589" w:type="dxa"/>
            <w:shd w:val="clear" w:color="auto" w:fill="auto"/>
            <w:vAlign w:val="center"/>
          </w:tcPr>
          <w:p w14:paraId="1E5F6E82">
            <w:pPr>
              <w:keepNext w:val="0"/>
              <w:keepLines w:val="0"/>
              <w:pageBreakBefore w:val="0"/>
              <w:widowControl/>
              <w:kinsoku/>
              <w:wordWrap/>
              <w:overflowPunct/>
              <w:topLinePunct w:val="0"/>
              <w:autoSpaceDE/>
              <w:autoSpaceDN/>
              <w:bidi w:val="0"/>
              <w:adjustRightInd/>
              <w:spacing w:beforeAutospacing="0" w:afterAutospacing="0" w:line="460" w:lineRule="exact"/>
              <w:jc w:val="both"/>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指真实存在（非虚假），但不符合本磋商文件相关要求的过期或内容不相符的文件资料。</w:t>
            </w:r>
          </w:p>
        </w:tc>
      </w:tr>
      <w:tr w14:paraId="4216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11F3283">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19.4</w:t>
            </w:r>
          </w:p>
        </w:tc>
        <w:tc>
          <w:tcPr>
            <w:tcW w:w="1907" w:type="dxa"/>
            <w:shd w:val="clear" w:color="auto" w:fill="auto"/>
            <w:vAlign w:val="center"/>
          </w:tcPr>
          <w:p w14:paraId="4C293A09">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虚假材料</w:t>
            </w:r>
          </w:p>
        </w:tc>
        <w:tc>
          <w:tcPr>
            <w:tcW w:w="6589" w:type="dxa"/>
            <w:shd w:val="clear" w:color="auto" w:fill="auto"/>
            <w:vAlign w:val="center"/>
          </w:tcPr>
          <w:p w14:paraId="6A64FBD0">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1."虚假材料"：指无中生有、伪造、篡改或变造、涂改的各种证件、证书、资料佐证、与客观事实不相符的委托书、授权书或承诺函等。</w:t>
            </w:r>
          </w:p>
          <w:p w14:paraId="58E9833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2.对政策理解错误或概念不清而导致的错误、笔误、计算错误以及</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提供的已逾期的证书、未年审的证书等不能认定为虚假材料。"虚假"是指材料的真实性而非有效性，无效材料不能等同于虚假材料。</w:t>
            </w:r>
          </w:p>
          <w:p w14:paraId="68DE1F6B">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3.对提供虚假材料谋取中标（成交）的认定，应要同时满足主观和客观两个方面的构成要件，要结合有关的证据材料和供应商篡改、伪造或变造、捏造事实以及该行为的目的性、危害后果等方面，由</w:t>
            </w:r>
            <w:r>
              <w:rPr>
                <w:rFonts w:hint="eastAsia" w:ascii="仿宋" w:hAnsi="仿宋" w:eastAsia="仿宋" w:cs="仿宋"/>
                <w:color w:val="auto"/>
                <w:sz w:val="24"/>
                <w:szCs w:val="24"/>
                <w:lang w:val="en-US" w:eastAsia="zh-CN"/>
              </w:rPr>
              <w:t>监管部门</w:t>
            </w:r>
            <w:r>
              <w:rPr>
                <w:rFonts w:hint="eastAsia" w:ascii="仿宋" w:hAnsi="仿宋" w:eastAsia="仿宋" w:cs="仿宋"/>
                <w:color w:val="auto"/>
                <w:sz w:val="24"/>
                <w:szCs w:val="24"/>
                <w:highlight w:val="none"/>
                <w:lang w:val="en-US" w:eastAsia="zh-CN"/>
              </w:rPr>
              <w:t>进行综合考量和判断。</w:t>
            </w:r>
          </w:p>
        </w:tc>
      </w:tr>
      <w:tr w14:paraId="0759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70AB20C">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19.5</w:t>
            </w:r>
          </w:p>
        </w:tc>
        <w:tc>
          <w:tcPr>
            <w:tcW w:w="1907" w:type="dxa"/>
            <w:shd w:val="clear" w:color="auto" w:fill="auto"/>
            <w:vAlign w:val="center"/>
          </w:tcPr>
          <w:p w14:paraId="0D1A2B3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投标响应印章</w:t>
            </w:r>
          </w:p>
        </w:tc>
        <w:tc>
          <w:tcPr>
            <w:tcW w:w="6589" w:type="dxa"/>
            <w:shd w:val="clear" w:color="auto" w:fill="auto"/>
            <w:vAlign w:val="center"/>
          </w:tcPr>
          <w:p w14:paraId="10226FB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均指单位电子签章。</w:t>
            </w:r>
          </w:p>
        </w:tc>
      </w:tr>
      <w:tr w14:paraId="53D3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13B8073">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19.6</w:t>
            </w:r>
          </w:p>
        </w:tc>
        <w:tc>
          <w:tcPr>
            <w:tcW w:w="1907" w:type="dxa"/>
            <w:shd w:val="clear" w:color="auto" w:fill="auto"/>
            <w:vAlign w:val="center"/>
          </w:tcPr>
          <w:p w14:paraId="16E42F6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正当理由</w:t>
            </w:r>
          </w:p>
        </w:tc>
        <w:tc>
          <w:tcPr>
            <w:tcW w:w="6589" w:type="dxa"/>
            <w:shd w:val="clear" w:color="auto" w:fill="auto"/>
            <w:vAlign w:val="center"/>
          </w:tcPr>
          <w:p w14:paraId="049FB2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是指不可抗力</w:t>
            </w:r>
            <w:r>
              <w:rPr>
                <w:rFonts w:hint="eastAsia" w:ascii="仿宋" w:hAnsi="仿宋" w:eastAsia="仿宋" w:cs="仿宋"/>
                <w:color w:val="auto"/>
                <w:sz w:val="24"/>
                <w:szCs w:val="24"/>
                <w:lang w:val="en-US" w:eastAsia="zh-CN"/>
              </w:rPr>
              <w:t>（指不能预见、不能避免、不能克服的客观情况）：</w:t>
            </w:r>
            <w:r>
              <w:rPr>
                <w:rFonts w:hint="eastAsia" w:ascii="仿宋" w:hAnsi="仿宋" w:eastAsia="仿宋" w:cs="仿宋"/>
                <w:color w:val="auto"/>
                <w:sz w:val="24"/>
                <w:szCs w:val="24"/>
                <w:highlight w:val="none"/>
                <w:lang w:val="en-US" w:eastAsia="zh-CN"/>
              </w:rPr>
              <w:t>一是自然灾害，例如地震、台风、洪水等；二是某些政府行为，例如政府颁布新政策、法律和采取行政措施；三是社会异常事件，例如罢工、战争等。</w:t>
            </w:r>
          </w:p>
        </w:tc>
      </w:tr>
      <w:tr w14:paraId="7677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F7725C8">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19.7</w:t>
            </w:r>
          </w:p>
        </w:tc>
        <w:tc>
          <w:tcPr>
            <w:tcW w:w="1907" w:type="dxa"/>
            <w:shd w:val="clear" w:color="auto" w:fill="auto"/>
            <w:vAlign w:val="center"/>
          </w:tcPr>
          <w:p w14:paraId="08BD3897">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商业秘密</w:t>
            </w:r>
          </w:p>
        </w:tc>
        <w:tc>
          <w:tcPr>
            <w:tcW w:w="6589" w:type="dxa"/>
            <w:shd w:val="clear" w:color="auto" w:fill="auto"/>
            <w:vAlign w:val="center"/>
          </w:tcPr>
          <w:p w14:paraId="7D7D16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为公众所知悉、具有商业价值并经权利人采取相应保密措施的技术信息和经营信息等商业信息。主要指技术秘密、商业情报及经济信息、价格等与技术和经营活动有关的相关信息，如生产工艺、生产原料、客户信息、相关数据、管理、财务、购销渠道以及磋商、响应资料等当事人不愿公开的商业秘密。响应文件是</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根据磋商文件的要求编制的，具有独特、个性的特征，并具有实用性，能为</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带来经济利益，因此其属于</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的商业秘密，不</w:t>
            </w:r>
            <w:r>
              <w:rPr>
                <w:rFonts w:hint="eastAsia" w:ascii="仿宋" w:hAnsi="仿宋" w:eastAsia="仿宋" w:cs="仿宋"/>
                <w:color w:val="auto"/>
                <w:sz w:val="24"/>
                <w:szCs w:val="24"/>
                <w:lang w:val="en-US" w:eastAsia="zh-CN"/>
              </w:rPr>
              <w:t>可</w:t>
            </w:r>
            <w:r>
              <w:rPr>
                <w:rFonts w:hint="eastAsia" w:ascii="仿宋" w:hAnsi="仿宋" w:eastAsia="仿宋" w:cs="仿宋"/>
                <w:color w:val="auto"/>
                <w:sz w:val="24"/>
                <w:szCs w:val="24"/>
                <w:highlight w:val="none"/>
                <w:lang w:val="en-US" w:eastAsia="zh-CN"/>
              </w:rPr>
              <w:t>公开。</w:t>
            </w:r>
          </w:p>
        </w:tc>
      </w:tr>
      <w:tr w14:paraId="5543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D106DCE">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19.8</w:t>
            </w:r>
          </w:p>
        </w:tc>
        <w:tc>
          <w:tcPr>
            <w:tcW w:w="1907" w:type="dxa"/>
            <w:shd w:val="clear" w:color="auto" w:fill="auto"/>
            <w:vAlign w:val="center"/>
          </w:tcPr>
          <w:p w14:paraId="75BBAF7C">
            <w:pPr>
              <w:keepNext w:val="0"/>
              <w:keepLines w:val="0"/>
              <w:pageBreakBefore w:val="0"/>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保密</w:t>
            </w:r>
          </w:p>
        </w:tc>
        <w:tc>
          <w:tcPr>
            <w:tcW w:w="6589" w:type="dxa"/>
            <w:shd w:val="clear" w:color="auto" w:fill="auto"/>
            <w:vAlign w:val="center"/>
          </w:tcPr>
          <w:p w14:paraId="0473537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采购活动的当事各方，不得以任何形式向任何单位和个人提供与本项目有关的</w:t>
            </w:r>
            <w:r>
              <w:rPr>
                <w:rFonts w:hint="eastAsia" w:ascii="仿宋" w:hAnsi="仿宋" w:eastAsia="仿宋" w:cs="仿宋"/>
                <w:strike w:val="0"/>
                <w:dstrike w:val="0"/>
                <w:color w:val="auto"/>
                <w:sz w:val="24"/>
                <w:szCs w:val="24"/>
                <w:highlight w:val="none"/>
                <w:lang w:val="en-US" w:eastAsia="zh-CN"/>
              </w:rPr>
              <w:t>采购</w:t>
            </w:r>
            <w:r>
              <w:rPr>
                <w:rFonts w:hint="eastAsia" w:ascii="仿宋" w:hAnsi="仿宋" w:eastAsia="仿宋" w:cs="仿宋"/>
                <w:color w:val="auto"/>
                <w:sz w:val="24"/>
                <w:szCs w:val="24"/>
                <w:highlight w:val="none"/>
                <w:lang w:val="en-US" w:eastAsia="zh-CN"/>
              </w:rPr>
              <w:t>资料，均应对磋商、响应文件中的商业和技术等内容进行保密，违者承担法律责任。</w:t>
            </w:r>
          </w:p>
        </w:tc>
      </w:tr>
      <w:tr w14:paraId="778B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7E0970D">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19.9</w:t>
            </w:r>
          </w:p>
        </w:tc>
        <w:tc>
          <w:tcPr>
            <w:tcW w:w="1907" w:type="dxa"/>
            <w:vAlign w:val="center"/>
          </w:tcPr>
          <w:p w14:paraId="55F9DB8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其他</w:t>
            </w:r>
          </w:p>
        </w:tc>
        <w:tc>
          <w:tcPr>
            <w:tcW w:w="6589" w:type="dxa"/>
            <w:vAlign w:val="center"/>
          </w:tcPr>
          <w:p w14:paraId="558D076A">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1.本文所称的“以上”、“以下”、“内”、“以内”、“届满”，包括本数；“不足”、“不满”、“超过”、“以外”，不包括本数。</w:t>
            </w:r>
          </w:p>
          <w:p w14:paraId="256EB1F5">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2.文中“自....之日起”，不包含当日，以下一日开始计算。</w:t>
            </w:r>
          </w:p>
          <w:p w14:paraId="0DA0E824">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3.文中“日”等同“日历日”或“天”。月日换算可以30天/月为基准，年以365天为基准。</w:t>
            </w:r>
          </w:p>
        </w:tc>
      </w:tr>
    </w:tbl>
    <w:p w14:paraId="3E5DFA4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15135"/>
    <w:rsid w:val="18F15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rPr>
      <w:szCs w:val="21"/>
    </w:rPr>
  </w:style>
  <w:style w:type="paragraph" w:styleId="3">
    <w:name w:val="Plain Text"/>
    <w:basedOn w:val="1"/>
    <w:next w:val="1"/>
    <w:semiHidden/>
    <w:unhideWhenUsed/>
    <w:qFormat/>
    <w:uiPriority w:val="99"/>
    <w:pPr>
      <w:adjustRightInd w:val="0"/>
      <w:snapToGrid w:val="0"/>
      <w:spacing w:line="360" w:lineRule="auto"/>
    </w:pPr>
    <w:rPr>
      <w:rFonts w:ascii="宋体" w:hAnsi="Courier New"/>
    </w:rPr>
  </w:style>
  <w:style w:type="paragraph" w:styleId="4">
    <w:name w:val="toa heading"/>
    <w:basedOn w:val="1"/>
    <w:next w:val="1"/>
    <w:semiHidden/>
    <w:qFormat/>
    <w:uiPriority w:val="99"/>
    <w:pPr>
      <w:spacing w:before="120"/>
    </w:pPr>
    <w:rPr>
      <w:rFonts w:ascii="Cambria" w:hAnsi="Cambria"/>
      <w:sz w:val="24"/>
    </w:rPr>
  </w:style>
  <w:style w:type="paragraph" w:styleId="5">
    <w:name w:val="annotation text"/>
    <w:basedOn w:val="1"/>
    <w:qFormat/>
    <w:uiPriority w:val="0"/>
    <w:pPr>
      <w:jc w:val="left"/>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Table Text"/>
    <w:basedOn w:val="1"/>
    <w:autoRedefine/>
    <w:semiHidden/>
    <w:qFormat/>
    <w:uiPriority w:val="0"/>
    <w:rPr>
      <w:rFonts w:ascii="仿宋" w:hAnsi="仿宋" w:eastAsia="仿宋" w:cs="仿宋"/>
      <w:sz w:val="20"/>
      <w:szCs w:val="20"/>
      <w:lang w:val="en-US" w:eastAsia="en-US" w:bidi="ar-SA"/>
    </w:rPr>
  </w:style>
  <w:style w:type="paragraph" w:customStyle="1" w:styleId="10">
    <w:name w:val="p15"/>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2026-06-22T05:26:00Z</dcterms:created>
  <dc:creator>左左</dc:creator>
  <cp:lastModifiedBy>左左</cp:lastModifiedBy>
  <dcterms:modified xsi:type="dcterms:W3CDTF">2026-06-22T05:29:03Z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D1951D7A1EB841C5B4E731ABF0B48BDE_11</vt:lpwstr>
  </property>
  <property fmtid="{D5CDD505-2E9C-101B-9397-08002B2CF9AE}" pid="4" name="KSOTemplateDocerSaveRecord">
    <vt:lpwstr>eyJoZGlkIjoiYjgzZjBlMWFiY2UyYjQ1NWYwYWI5MjNkODI5ZDljOGYiLCJ1c2VySWQiOiI1NzY5ODc4MzkifQ==</vt:lpwstr>
  </property>
</Properties>
</file>