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版本号：TZZB-Z-2026155C20260722002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西安市教育局2026年社区教育和课程开发项目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TZZB-Z-2026155C</w:t>
      </w:r>
      <w:r>
        <w:br/>
      </w:r>
      <w:r>
        <w:br/>
      </w:r>
      <w:r>
        <w:br/>
      </w:r>
    </w:p>
    <w:p>
      <w:pPr>
        <w:pStyle w:val="null3"/>
        <w:jc w:val="center"/>
        <w:outlineLvl w:val="2"/>
      </w:pPr>
      <w:r>
        <w:rPr>
          <w:rFonts w:ascii="仿宋_GB2312" w:hAnsi="仿宋_GB2312" w:cs="仿宋_GB2312" w:eastAsia="仿宋_GB2312"/>
          <w:sz w:val="28"/>
          <w:b/>
        </w:rPr>
        <w:t>西安市教育局（本级）</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西安市教育局（本级）</w:t>
      </w:r>
      <w:r>
        <w:rPr>
          <w:rFonts w:ascii="仿宋_GB2312" w:hAnsi="仿宋_GB2312" w:cs="仿宋_GB2312" w:eastAsia="仿宋_GB2312"/>
        </w:rPr>
        <w:t>委托，拟对</w:t>
      </w:r>
      <w:r>
        <w:rPr>
          <w:rFonts w:ascii="仿宋_GB2312" w:hAnsi="仿宋_GB2312" w:cs="仿宋_GB2312" w:eastAsia="仿宋_GB2312"/>
        </w:rPr>
        <w:t>西安市教育局2026年社区教育和课程开发项目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TZZB-Z-2026155C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西安市教育局2026年社区教育和课程开发项目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2026年社区教育和课程开发项目，主要服务内容包含：1.社区教育专家库及老年教育师资智库建设；2.社区教育老年教育内涵建设；3.社区教育老年教育课程开发与数字化资源建设。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信用查询：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西安市教育局（本级）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凤城八路109号市政府6号楼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029-86786571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西安市雁塔区科技二路71号竹园·天寰国际1107室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温丽妮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029-65652860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改革委办公厅《关于招标代理服务收费有关问题的通知》（发改办价格〔2003〕857号）及国家发展改革委《关于降低部分建设项目收费标准规范收费行为等有关问题的通知》（发改价格〔2011〕534号）规定的标准计取。 代理服务费缴纳账号：同正项目管理有限公司 开户银行：中国建设银行股份有限公司西安长庆支行 账号：61050190550000001106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西安市教育局（本级）</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西安市教育局（本级）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西安市教育局（本级）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原有通用素材、标准化课程等自有知识产权归其所有。本项目专项定制、开发、汇编形成的全部成果及数字化资源知识产权归采购人所有，采购人享有永久无偿使用及处置权益。所需第三方知识产权由供应商合法授权使用，相关费用均含在报价内，未尽事宜由采购人结合实际自主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联系人：温丽妮</w:t>
      </w:r>
    </w:p>
    <w:p>
      <w:pPr>
        <w:pStyle w:val="null3"/>
      </w:pPr>
      <w:r>
        <w:rPr>
          <w:rFonts w:ascii="仿宋_GB2312" w:hAnsi="仿宋_GB2312" w:cs="仿宋_GB2312" w:eastAsia="仿宋_GB2312"/>
        </w:rPr>
        <w:t>联系电话：029-65652860</w:t>
      </w:r>
    </w:p>
    <w:p>
      <w:pPr>
        <w:pStyle w:val="null3"/>
      </w:pPr>
      <w:r>
        <w:rPr>
          <w:rFonts w:ascii="仿宋_GB2312" w:hAnsi="仿宋_GB2312" w:cs="仿宋_GB2312" w:eastAsia="仿宋_GB2312"/>
        </w:rPr>
        <w:t>地址：西安市雁塔区科技二路71号竹园·天寰国际1107室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2026年社区教育和课程开发项目，主要服务内容包含：1.社区教育专家库及老年教育师资智库建设；2.社区教育老年教育内涵建设；3.社区教育老年教育课程开发与数字化资源建设。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2026年社区教育和课程开发项目采购需求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标的名称：2026年社区教育和课程开发项目采购需求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一、社区教育专家库及老年教育师资智库建设</w:t>
            </w:r>
          </w:p>
          <w:p>
            <w:pPr>
              <w:pStyle w:val="null3"/>
            </w:pPr>
            <w:r>
              <w:rPr>
                <w:rFonts w:ascii="仿宋_GB2312" w:hAnsi="仿宋_GB2312" w:cs="仿宋_GB2312" w:eastAsia="仿宋_GB2312"/>
                <w:sz w:val="24"/>
                <w:b/>
              </w:rPr>
              <w:t>（一）项目概况</w:t>
            </w:r>
          </w:p>
          <w:p>
            <w:pPr>
              <w:pStyle w:val="null3"/>
            </w:pPr>
            <w:r>
              <w:rPr>
                <w:rFonts w:ascii="仿宋_GB2312" w:hAnsi="仿宋_GB2312" w:cs="仿宋_GB2312" w:eastAsia="仿宋_GB2312"/>
                <w:sz w:val="24"/>
              </w:rPr>
              <w:t>为贯彻落实《国务院关于印发“十四五”国家老龄事业发</w:t>
            </w:r>
            <w:r>
              <w:rPr>
                <w:rFonts w:ascii="仿宋_GB2312" w:hAnsi="仿宋_GB2312" w:cs="仿宋_GB2312" w:eastAsia="仿宋_GB2312"/>
                <w:sz w:val="24"/>
              </w:rPr>
              <w:t>展和养老服务体系规划的通知》和《中共中央 国务院关于加强新时代老龄工作的意见》要求，持续推进社区教育规范化、品牌化建设，通过建设专家库、老年教育师资智库、开展公益讲座活动，全面提升基层社区教育服务能力，助力学习型城市建设。</w:t>
            </w:r>
          </w:p>
          <w:p>
            <w:pPr>
              <w:pStyle w:val="null3"/>
            </w:pPr>
            <w:r>
              <w:rPr>
                <w:rFonts w:ascii="仿宋_GB2312" w:hAnsi="仿宋_GB2312" w:cs="仿宋_GB2312" w:eastAsia="仿宋_GB2312"/>
                <w:sz w:val="24"/>
                <w:b/>
              </w:rPr>
              <w:t>（二）项目实施内容</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社区教育专家库建设。配合市社区教育指导中心完成全市社区教育专家库审核与入库工作，评选入库一批社区教育专家人才，为理论研究指导、项目评审评估、培训授课等提供专业支撑。</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老年教育师资智库建设。面向全市优秀授课教师、专家学者、非遗传承人、能工巧匠、民间达人及具有一技之长的社区居民等开展择优遴选，建设老年教育师资智库，充实我市老年教育师资储备，优化师资结构，提升基层老年课堂教学质量与课程供给水平。</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开展多类别的课程讲座活动。依托入库的老年教育师资，开展公民素质、生活技能、健康养生、休闲技艺、家庭教育等讲座活动不少于20场，丰富居民精神文化生活，扩大终身教育覆盖面和影响力。</w:t>
            </w:r>
          </w:p>
          <w:p>
            <w:pPr>
              <w:pStyle w:val="null3"/>
            </w:pPr>
            <w:r>
              <w:rPr>
                <w:rFonts w:ascii="仿宋_GB2312" w:hAnsi="仿宋_GB2312" w:cs="仿宋_GB2312" w:eastAsia="仿宋_GB2312"/>
                <w:sz w:val="24"/>
                <w:b/>
              </w:rPr>
              <w:t>（三）服务实施要求</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需具备社区教育、终身教育项目实施经验，能够配合市社区教育指导中心规范完成师资遴选、入库评审及相关工作。</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能够结合西安社区教育特色，统筹安排老年智库师资开展多样化、接地气、群众认可度高的公益课程活动。</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全程规范留存活动方案、师资台账、活动照片、签到记录、工作总结等过程资料。</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活动组织安全有序、流程规范，贴合基层实际，具有普惠性、公益性、示范性。</w:t>
            </w:r>
          </w:p>
          <w:p>
            <w:pPr>
              <w:pStyle w:val="null3"/>
            </w:pPr>
            <w:r>
              <w:rPr>
                <w:rFonts w:ascii="仿宋_GB2312" w:hAnsi="仿宋_GB2312" w:cs="仿宋_GB2312" w:eastAsia="仿宋_GB2312"/>
                <w:sz w:val="24"/>
                <w:b/>
              </w:rPr>
              <w:t>（四）人员能力要求</w:t>
            </w:r>
          </w:p>
          <w:p>
            <w:pPr>
              <w:pStyle w:val="null3"/>
              <w:ind w:firstLine="480"/>
            </w:pPr>
            <w:r>
              <w:rPr>
                <w:rFonts w:ascii="仿宋_GB2312" w:hAnsi="仿宋_GB2312" w:cs="仿宋_GB2312" w:eastAsia="仿宋_GB2312"/>
                <w:sz w:val="24"/>
              </w:rPr>
              <w:t>须配备稳定项目执行团队，具备活动策划、现场组织、师资对接、资料归档、宣传总结等工作能力，能够保质保量完成本年度全部项目任务。</w:t>
            </w:r>
          </w:p>
          <w:p>
            <w:pPr>
              <w:pStyle w:val="null3"/>
            </w:pPr>
            <w:r>
              <w:rPr>
                <w:rFonts w:ascii="仿宋_GB2312" w:hAnsi="仿宋_GB2312" w:cs="仿宋_GB2312" w:eastAsia="仿宋_GB2312"/>
                <w:sz w:val="24"/>
                <w:b/>
              </w:rPr>
              <w:t>（五）成果交付要求</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配合市社区教育指导中心完成社区教育专家库入库。</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老年教育师资智库入库师资档案、汇总台账。</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全年不少于20场讲座的活动实施方案、现场资料、影像素材、成果汇编及相关宣传总结材料。</w:t>
            </w:r>
          </w:p>
          <w:p>
            <w:pPr>
              <w:pStyle w:val="null3"/>
            </w:pPr>
            <w:r>
              <w:rPr>
                <w:rFonts w:ascii="仿宋_GB2312" w:hAnsi="仿宋_GB2312" w:cs="仿宋_GB2312" w:eastAsia="仿宋_GB2312"/>
                <w:sz w:val="24"/>
                <w:b/>
              </w:rPr>
              <w:t>（六）交付标准</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完成配合社区教育专家库，完成老年教育师资智库建设相关资料齐全。</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讲座活动数量达标，流程完整、群众反响良好。</w:t>
            </w:r>
          </w:p>
          <w:p>
            <w:pPr>
              <w:pStyle w:val="null3"/>
            </w:pPr>
            <w:r>
              <w:rPr>
                <w:rFonts w:ascii="仿宋_GB2312" w:hAnsi="仿宋_GB2312" w:cs="仿宋_GB2312" w:eastAsia="仿宋_GB2312"/>
                <w:sz w:val="24"/>
              </w:rPr>
              <w:t>3.</w:t>
            </w:r>
            <w:r>
              <w:rPr>
                <w:rFonts w:ascii="仿宋_GB2312" w:hAnsi="仿宋_GB2312" w:cs="仿宋_GB2312" w:eastAsia="仿宋_GB2312"/>
                <w:sz w:val="24"/>
              </w:rPr>
              <w:t>所有台账、过程性材料、成果资料完整归档，符合主管部门要求。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rPr>
              <w:t>二、社区教育老年教育内涵建设</w:t>
            </w:r>
          </w:p>
          <w:p>
            <w:pPr>
              <w:pStyle w:val="null3"/>
            </w:pPr>
            <w:r>
              <w:rPr>
                <w:rFonts w:ascii="仿宋_GB2312" w:hAnsi="仿宋_GB2312" w:cs="仿宋_GB2312" w:eastAsia="仿宋_GB2312"/>
                <w:sz w:val="24"/>
                <w:b/>
              </w:rPr>
              <w:t>（一）项目概况</w:t>
            </w:r>
          </w:p>
          <w:p>
            <w:pPr>
              <w:pStyle w:val="null3"/>
              <w:ind w:firstLine="480"/>
            </w:pPr>
            <w:r>
              <w:rPr>
                <w:rFonts w:ascii="仿宋_GB2312" w:hAnsi="仿宋_GB2312" w:cs="仿宋_GB2312" w:eastAsia="仿宋_GB2312"/>
                <w:sz w:val="24"/>
              </w:rPr>
              <w:t>依据《西安市推进养老服务高质量发展行动方案》（市政办发〔2021〕47号）、《西安市老年教育体系建设实施方案》（市教发〔2021〕244号）精神，立足我市学习型城市建设要求，持续完善社区教育、老年教育内涵建设，创新优化社区教育、老年教育学习模式及体验方式，持续扩充优质、普惠的社区教育、老年教育公共服务资源，切实满足广大市民家门口学习需求，不断提升基层公共文化教育服务水平。</w:t>
            </w:r>
          </w:p>
          <w:p>
            <w:pPr>
              <w:pStyle w:val="null3"/>
            </w:pPr>
            <w:r>
              <w:rPr>
                <w:rFonts w:ascii="仿宋_GB2312" w:hAnsi="仿宋_GB2312" w:cs="仿宋_GB2312" w:eastAsia="仿宋_GB2312"/>
                <w:sz w:val="24"/>
                <w:b/>
              </w:rPr>
              <w:t>（二）项目实施内容</w:t>
            </w:r>
          </w:p>
          <w:p>
            <w:pPr>
              <w:pStyle w:val="null3"/>
              <w:ind w:firstLine="480"/>
            </w:pPr>
            <w:r>
              <w:rPr>
                <w:rFonts w:ascii="仿宋_GB2312" w:hAnsi="仿宋_GB2312" w:cs="仿宋_GB2312" w:eastAsia="仿宋_GB2312"/>
                <w:sz w:val="24"/>
              </w:rPr>
              <w:t>本项目围绕社区教育提质、老年教育增效开展常态化内容丰富、形式多元、覆盖面广的全民终身学习活动。通过开设形式多样、内容丰富的社区教育、老年教育公益课堂与体验活动，丰富市民精神文化生活，覆盖人群广泛，推动优质教育资源下沉社区、服务群众，实现社区教育、老年教育常态化、普惠化、特色化开展。</w:t>
            </w:r>
          </w:p>
          <w:p>
            <w:pPr>
              <w:pStyle w:val="null3"/>
            </w:pPr>
            <w:r>
              <w:rPr>
                <w:rFonts w:ascii="仿宋_GB2312" w:hAnsi="仿宋_GB2312" w:cs="仿宋_GB2312" w:eastAsia="仿宋_GB2312"/>
                <w:sz w:val="24"/>
                <w:b/>
              </w:rPr>
              <w:t>（三）技术及服务要求</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服务经验要求：具备开展市民终身学习、社区教育、老年教育的成熟实施经验，能够精准落地常态化公益教学及体验服务。</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管理制度要求：具备完善的管理制度、学员管理制度、安全管理制度及服务评价体系，能够实现项目全过程规范化、标准化闭环管理。</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团队能力要求：拥有结构稳定、专业过硬的专职及兼职服务团队、师资队伍，具备社区教育课程研发、活动策划、现场实施等业务能力，保障项目高质量落地实施。</w:t>
            </w:r>
          </w:p>
          <w:p>
            <w:pPr>
              <w:pStyle w:val="null3"/>
            </w:pPr>
            <w:r>
              <w:rPr>
                <w:rFonts w:ascii="仿宋_GB2312" w:hAnsi="仿宋_GB2312" w:cs="仿宋_GB2312" w:eastAsia="仿宋_GB2312"/>
                <w:sz w:val="24"/>
                <w:b/>
              </w:rPr>
              <w:t>（四）项目实施要求</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项目实施全过程坚持公益普惠的原则，课程及活动内容贴合市民需求，积极传播正能量，弘扬优秀传统文化及时代新风。</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常态化开展各类学习体验活动，保障活动频次、覆盖范围、服务质量，有效提升群众学习获得感、幸福感。</w:t>
            </w:r>
          </w:p>
          <w:p>
            <w:pPr>
              <w:pStyle w:val="null3"/>
              <w:ind w:firstLine="480"/>
            </w:pPr>
            <w:r>
              <w:rPr>
                <w:rFonts w:ascii="仿宋_GB2312" w:hAnsi="仿宋_GB2312" w:cs="仿宋_GB2312" w:eastAsia="仿宋_GB2312"/>
                <w:sz w:val="24"/>
              </w:rPr>
              <w:t xml:space="preserve">3. </w:t>
            </w:r>
            <w:r>
              <w:rPr>
                <w:rFonts w:ascii="仿宋_GB2312" w:hAnsi="仿宋_GB2312" w:cs="仿宋_GB2312" w:eastAsia="仿宋_GB2312"/>
                <w:sz w:val="24"/>
              </w:rPr>
              <w:t>全程规范留存方案、台账、影像、签到、总结、宣传等全过程资料，做到资料齐全、归档规范、成效可验。</w:t>
            </w:r>
          </w:p>
          <w:p>
            <w:pPr>
              <w:pStyle w:val="null3"/>
            </w:pPr>
            <w:r>
              <w:rPr>
                <w:rFonts w:ascii="仿宋_GB2312" w:hAnsi="仿宋_GB2312" w:cs="仿宋_GB2312" w:eastAsia="仿宋_GB2312"/>
                <w:sz w:val="24"/>
                <w:b/>
              </w:rPr>
              <w:t>（五）成果交付要求</w:t>
            </w:r>
          </w:p>
          <w:p>
            <w:pPr>
              <w:pStyle w:val="null3"/>
              <w:ind w:firstLine="480"/>
            </w:pPr>
            <w:r>
              <w:rPr>
                <w:rFonts w:ascii="仿宋_GB2312" w:hAnsi="仿宋_GB2312" w:cs="仿宋_GB2312" w:eastAsia="仿宋_GB2312"/>
                <w:sz w:val="24"/>
              </w:rPr>
              <w:t>交付项目实施方案、活动台账、过程资料、工作总结、活动影像、宣传成果、服务评价汇总、项目成果汇编等全套资料，确保符合主管部门要求。</w:t>
            </w:r>
          </w:p>
          <w:p>
            <w:pPr>
              <w:pStyle w:val="null3"/>
            </w:pPr>
            <w:r>
              <w:rPr>
                <w:rFonts w:ascii="仿宋_GB2312" w:hAnsi="仿宋_GB2312" w:cs="仿宋_GB2312" w:eastAsia="仿宋_GB2312"/>
                <w:sz w:val="24"/>
                <w:b/>
              </w:rPr>
              <w:t>（六）验收标准</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项目整体实施符合国家、省、市社区教育、老年教育相关政策文件要求。</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活动开展规范有序、内容丰富、群众参与度高、社会效益良好。</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管理制度健全、服务流程规范、团队保障到位。</w:t>
            </w:r>
          </w:p>
          <w:p>
            <w:pPr>
              <w:pStyle w:val="null3"/>
            </w:pPr>
            <w:r>
              <w:rPr>
                <w:rFonts w:ascii="仿宋_GB2312" w:hAnsi="仿宋_GB2312" w:cs="仿宋_GB2312" w:eastAsia="仿宋_GB2312"/>
                <w:sz w:val="24"/>
              </w:rPr>
              <w:t xml:space="preserve">    4.</w:t>
            </w:r>
            <w:r>
              <w:rPr>
                <w:rFonts w:ascii="仿宋_GB2312" w:hAnsi="仿宋_GB2312" w:cs="仿宋_GB2312" w:eastAsia="仿宋_GB2312"/>
                <w:sz w:val="24"/>
              </w:rPr>
              <w:t>全过程资料完整规范，项目成效显著。</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b/>
              </w:rPr>
              <w:t>三、社区教育老年教育课程开发与数字化资源建设</w:t>
            </w:r>
          </w:p>
          <w:p>
            <w:pPr>
              <w:pStyle w:val="null3"/>
            </w:pPr>
            <w:r>
              <w:rPr>
                <w:rFonts w:ascii="仿宋_GB2312" w:hAnsi="仿宋_GB2312" w:cs="仿宋_GB2312" w:eastAsia="仿宋_GB2312"/>
                <w:sz w:val="24"/>
                <w:b/>
              </w:rPr>
              <w:t>（一）项目概况</w:t>
            </w:r>
          </w:p>
          <w:p>
            <w:pPr>
              <w:pStyle w:val="null3"/>
              <w:ind w:firstLine="480"/>
            </w:pPr>
            <w:r>
              <w:rPr>
                <w:rFonts w:ascii="仿宋_GB2312" w:hAnsi="仿宋_GB2312" w:cs="仿宋_GB2312" w:eastAsia="仿宋_GB2312"/>
                <w:sz w:val="24"/>
              </w:rPr>
              <w:t>深入贯彻落实《西安市社区教育促进条例》，开发社区教育老年教育课程，丰富数字化资源，推进全市社区教育老年教育优质资源共建共享。</w:t>
            </w:r>
          </w:p>
          <w:p>
            <w:pPr>
              <w:pStyle w:val="null3"/>
            </w:pPr>
            <w:r>
              <w:rPr>
                <w:rFonts w:ascii="仿宋_GB2312" w:hAnsi="仿宋_GB2312" w:cs="仿宋_GB2312" w:eastAsia="仿宋_GB2312"/>
                <w:sz w:val="24"/>
                <w:b/>
              </w:rPr>
              <w:t>（二）项目实施内容</w:t>
            </w:r>
          </w:p>
          <w:p>
            <w:pPr>
              <w:pStyle w:val="null3"/>
              <w:ind w:firstLine="480"/>
            </w:pPr>
            <w:r>
              <w:rPr>
                <w:rFonts w:ascii="仿宋_GB2312" w:hAnsi="仿宋_GB2312" w:cs="仿宋_GB2312" w:eastAsia="仿宋_GB2312"/>
                <w:sz w:val="24"/>
              </w:rPr>
              <w:t>本项目需全新开发建设老年教育数字化微课不少于100门。课程内容贴合社区居民及老年学习兴趣，涵盖健康养生、数字技能、文化艺术、传统文化、普法安全、本土文化、科普知识等领域。每门可以是单独或者系列课程形式呈现，支持动画演示、实景拍摄等各种制作方式。每门课程知识点完整、逻辑清晰、内容独立成体系，符合老年及社区群体碎片化学习特点。</w:t>
            </w:r>
          </w:p>
          <w:p>
            <w:pPr>
              <w:pStyle w:val="null3"/>
            </w:pPr>
            <w:r>
              <w:rPr>
                <w:rFonts w:ascii="仿宋_GB2312" w:hAnsi="仿宋_GB2312" w:cs="仿宋_GB2312" w:eastAsia="仿宋_GB2312"/>
                <w:sz w:val="24"/>
                <w:b/>
              </w:rPr>
              <w:t>（三）技术要求</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时长要求：单门微课视频时长不少于3分钟，内容精炼、重点突出。</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视觉规范：所有课程统一使用指定片头、片尾和LOGO。</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视频参数：</w:t>
            </w:r>
          </w:p>
          <w:p>
            <w:pPr>
              <w:pStyle w:val="null3"/>
              <w:ind w:firstLine="480"/>
            </w:pPr>
            <w:r>
              <w:rPr>
                <w:rFonts w:ascii="仿宋_GB2312" w:hAnsi="仿宋_GB2312" w:cs="仿宋_GB2312" w:eastAsia="仿宋_GB2312"/>
                <w:sz w:val="24"/>
              </w:rPr>
              <w:t>视频格式：mp4格式</w:t>
            </w:r>
          </w:p>
          <w:p>
            <w:pPr>
              <w:pStyle w:val="null3"/>
              <w:ind w:firstLine="480"/>
            </w:pPr>
            <w:r>
              <w:rPr>
                <w:rFonts w:ascii="仿宋_GB2312" w:hAnsi="仿宋_GB2312" w:cs="仿宋_GB2312" w:eastAsia="仿宋_GB2312"/>
                <w:sz w:val="24"/>
              </w:rPr>
              <w:t>画面比例：采用16:9高清横屏</w:t>
            </w:r>
          </w:p>
          <w:p>
            <w:pPr>
              <w:pStyle w:val="null3"/>
              <w:ind w:firstLine="480"/>
            </w:pPr>
            <w:r>
              <w:rPr>
                <w:rFonts w:ascii="仿宋_GB2312" w:hAnsi="仿宋_GB2312" w:cs="仿宋_GB2312" w:eastAsia="仿宋_GB2312"/>
                <w:sz w:val="24"/>
              </w:rPr>
              <w:t>分辨率：1080P及以上</w:t>
            </w:r>
          </w:p>
          <w:p>
            <w:pPr>
              <w:pStyle w:val="null3"/>
              <w:ind w:firstLine="480"/>
            </w:pPr>
            <w:r>
              <w:rPr>
                <w:rFonts w:ascii="仿宋_GB2312" w:hAnsi="仿宋_GB2312" w:cs="仿宋_GB2312" w:eastAsia="仿宋_GB2312"/>
                <w:sz w:val="24"/>
              </w:rPr>
              <w:t>视频帧率30fps</w:t>
            </w:r>
          </w:p>
          <w:p>
            <w:pPr>
              <w:pStyle w:val="null3"/>
              <w:ind w:firstLine="480"/>
            </w:pPr>
            <w:r>
              <w:rPr>
                <w:rFonts w:ascii="仿宋_GB2312" w:hAnsi="仿宋_GB2312" w:cs="仿宋_GB2312" w:eastAsia="仿宋_GB2312"/>
                <w:sz w:val="24"/>
              </w:rPr>
              <w:t>视频码率：3.5-4.0 Mbps</w:t>
            </w:r>
          </w:p>
          <w:p>
            <w:pPr>
              <w:pStyle w:val="null3"/>
              <w:ind w:firstLine="480"/>
            </w:pPr>
            <w:r>
              <w:rPr>
                <w:rFonts w:ascii="仿宋_GB2312" w:hAnsi="仿宋_GB2312" w:cs="仿宋_GB2312" w:eastAsia="仿宋_GB2312"/>
                <w:sz w:val="24"/>
              </w:rPr>
              <w:t>视频编码：H.264</w:t>
            </w:r>
          </w:p>
          <w:p>
            <w:pPr>
              <w:pStyle w:val="null3"/>
              <w:ind w:firstLine="480"/>
            </w:pPr>
            <w:r>
              <w:rPr>
                <w:rFonts w:ascii="仿宋_GB2312" w:hAnsi="仿宋_GB2312" w:cs="仿宋_GB2312" w:eastAsia="仿宋_GB2312"/>
                <w:sz w:val="24"/>
              </w:rPr>
              <w:t>画面要求：画面清晰、稳定，无晃动、无黑屏跳帧</w:t>
            </w:r>
          </w:p>
          <w:p>
            <w:pPr>
              <w:pStyle w:val="null3"/>
              <w:ind w:firstLine="480"/>
            </w:pPr>
            <w:r>
              <w:rPr>
                <w:rFonts w:ascii="仿宋_GB2312" w:hAnsi="仿宋_GB2312" w:cs="仿宋_GB2312" w:eastAsia="仿宋_GB2312"/>
                <w:sz w:val="24"/>
              </w:rPr>
              <w:t>音频要求：声音清晰、无杂音、无噪音、人声清晰饱满</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单个课程体积标准：视频压缩规范，画质无损，参照标准：15分钟≈450MB，适配西安市全民终身学习网平台上传、播放及线上学习使用。</w:t>
            </w:r>
          </w:p>
          <w:p>
            <w:pPr>
              <w:pStyle w:val="null3"/>
            </w:pPr>
            <w:r>
              <w:rPr>
                <w:rFonts w:ascii="仿宋_GB2312" w:hAnsi="仿宋_GB2312" w:cs="仿宋_GB2312" w:eastAsia="仿宋_GB2312"/>
                <w:sz w:val="24"/>
                <w:b/>
              </w:rPr>
              <w:t>（四）成果交付要求</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完成100门标准化高清微课视频成品。</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提供课程资源制作台账（含课程简介、课程封面、授课教师介绍、知识点等内容）、课程清单等相关材料进行资源归档。</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交付全部源文件及可直接上线使用的成品资源。</w:t>
            </w:r>
          </w:p>
          <w:p>
            <w:pPr>
              <w:pStyle w:val="null3"/>
            </w:pPr>
            <w:r>
              <w:rPr>
                <w:rFonts w:ascii="仿宋_GB2312" w:hAnsi="仿宋_GB2312" w:cs="仿宋_GB2312" w:eastAsia="仿宋_GB2312"/>
                <w:sz w:val="24"/>
                <w:b/>
              </w:rPr>
              <w:t>（五）验收标准</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课程数量达标，总计不少于100门，每门时长、格式、参数符合技术规范。</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画面、声音、排版、片头片尾规范统一，画质高清、播放流畅。</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课程意识形态导向正确，内容严谨合规，知识点完整，适配社区及老年教育要求。</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所有资料齐全、归档规范、无版权问题，可直接用于平台上架、公益活动及资源共享。</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整体成果符合西安市社区教育、老年教育数字化资源建设标准，可长期复用、推广、展示。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供应商根据服务要求自行响应，满足采购人服务要求。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自合同签订之日起至2026年11月30日止。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进度款，服务期结束且经采购人验收合格后，达到付款条件起7个工作日内，支付合同总金额的50.0%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2.供应商未按合同要求提供服务或服务质量不能满足技术要求，且在规定时间内未使采购人满意的，采购人有权解除合同，同时报请西安市财政局政府采购监管部门对其违约行为进行追究。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采购结果发布后7个工作日内向代理机构提交纸质版响应文件以存档，响应文件正本1份，副本2份（文件内容、格式及信息须与系统上传电子文件保持一致）。纸质响应文件均须A4纸打印，分别各自装订成册并编制目录和页码。 2.本项目通过陕西省政府采购综合管理平台进行电子化交易，竞争性磋商文件由采购人及代理机构在平台填报相关内容后由平台系统自动生成。鉴于平台系统模板为通用制式，文件中出现“招标文件”“投标文件”“投标人”等术语，此类术语均为平台系统固化表述，在本项目（采购方式为竞争性磋商）中均应理解为“磋商文件”“响应文件”“供应商”等相应含义。供应商对本项目采购方式及采购文件术语的理解，应以本项目磋商文件第一章明确的采购方式（竞争性磋商）及本说明为准。3.本项目采购标的所属行业为其他未列明行业。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供应商需在项目电子化交易系统中按要求填写《投标函》完成承诺并进行电子签章,同时提供以下资格证明材料： 1.出具合法有效的营业执照或事业单位法人证书等国家规定的相关证明，自然人参与的提供其身份证明； 2.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 3.提供自2025年7月1日以来已缴存的任意1个月的社会保障资金缴存单据或社保机构开具的社会保险参保缴费情况证明；依法不需要缴纳社会保障资金的供应商应提供相关证明文件。 4.提供自2025年7月1日以来已缴纳的任意1个月的依法缴纳税收的相关凭据(时间以税款所属日期为准)，凭据应有税务机关或代收机关的公章或业务专用章；依法免税或无须缴纳税收的供应商，应提供相应证明文件。 5.提供具有履行合同所必需的设备和专业技术能力的书面承诺。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11.一般资格要求及特殊资格要求.docx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w:t>
            </w:r>
          </w:p>
        </w:tc>
        <w:tc>
          <w:tcPr>
            <w:tcW w:type="dxa" w:w="1661"/>
          </w:tcPr>
          <w:p>
            <w:pPr>
              <w:pStyle w:val="null3"/>
            </w:pPr>
            <w:r>
              <w:rPr>
                <w:rFonts w:ascii="仿宋_GB2312" w:hAnsi="仿宋_GB2312" w:cs="仿宋_GB2312" w:eastAsia="仿宋_GB2312"/>
              </w:rPr>
              <w:t>11.一般资格要求及特殊资格要求.docx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11.一般资格要求及特殊资格要求.docx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11.一般资格要求及特殊资格要求.docx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每轮报价只能有一个有效报价，不得提交选择性报价，且报价不超过采购预算金额或最高限价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响应文件的签字、 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11.一般资格要求及特殊资格要求.docx 2.商务要求偏离表.docx 5.团队人员配备方案.docx 中小企业声明函 10.业绩.docx 3.项目总体理解及规划.docx 14.陕西省政府采购供应商拒绝政府采购领域商业贿赂承诺书.docx 13.供应商企业关系关联承诺书.docx 7.场地统筹保障方案.docx 响应文件封面 4.整体总服务实施方案.docx 残疾人福利性单位声明函 6.质量保障措施.docx 12.供应商廉洁自律承诺书.docx 标的清单 8.应急管理方案.docx 1.服务内容及服务要求应答表.docx 15.其他材料及供应商认为有必要说明、阐述的事项.docx 响应函 监狱企业的证明文件 9.服务承诺.docx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2.商务要求偏离表.docx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2.要求全面响应磋商文件，不能有任何采购人不能接受的附加条件；3.规定不接受选择方案和选择报价（包括交叉折扣）的，供应商提供了选择方案/或选择报价（包括交叉折扣）；4.提供虚假证明，开具虚假资质，出现虚假应答。</w:t>
            </w:r>
          </w:p>
        </w:tc>
        <w:tc>
          <w:tcPr>
            <w:tcW w:type="dxa" w:w="1661"/>
          </w:tcPr>
          <w:p>
            <w:pPr>
              <w:pStyle w:val="null3"/>
            </w:pPr>
            <w:r>
              <w:rPr>
                <w:rFonts w:ascii="仿宋_GB2312" w:hAnsi="仿宋_GB2312" w:cs="仿宋_GB2312" w:eastAsia="仿宋_GB2312"/>
              </w:rPr>
              <w:t>11.一般资格要求及特殊资格要求.docx 2.商务要求偏离表.docx 5.团队人员配备方案.docx 中小企业声明函 10.业绩.docx 3.项目总体理解及规划.docx 14.陕西省政府采购供应商拒绝政府采购领域商业贿赂承诺书.docx 13.供应商企业关系关联承诺书.docx 7.场地统筹保障方案.docx 响应文件封面 4.整体总服务实施方案.docx 残疾人福利性单位声明函 6.质量保障措施.docx 12.供应商廉洁自律承诺书.docx 标的清单 8.应急管理方案.docx 1.服务内容及服务要求应答表.docx 15.其他材料及供应商认为有必要说明、阐述的事项.docx 响应函 监狱企业的证明文件 9.服务承诺.docx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项目总体理解及规划</w:t>
            </w:r>
          </w:p>
        </w:tc>
        <w:tc>
          <w:tcPr>
            <w:tcW w:type="dxa" w:w="2492"/>
          </w:tcPr>
          <w:p>
            <w:pPr>
              <w:pStyle w:val="null3"/>
            </w:pPr>
            <w:r>
              <w:rPr>
                <w:rFonts w:ascii="仿宋_GB2312" w:hAnsi="仿宋_GB2312" w:cs="仿宋_GB2312" w:eastAsia="仿宋_GB2312"/>
              </w:rPr>
              <w:t>供应商须结合本项目采购内容，详细阐述项目总体理解及规划，内容包括：①对本项目政策背景、总体定位、实施目标进行阐述（结合国家“十四五”老龄事业发展相关规划、西安市老年教育、社区教育相关政策文件）；② 对社区教育专家库、老年师资智库、不少于20场公益讲座、老年教育内涵建设、不少于100门数字化微课五大服务内容深度解读，明确各项硬性量化指标实施逻辑；③针对本项目的整体实施布局、统筹规划及总体推进方案。 本项满分9分。供应商响应文件完整包含上述三大项全部内容且各子项无缺失的，得满分；每缺失一个大项内容扣3分，扣完为止；若任一大项内容存在子项缺失，本项不得分。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3.项目总体理解及规划.docx</w:t>
            </w:r>
          </w:p>
        </w:tc>
      </w:tr>
      <w:tr>
        <w:tc>
          <w:tcPr>
            <w:tcW w:type="dxa" w:w="831"/>
            <w:vMerge/>
          </w:tcPr>
          <w:p/>
        </w:tc>
        <w:tc>
          <w:tcPr>
            <w:tcW w:type="dxa" w:w="1661"/>
          </w:tcPr>
          <w:p>
            <w:pPr>
              <w:pStyle w:val="null3"/>
            </w:pPr>
            <w:r>
              <w:rPr>
                <w:rFonts w:ascii="仿宋_GB2312" w:hAnsi="仿宋_GB2312" w:cs="仿宋_GB2312" w:eastAsia="仿宋_GB2312"/>
              </w:rPr>
              <w:t>整体总服务实施方案</w:t>
            </w:r>
          </w:p>
        </w:tc>
        <w:tc>
          <w:tcPr>
            <w:tcW w:type="dxa" w:w="2492"/>
          </w:tcPr>
          <w:p>
            <w:pPr>
              <w:pStyle w:val="null3"/>
            </w:pPr>
            <w:r>
              <w:rPr>
                <w:rFonts w:ascii="仿宋_GB2312" w:hAnsi="仿宋_GB2312" w:cs="仿宋_GB2312" w:eastAsia="仿宋_GB2312"/>
              </w:rPr>
              <w:t>一、评审内容 供应商须结合本项目采购内容，编制整体总服务实施方案。内容包括：①社区教育专家库建设；②老年教育师资智库建设；③开展多类别的课程讲座活动；④社区教育老年教育内涵建设；⑤社区教育老年教育课程开发与数字化资源建设。 二、评审标准 1.完整性：内容全面，对评审内容中的各项要求有详细描述； 2.可实施性：切合本项目实际情况，实施步骤清晰合理； 3.针对性：内容科学合理，能够紧扣项目实际情况。 三、赋分标准（满分30分） ①社区教育专家库建设：每满足一个评审标准得2分，对该评审标准的响应内容模糊或存在缺陷得1分，未提供或完全无法满足该评审标准得0分。（满分6分） ②老年教育师资智库建设：每满足一个评审标准得2分，对该评审标准的响应内容模糊或存在缺陷得1分，未提供或完全无法满足该评审标准得0分。（满分6分） ③开展多类别的课程讲座活动：每满足一个评审标准得2分，对该评审标准的响应内容模糊或存在缺陷得1分，未提供或完全无法满足该评审标准得0分。（满分6分） ④社区教育老年教育内涵建设：每满足一个评审标准得2分，对该评审标准的响应内容模糊或存在缺陷得1分，未提供或完全无法满足该评审标准得0分。（满分6分） ⑤社区教育老年教育课程开发与数字化资源建设：每满足一个评审标准得2分，对该评审标准的响应内容模糊或存在缺陷得1分，未提供或完全无法满足该评审标准得0分。（满分6分）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4.整体总服务实施方案.docx</w:t>
            </w:r>
          </w:p>
        </w:tc>
      </w:tr>
      <w:tr>
        <w:tc>
          <w:tcPr>
            <w:tcW w:type="dxa" w:w="831"/>
            <w:vMerge/>
          </w:tcPr>
          <w:p/>
        </w:tc>
        <w:tc>
          <w:tcPr>
            <w:tcW w:type="dxa" w:w="1661"/>
          </w:tcPr>
          <w:p>
            <w:pPr>
              <w:pStyle w:val="null3"/>
            </w:pPr>
            <w:r>
              <w:rPr>
                <w:rFonts w:ascii="仿宋_GB2312" w:hAnsi="仿宋_GB2312" w:cs="仿宋_GB2312" w:eastAsia="仿宋_GB2312"/>
              </w:rPr>
              <w:t>团队人员配备方案</w:t>
            </w:r>
          </w:p>
        </w:tc>
        <w:tc>
          <w:tcPr>
            <w:tcW w:type="dxa" w:w="2492"/>
          </w:tcPr>
          <w:p>
            <w:pPr>
              <w:pStyle w:val="null3"/>
            </w:pPr>
            <w:r>
              <w:rPr>
                <w:rFonts w:ascii="仿宋_GB2312" w:hAnsi="仿宋_GB2312" w:cs="仿宋_GB2312" w:eastAsia="仿宋_GB2312"/>
              </w:rPr>
              <w:t>一、评审内容 针对本项目采购内容，供应商提供详细的团队人员配备方案；内容包括：①拟派项目整体人员组成架构；②各岗位人员分工及岗位职责；③团队成员学历证书及专业类别。 二、评审标准 1.完整性：内容全面，对评审内容中的各项要求有详细描述； 2.可实施性：切合本项目实际情况，实施步骤清晰合理； 3.针对性：内容科学合理，能够紧扣项目实际情况。 三、赋分标准（满分9分） ①拟派项目整体人员组成架构：每满足一个评审标准得1分，对该评审标准的响应内容模糊或存在缺陷得0.5分，未提供或完全无法满足该评审标准得0分。（满分3分） ②各岗位人员分工及岗位职责：每满足一个评审标准得1分，对该评审标准的响应内容模糊或存在缺陷得0.5分，未提供或完全无法满足该评审标准得0分。（满分3分）③团队成员学历证书及专业类别：每满足一个评审标准得1分，对该评审标准的响应内容模糊或存在缺陷得0.5分，未提供或完全无法满足该评审标准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5.团队人员配备方案.docx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供应商须结合本项目采购内容，编制质量保障措施；内容包括：①项目整体实施进度计划；②进度保障措施；③项目实施所需设备、物资的投入配置及常态化保障措施。 本项满分9分。供应商响应文件完整包含上述三大项全部内容且各子项无缺失的，得满分；每缺失一个大项内容扣3分，扣完为止；若任一大项内容存在子项缺失，本项不得分。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6.质量保障措施.docx</w:t>
            </w:r>
          </w:p>
        </w:tc>
      </w:tr>
      <w:tr>
        <w:tc>
          <w:tcPr>
            <w:tcW w:type="dxa" w:w="831"/>
            <w:vMerge/>
          </w:tcPr>
          <w:p/>
        </w:tc>
        <w:tc>
          <w:tcPr>
            <w:tcW w:type="dxa" w:w="1661"/>
          </w:tcPr>
          <w:p>
            <w:pPr>
              <w:pStyle w:val="null3"/>
            </w:pPr>
            <w:r>
              <w:rPr>
                <w:rFonts w:ascii="仿宋_GB2312" w:hAnsi="仿宋_GB2312" w:cs="仿宋_GB2312" w:eastAsia="仿宋_GB2312"/>
              </w:rPr>
              <w:t>场地统筹保障方案</w:t>
            </w:r>
          </w:p>
        </w:tc>
        <w:tc>
          <w:tcPr>
            <w:tcW w:type="dxa" w:w="2492"/>
          </w:tcPr>
          <w:p>
            <w:pPr>
              <w:pStyle w:val="null3"/>
            </w:pPr>
            <w:r>
              <w:rPr>
                <w:rFonts w:ascii="仿宋_GB2312" w:hAnsi="仿宋_GB2312" w:cs="仿宋_GB2312" w:eastAsia="仿宋_GB2312"/>
              </w:rPr>
              <w:t>供应商须结合本项目采购内容，编制场地统筹保障方案；内容包括：①项目实施场地现状环境实地实拍照片；②场地专项保障说明（包含场地交通通达条件、人员最大容纳规模、场内空间布局规划）；③面向社区教育、老年教育业务的常态化办学活动，制定专项场地统筹运维与落地保障措施； 本项满分9分。供应商响应文件完整包含上述三大项全部内容且各子项无缺失的，得满分；每缺失一个大项内容扣3分，扣完为止；若任一大项内容存在子项缺失的，本项不得分。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7.场地统筹保障方案.docx</w:t>
            </w:r>
          </w:p>
        </w:tc>
      </w:tr>
      <w:tr>
        <w:tc>
          <w:tcPr>
            <w:tcW w:type="dxa" w:w="831"/>
            <w:vMerge/>
          </w:tcPr>
          <w:p/>
        </w:tc>
        <w:tc>
          <w:tcPr>
            <w:tcW w:type="dxa" w:w="1661"/>
          </w:tcPr>
          <w:p>
            <w:pPr>
              <w:pStyle w:val="null3"/>
            </w:pPr>
            <w:r>
              <w:rPr>
                <w:rFonts w:ascii="仿宋_GB2312" w:hAnsi="仿宋_GB2312" w:cs="仿宋_GB2312" w:eastAsia="仿宋_GB2312"/>
              </w:rPr>
              <w:t>应急管理方案</w:t>
            </w:r>
          </w:p>
        </w:tc>
        <w:tc>
          <w:tcPr>
            <w:tcW w:type="dxa" w:w="2492"/>
          </w:tcPr>
          <w:p>
            <w:pPr>
              <w:pStyle w:val="null3"/>
            </w:pPr>
            <w:r>
              <w:rPr>
                <w:rFonts w:ascii="仿宋_GB2312" w:hAnsi="仿宋_GB2312" w:cs="仿宋_GB2312" w:eastAsia="仿宋_GB2312"/>
              </w:rPr>
              <w:t>供应商须结合本项目采购内容，编制应急管理方案：①针对突发、紧急、重大情况的应急处理预案；②项目团队、授课师资人员变动应急处置。 本项满分5分。供应商响应文件完整包含上述两大项全部内容且各子项无缺失的，得满分；每缺失一个大项内容扣2.5分，扣完为止；若任一大项内容存在子项缺失，本项不得分。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8.应急管理方案.docx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供应商须结合本项目采购内容，编制服务承诺：①整体服务质量承诺；②服务响应时限承诺；③人员到位承诺；④安全保障承诺；⑤不能完全履行承诺时愿意接受相关处罚等以及其他服务的承诺。 本项满分10分。供应商响应文件完整包含上述五大项全部内容且各子项无缺失的，得满分；每缺失一个大项内容扣2分，扣完为止；若任一大项内容存在子项缺失，本项不得分。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供应商2023年7月1日至今承担过类似项目业绩，每提供1份业绩得3分，最高得9分。弄虚作假者，取消其成交资格。（以加盖供应商公章的合同扫描件为准，日期以合同签订日期为准）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1.经初审合格的磋商响应文件，其磋商报价为有效磋商报价，对其价格进行价格评审。 2.满足磋商文件实质性要求且最终报价最低的供应商的价格为磋商基准价，其价格分10分。 3.磋商报价得分=（磋商基准价/最终磋商报价）×10的公式计算得分。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详见附件：1.服务内容及服务要求应答表.docx</w:t>
      </w:r>
    </w:p>
    <w:p>
      <w:pPr>
        <w:pStyle w:val="null3"/>
        <w:ind w:firstLine="960"/>
      </w:pPr>
      <w:r>
        <w:rPr>
          <w:rFonts w:ascii="仿宋_GB2312" w:hAnsi="仿宋_GB2312" w:cs="仿宋_GB2312" w:eastAsia="仿宋_GB2312"/>
        </w:rPr>
        <w:t>详见附件：2.商务要求偏离表.docx</w:t>
      </w:r>
    </w:p>
    <w:p>
      <w:pPr>
        <w:pStyle w:val="null3"/>
        <w:ind w:firstLine="960"/>
      </w:pPr>
      <w:r>
        <w:rPr>
          <w:rFonts w:ascii="仿宋_GB2312" w:hAnsi="仿宋_GB2312" w:cs="仿宋_GB2312" w:eastAsia="仿宋_GB2312"/>
        </w:rPr>
        <w:t>详见附件：3.项目总体理解及规划.docx</w:t>
      </w:r>
    </w:p>
    <w:p>
      <w:pPr>
        <w:pStyle w:val="null3"/>
        <w:ind w:firstLine="960"/>
      </w:pPr>
      <w:r>
        <w:rPr>
          <w:rFonts w:ascii="仿宋_GB2312" w:hAnsi="仿宋_GB2312" w:cs="仿宋_GB2312" w:eastAsia="仿宋_GB2312"/>
        </w:rPr>
        <w:t>详见附件：4.整体总服务实施方案.docx</w:t>
      </w:r>
    </w:p>
    <w:p>
      <w:pPr>
        <w:pStyle w:val="null3"/>
        <w:ind w:firstLine="960"/>
      </w:pPr>
      <w:r>
        <w:rPr>
          <w:rFonts w:ascii="仿宋_GB2312" w:hAnsi="仿宋_GB2312" w:cs="仿宋_GB2312" w:eastAsia="仿宋_GB2312"/>
        </w:rPr>
        <w:t>详见附件：5.团队人员配备方案.docx</w:t>
      </w:r>
    </w:p>
    <w:p>
      <w:pPr>
        <w:pStyle w:val="null3"/>
        <w:ind w:firstLine="960"/>
      </w:pPr>
      <w:r>
        <w:rPr>
          <w:rFonts w:ascii="仿宋_GB2312" w:hAnsi="仿宋_GB2312" w:cs="仿宋_GB2312" w:eastAsia="仿宋_GB2312"/>
        </w:rPr>
        <w:t>详见附件：6.质量保障措施.docx</w:t>
      </w:r>
    </w:p>
    <w:p>
      <w:pPr>
        <w:pStyle w:val="null3"/>
        <w:ind w:firstLine="960"/>
      </w:pPr>
      <w:r>
        <w:rPr>
          <w:rFonts w:ascii="仿宋_GB2312" w:hAnsi="仿宋_GB2312" w:cs="仿宋_GB2312" w:eastAsia="仿宋_GB2312"/>
        </w:rPr>
        <w:t>详见附件：7.场地统筹保障方案.docx</w:t>
      </w:r>
    </w:p>
    <w:p>
      <w:pPr>
        <w:pStyle w:val="null3"/>
        <w:ind w:firstLine="960"/>
      </w:pPr>
      <w:r>
        <w:rPr>
          <w:rFonts w:ascii="仿宋_GB2312" w:hAnsi="仿宋_GB2312" w:cs="仿宋_GB2312" w:eastAsia="仿宋_GB2312"/>
        </w:rPr>
        <w:t>详见附件：8.应急管理方案.docx</w:t>
      </w:r>
    </w:p>
    <w:p>
      <w:pPr>
        <w:pStyle w:val="null3"/>
        <w:ind w:firstLine="960"/>
      </w:pPr>
      <w:r>
        <w:rPr>
          <w:rFonts w:ascii="仿宋_GB2312" w:hAnsi="仿宋_GB2312" w:cs="仿宋_GB2312" w:eastAsia="仿宋_GB2312"/>
        </w:rPr>
        <w:t>详见附件：9.服务承诺.docx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详见附件：11.一般资格要求及特殊资格要求.docx</w:t>
      </w:r>
    </w:p>
    <w:p>
      <w:pPr>
        <w:pStyle w:val="null3"/>
        <w:ind w:firstLine="960"/>
      </w:pPr>
      <w:r>
        <w:rPr>
          <w:rFonts w:ascii="仿宋_GB2312" w:hAnsi="仿宋_GB2312" w:cs="仿宋_GB2312" w:eastAsia="仿宋_GB2312"/>
        </w:rPr>
        <w:t>详见附件：12.供应商廉洁自律承诺书.docx</w:t>
      </w:r>
    </w:p>
    <w:p>
      <w:pPr>
        <w:pStyle w:val="null3"/>
        <w:ind w:firstLine="960"/>
      </w:pPr>
      <w:r>
        <w:rPr>
          <w:rFonts w:ascii="仿宋_GB2312" w:hAnsi="仿宋_GB2312" w:cs="仿宋_GB2312" w:eastAsia="仿宋_GB2312"/>
        </w:rPr>
        <w:t>详见附件：13.供应商企业关系关联承诺书.docx</w:t>
      </w:r>
    </w:p>
    <w:p>
      <w:pPr>
        <w:pStyle w:val="null3"/>
        <w:ind w:firstLine="960"/>
      </w:pPr>
      <w:r>
        <w:rPr>
          <w:rFonts w:ascii="仿宋_GB2312" w:hAnsi="仿宋_GB2312" w:cs="仿宋_GB2312" w:eastAsia="仿宋_GB2312"/>
        </w:rPr>
        <w:t>详见附件：14.陕西省政府采购供应商拒绝政府采购领域商业贿赂承诺书.docx</w:t>
      </w:r>
    </w:p>
    <w:p>
      <w:pPr>
        <w:pStyle w:val="null3"/>
        <w:ind w:firstLine="960"/>
      </w:pPr>
      <w:r>
        <w:rPr>
          <w:rFonts w:ascii="仿宋_GB2312" w:hAnsi="仿宋_GB2312" w:cs="仿宋_GB2312" w:eastAsia="仿宋_GB2312"/>
        </w:rPr>
        <w:t>详见附件：15.其他材料及供应商认为有必要说明、阐述的事项.docx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