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版本号：SXLX26-02-066Z(F)20260525001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西安市长安区人民法院档案数字化项目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SXLX26-02-066Z(F)</w:t>
      </w:r>
      <w:r>
        <w:br/>
      </w:r>
      <w:r>
        <w:br/>
      </w:r>
      <w:r>
        <w:br/>
      </w:r>
    </w:p>
    <w:p>
      <w:pPr>
        <w:pStyle w:val="null3"/>
        <w:jc w:val="center"/>
        <w:outlineLvl w:val="2"/>
      </w:pPr>
      <w:r>
        <w:rPr>
          <w:rFonts w:ascii="仿宋_GB2312" w:hAnsi="仿宋_GB2312" w:cs="仿宋_GB2312" w:eastAsia="仿宋_GB2312"/>
          <w:sz w:val="28"/>
          <w:b/>
        </w:rPr>
        <w:t>西安市长安区人民法院[160]</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西安市长安区人民法院[160]</w:t>
      </w:r>
      <w:r>
        <w:rPr>
          <w:rFonts w:ascii="仿宋_GB2312" w:hAnsi="仿宋_GB2312" w:cs="仿宋_GB2312" w:eastAsia="仿宋_GB2312"/>
        </w:rPr>
        <w:t>委托，拟对</w:t>
      </w:r>
      <w:r>
        <w:rPr>
          <w:rFonts w:ascii="仿宋_GB2312" w:hAnsi="仿宋_GB2312" w:cs="仿宋_GB2312" w:eastAsia="仿宋_GB2312"/>
        </w:rPr>
        <w:t>西安市长安区人民法院档案数字化项目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SXLX26-02-066Z(F)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西安市长安区人民法院档案数字化项目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市长安区人民法院档案数字化项目，根据最高人民法院出台的《关于全面推进人民法院电子卷宗随案同步生成和深度应用的指导意见》精神及省院出台的《陕西法院电子卷宗随案同步生成工作规范（试行）》要求，进一步夯实数字法院建设基础，做实智能辅助系统数据支撑，着力推进电子卷宗随案同步生成，全面开发和支持电子卷宗在案件办理、诉讼服务和司法管理中的深度应用，是打造智慧法院的重要支撑。总体质量按照《陕西省高级人民法院关于全省法院历史卷宗数字化技术要求的通知》及最高法院有关规定等要求，对长安区人民法院随案生成的即时案件进行数字化扫描服务，并保证档案扫描图像与原件一致、整洁、清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采购包1（西安市长安区人民法院档案数字化项目）：属于专门面向中小企业采购。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供应商须具备省级及以上国家保密局颁发的《国家秘密载体印制资质》乙级或以上资质（资质类别为“涉密档案数字化加工”），其中省外乙级资质供应商应当向陕西省保密行政管理部门备案，提供备案证明（甲级资质无需提供）</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西安市长安区人民法院[160]</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西安市长安区西长安街141号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029-84165132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魏晴霏、王小琼、任甜、杜航、郑婧婧、王真、梁嘉峰、马彩霞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采购包1：1,511,500.00元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采购预算为基础，参照《国家计委关于印发招标代理服务收费管理暂行办法的通知》（计价格〔2002〕1980号）和国家发改委办公厅颁发的《关于招标代理服务收费有关问题的通知》（发改办价格〔2003〕857号）文件规定标准收取，以上费用由成交供应商支付，具体收费金额将在成交公告中公布。 请将采购代理服务费汇至下列指定账户： 开户名称：陕西隆信项目管理有限公司 开 户 行：招商银行股份有限公司西安土门支行 账 号：129904064810902 财务部电话：029-88489979-8501 注：此服务费应计入报价中，但不需要单独开列。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西安市长安区人民法院[160]</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西安市长安区人民法院[160]</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西安市长安区人民法院[160]</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（1）采购人指定人员对数字化加工结果进行抽检验收，档案机读目录的抽检合格率须达到95%以上(含95%)；档案扫描质量的抽检合格率须达到98%以上(含98%)；档案数字化全流程成果的抽检合格率须达到100%。 （2）供应商应按照实际工作量，及时向甲方提供日、周、月验收单，由采购人指定人员签字确认。</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联系人：魏晴霏、王小琼、任甜</w:t>
      </w:r>
    </w:p>
    <w:p>
      <w:pPr>
        <w:pStyle w:val="null3"/>
      </w:pPr>
      <w:r>
        <w:rPr>
          <w:rFonts w:ascii="仿宋_GB2312" w:hAnsi="仿宋_GB2312" w:cs="仿宋_GB2312" w:eastAsia="仿宋_GB2312"/>
        </w:rPr>
        <w:t>联系电话：029-88489979-8205</w:t>
      </w:r>
    </w:p>
    <w:p>
      <w:pPr>
        <w:pStyle w:val="null3"/>
      </w:pPr>
      <w:r>
        <w:rPr>
          <w:rFonts w:ascii="仿宋_GB2312" w:hAnsi="仿宋_GB2312" w:cs="仿宋_GB2312" w:eastAsia="仿宋_GB2312"/>
        </w:rPr>
        <w:t>地址：陕西省西安市雁塔区雁翔路111号赛格·中京坊公寓A一单元二层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市长安区人民法院档案数字化项目，根据最高人民法院出台的《关于全面推进人民法院电子卷宗随案同步生成和深度应用的指导意见》精神及省院出台的《陕西法院电子卷宗随案同步生成工作规范（试行）》要求，进一步夯实数字法院建设基础，做实智能辅助系统数据支撑，着力推进电子卷宗随案同步生成，全面开发和支持电子卷宗在案件办理、诉讼服务和司法管理中的深度应用，是打造智慧法院的重要支撑。总体质量按照《陕西省高级人民法院关于全省法院历史卷宗数字化技术要求的通知》及最高法院有关规定等要求，对长安区人民法院随案生成的即时案件进行数字化扫描服务，并保证档案扫描图像与原件一致、整洁、清晰。</w:t>
      </w:r>
    </w:p>
    <w:p>
      <w:pPr>
        <w:pStyle w:val="null3"/>
        <w:ind w:firstLine="400"/>
      </w:pPr>
      <w:r>
        <w:rPr>
          <w:rFonts w:ascii="仿宋_GB2312" w:hAnsi="仿宋_GB2312" w:cs="仿宋_GB2312" w:eastAsia="仿宋_GB2312"/>
          <w:sz w:val="21"/>
          <w:b/>
          <w:color w:val="000000"/>
        </w:rPr>
        <w:t>本项目所属行业为其他未列明行业。</w:t>
      </w:r>
      <w:r>
        <w:rPr>
          <w:rFonts w:ascii="仿宋_GB2312" w:hAnsi="仿宋_GB2312" w:cs="仿宋_GB2312" w:eastAsia="仿宋_GB2312"/>
          <w:sz w:val="21"/>
          <w:color w:val="000000"/>
        </w:rPr>
        <w:t>（从业人员</w:t>
      </w:r>
      <w:r>
        <w:rPr>
          <w:rFonts w:ascii="仿宋_GB2312" w:hAnsi="仿宋_GB2312" w:cs="仿宋_GB2312" w:eastAsia="仿宋_GB2312"/>
          <w:sz w:val="21"/>
          <w:color w:val="000000"/>
        </w:rPr>
        <w:t>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1,511,500.00</w:t>
      </w:r>
    </w:p>
    <w:p>
      <w:pPr>
        <w:pStyle w:val="null3"/>
      </w:pPr>
      <w:r>
        <w:rPr>
          <w:rFonts w:ascii="仿宋_GB2312" w:hAnsi="仿宋_GB2312" w:cs="仿宋_GB2312" w:eastAsia="仿宋_GB2312"/>
        </w:rPr>
        <w:t>采购包最高限价（元）: 1,511,500.00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档案数字化</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1,511,500.00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标的名称：档案数字化</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1.技术标准</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服务方案要求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1）DA/T31-2017 中华人民共和国档案行业标准《纸质档案数字化技术规范》；</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2）DA/T18-2022《档案著录规则》；</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3）GB/T18894-2016《电子文档归档与管理规范》；</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4）《中华人民共和国档案法》；</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5）GB/T7156-2016《文献保密等级代码》；</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6）最高人民法院《人民法院纸质档案数字化处理规范》2007；</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7）陕西省高级人民法院《关于全省法院卷宗数字化技术要求的通知》陕高法〔2017〕205 号文件；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8）《最高人民法院关于全面推进人民法院电子卷宗随案同步生成和深度应用的指导意见》；</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9）《最高人民法院关于进一步加快推进电子卷宗随案同步生成和深度应用工作的通知》 ；</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10）《电子卷宗随案同步生成与管理应用技术要求》；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11）《电子卷宗阅卷目录规范》；</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12）《电子档案管理应用技术要求》；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13）《基于电子卷宗的审判支持应用技术要求》；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14）《法院电子卷宗数据汇聚技术规范》；</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15）《陕西法院电子卷宗随案生成工作规范（试行）》；</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16）长安区人民法院的档案信息化管理系统及其他相关行业标准的要求。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17）解决法官对大量纸质卷宗在结案前的有序、统一管理和安全储存等问题。通过数字化技术与法院诉讼档案随案同步业务进行完美融合，实现审判全流程准无纸化办案。</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18）在案件受理、办理过程中产生的材料进行扫描形成电子文件，同步将上述电子文档收集到“一张网”办案办公平台对应的案件空间。电子卷宗随案同步生成应保证同步性和及时性，线下收集诉讼材料应收尽收，随收随扫，确保立案、审判、执行等各个阶段的电子卷宗与纸质诉讼档案同步生成，内容一致，实时存储。按照《陕西法院电子卷宗随案生成工作规范（试行）》中时限要求完成立案、审判、执行等各个阶段产生的材料扫描上传工作，以保证按时完成电子卷宗随案同步生成工作。</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19）数据存储格式。全部采用彩色单页 jpg 的存储格式，纸质档案扫描采用分辨率不低于 300DPI，所有照片档案为彩色600dpi。对于案卷中出现字迹较小、模糊、较密集等情况，应适当提高分辨率，形成成品为24bit真彩的JPEG压缩格式的电子图片文件。扫描图像存储以案号命名根文件夹，正副卷结合的形式进行存储备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20）扫描图像质量的要求。图像质量情况完好率100%。图像清晰、完整，反映档案全貌；页面底色、字迹、印章颜色与档案本身颜色相仿，色泽均匀；图像效果必须符合正常的阅读习惯。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21）图像目录对应的信息正确率100%。图像齐全，包括卷面、目录、正文、备考表等信息。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22）数据上传质量检查。采用人工校对或自动校对的方式，对系统目录数据库的建库质量进行检查，核对上传项目是否完整，内容是否规范、准确，是否有漏传、错传等问题，对错传、漏传的数据进行修正、补录。</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23）投标人应结合长安区法院的档案管理制度制定一套符合完成本项目工作实际的档案整理、电子化等的管理规定及操作流程，以确保档案装订规范、电子化质量达到品质要求、档案卷宗系统验卷、归档，确保档案材料的安全和项目任务的完成。</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24）投标人需派驻稳定团队，到长安区法院指定工作场所扫描案卷，服务期间须保持人员数量的稳定。</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25）档案随案生成环节细分包括：档案接收、档案扫描、图像上传至“一张网”办案办公系统、校对归目、归档验卷、档案装订、档案移交等。</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26）投标人应保证扫描的案卷在装卸、运输和仓储过程中有足够的包装保护，防止纸质案卷受潮、破损、着火及其他不可预见的损坏。</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27）纸质案卷到达采购人指定的整理地点后，供应商应按有关技术规程和采购人要求进行存放、保管和整理。</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质量要求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.1 服务、产品（如有）执行的标准、规范：</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1）国家标准、规范     /    ；</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2）行业标准、规范     /    ；</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3）地方标准、规范     /    ；</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4）团体标准、规范     /    ；</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5）企业标准、规范     /    。</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.2 本章1.</w:t>
            </w:r>
            <w:r>
              <w:rPr>
                <w:rFonts w:ascii="仿宋_GB2312" w:hAnsi="仿宋_GB2312" w:cs="仿宋_GB2312" w:eastAsia="仿宋_GB2312"/>
                <w:sz w:val="21"/>
                <w:color w:val="000000"/>
              </w:rPr>
              <w:t>2</w:t>
            </w:r>
            <w:r>
              <w:rPr>
                <w:rFonts w:ascii="仿宋_GB2312" w:hAnsi="仿宋_GB2312" w:cs="仿宋_GB2312" w:eastAsia="仿宋_GB2312"/>
                <w:sz w:val="21"/>
                <w:color w:val="000000"/>
              </w:rPr>
              <w:t>.1条款未明确服务（产品）执行标准、规范的，按下列方法进行选择：</w:t>
            </w:r>
          </w:p>
          <w:p>
            <w:pPr>
              <w:pStyle w:val="null3"/>
              <w:jc w:val="both"/>
            </w:pPr>
            <w:r>
              <w:rPr>
                <w:rFonts w:ascii="仿宋_GB2312" w:hAnsi="仿宋_GB2312" w:cs="仿宋_GB2312" w:eastAsia="仿宋_GB2312"/>
                <w:sz w:val="21"/>
                <w:color w:val="000000"/>
              </w:rPr>
              <w:t>□ 顺序执行：国家标准→行业标准→地方标准→团体标准→企业标准（有国家标准按国家标准执行，没有国家标准按行业标准，以此类推）；</w:t>
            </w:r>
          </w:p>
          <w:p>
            <w:pPr>
              <w:pStyle w:val="null3"/>
              <w:jc w:val="both"/>
            </w:pPr>
            <w:r>
              <w:rPr>
                <w:rFonts w:ascii="仿宋_GB2312" w:hAnsi="仿宋_GB2312" w:cs="仿宋_GB2312" w:eastAsia="仿宋_GB2312"/>
                <w:sz w:val="21"/>
                <w:color w:val="000000"/>
              </w:rPr>
              <w:t>□ 最高标准执行：国家标准，行业标准，地方标准，团体标准，企业标准（哪个标准高执行哪个标准）</w:t>
            </w:r>
          </w:p>
          <w:p>
            <w:pPr>
              <w:pStyle w:val="null3"/>
              <w:jc w:val="both"/>
            </w:pPr>
            <w:r>
              <w:rPr>
                <w:rFonts w:ascii="仿宋_GB2312" w:hAnsi="仿宋_GB2312" w:cs="仿宋_GB2312" w:eastAsia="仿宋_GB2312"/>
                <w:sz w:val="21"/>
                <w:color w:val="000000"/>
              </w:rPr>
              <w:t>☑ 必须执行：国家（行业）强制性标准。</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本项目</w:t>
            </w:r>
            <w:r>
              <w:rPr>
                <w:rFonts w:ascii="仿宋_GB2312" w:hAnsi="仿宋_GB2312" w:cs="仿宋_GB2312" w:eastAsia="仿宋_GB2312"/>
                <w:sz w:val="21"/>
                <w:color w:val="000000"/>
              </w:rPr>
              <w:t>最高限价</w:t>
            </w:r>
          </w:p>
          <w:p>
            <w:pPr>
              <w:pStyle w:val="null3"/>
              <w:jc w:val="both"/>
            </w:pPr>
            <w:r>
              <w:rPr>
                <w:rFonts w:ascii="仿宋_GB2312" w:hAnsi="仿宋_GB2312" w:cs="仿宋_GB2312" w:eastAsia="仿宋_GB2312"/>
                <w:sz w:val="21"/>
                <w:color w:val="000000"/>
              </w:rPr>
              <w:t>采购包最高限价</w:t>
            </w:r>
            <w:r>
              <w:rPr>
                <w:rFonts w:ascii="仿宋_GB2312" w:hAnsi="仿宋_GB2312" w:cs="仿宋_GB2312" w:eastAsia="仿宋_GB2312"/>
                <w:sz w:val="21"/>
                <w:color w:val="000000"/>
              </w:rPr>
              <w:t>(元):1511500；采购包单价限价:55元/案</w:t>
            </w:r>
            <w:r>
              <w:rPr>
                <w:rFonts w:ascii="仿宋_GB2312" w:hAnsi="仿宋_GB2312" w:cs="仿宋_GB2312" w:eastAsia="仿宋_GB2312"/>
                <w:sz w:val="21"/>
                <w:color w:val="000000"/>
              </w:rPr>
              <w:t>（包括立案、庭前、庭后、结案、归档</w:t>
            </w:r>
            <w:r>
              <w:rPr>
                <w:rFonts w:ascii="仿宋_GB2312" w:hAnsi="仿宋_GB2312" w:cs="仿宋_GB2312" w:eastAsia="仿宋_GB2312"/>
                <w:sz w:val="21"/>
                <w:color w:val="000000"/>
              </w:rPr>
              <w:t>5个节点的电子卷宗随案同步生成一切费用）</w:t>
            </w:r>
            <w:r>
              <w:rPr>
                <w:rFonts w:ascii="仿宋_GB2312" w:hAnsi="仿宋_GB2312" w:cs="仿宋_GB2312" w:eastAsia="仿宋_GB2312"/>
                <w:sz w:val="21"/>
                <w:color w:val="000000"/>
              </w:rPr>
              <w:t>，</w:t>
            </w:r>
            <w:r>
              <w:rPr>
                <w:rFonts w:ascii="仿宋_GB2312" w:hAnsi="仿宋_GB2312" w:cs="仿宋_GB2312" w:eastAsia="仿宋_GB2312"/>
                <w:sz w:val="21"/>
                <w:color w:val="000000"/>
              </w:rPr>
              <w:t>本项目报单价进行评审和最终结算，结算累计金额</w:t>
            </w:r>
            <w:r>
              <w:rPr>
                <w:rFonts w:ascii="仿宋_GB2312" w:hAnsi="仿宋_GB2312" w:cs="仿宋_GB2312" w:eastAsia="仿宋_GB2312"/>
                <w:sz w:val="21"/>
                <w:color w:val="000000"/>
              </w:rPr>
              <w:t>为</w:t>
            </w:r>
            <w:r>
              <w:rPr>
                <w:rFonts w:ascii="仿宋_GB2312" w:hAnsi="仿宋_GB2312" w:cs="仿宋_GB2312" w:eastAsia="仿宋_GB2312"/>
                <w:sz w:val="21"/>
                <w:color w:val="000000"/>
              </w:rPr>
              <w:t>预算金额支付完毕。</w:t>
            </w:r>
          </w:p>
          <w:p>
            <w:pPr>
              <w:pStyle w:val="null3"/>
              <w:jc w:val="both"/>
            </w:pPr>
            <w:r>
              <w:rPr>
                <w:rFonts w:ascii="仿宋_GB2312" w:hAnsi="仿宋_GB2312" w:cs="仿宋_GB2312" w:eastAsia="仿宋_GB2312"/>
                <w:sz w:val="21"/>
                <w:color w:val="000000"/>
              </w:rPr>
              <w:t>3.其他</w:t>
            </w:r>
          </w:p>
          <w:p>
            <w:pPr>
              <w:pStyle w:val="null3"/>
              <w:jc w:val="both"/>
            </w:pPr>
            <w:r>
              <w:rPr>
                <w:rFonts w:ascii="仿宋_GB2312" w:hAnsi="仿宋_GB2312" w:cs="仿宋_GB2312" w:eastAsia="仿宋_GB2312"/>
                <w:sz w:val="21"/>
              </w:rPr>
              <w:t>合同签订</w:t>
            </w:r>
            <w:r>
              <w:rPr>
                <w:rFonts w:ascii="仿宋_GB2312" w:hAnsi="仿宋_GB2312" w:cs="仿宋_GB2312" w:eastAsia="仿宋_GB2312"/>
                <w:sz w:val="21"/>
              </w:rPr>
              <w:t>后，采购人向供应商支付</w:t>
            </w:r>
            <w:r>
              <w:rPr>
                <w:rFonts w:ascii="仿宋_GB2312" w:hAnsi="仿宋_GB2312" w:cs="仿宋_GB2312" w:eastAsia="仿宋_GB2312"/>
                <w:sz w:val="21"/>
              </w:rPr>
              <w:t>2026年5月1日至2026年5月31日的服务费用（具体结算日期为本项目合同签订日），由供应商向相应单位支付此笔费用</w:t>
            </w:r>
            <w:r>
              <w:rPr>
                <w:rFonts w:ascii="仿宋_GB2312" w:hAnsi="仿宋_GB2312" w:cs="仿宋_GB2312" w:eastAsia="仿宋_GB2312"/>
                <w:sz w:val="21"/>
              </w:rPr>
              <w:t>，</w:t>
            </w:r>
            <w:r>
              <w:rPr>
                <w:rFonts w:ascii="仿宋_GB2312" w:hAnsi="仿宋_GB2312" w:cs="仿宋_GB2312" w:eastAsia="仿宋_GB2312"/>
                <w:sz w:val="21"/>
              </w:rPr>
              <w:t>供应商将此笔费用计入本项目报价中。</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★档案数字化项目组人员充足，不少于14人。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提供本项目投入的设备配置情况，结合相关技术支持材料，满足档案数字化项目设备配置数量、设备先进、设备使用安全。</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自合同签订之日起至预算金额支付完毕。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西安市长安区人民法院全区域，采购人指定地点。 长安区人民法院地址：西安市长安区西长安街141号； 沣峪人民法庭地址：西安市长安区滦镇街道313县道（滦镇十字向西200米路北）； 郭杜人民法庭地址：西安市长安区西户路与韦斗路十字西北角； 细柳人民法庭地址：西安市长安区西户路与韦斗路十字西北角； 王曲人民法庭地址：西安市长安区王曲街道238县道（王曲派出所旁）； 引镇人民法庭地址：西安市长安区引镇街道太兴南路27号； 鸣犊人民法庭地址：西安市长安区鸣犊东街与鸣犊正街交叉口东340米； 西安国家民用航天产业基地人民法庭：西安市长安区国家民用航天产业基地航天中路518号寰宇大厦8F</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（1）采购人指定人员对数字化加工结果进行抽检验收，档案机读目录的抽检合格率须达到95%以上(含95%)；档案扫描质量的抽检合格率须达到98%以上(含98%)；档案数字化全流程成果的抽检合格率须达到100%。 （2）供应商应按照实际工作量，及时向甲方提供日、周、月验收单，由采购人指定人员签字确认。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采购人向供应商支付2026年5月1日至2026年5月31日的服务费用（具体结算日期为本项目合同签订日），由供应商向相应单位支付此笔费用；合同签订后10个工作日内，供应商开具正式发票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进度款，2026年9月15日前，供应商开具正式发票后，达到付款条件起10个工作日内，支付合同总金额的30.0%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进度款，2026年12月15日前，供应商开具正式发票后，达到付款条件起10个工作日内，支付合同总金额的10.0%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雁塔区雁翔路111号赛格·中京坊公寓A一单元二层招标二部。 二、供应商的磋商报价是供应商响应磋商项目要求的全部工作内容的价格体现，包括供应商完成本项目所需的直接费、间接费、利润、税金及其他相关的一切费用。包括但不限于人工费、设备费、档案扫描费、管理费、验收费、采购代理服务费、利润和税金等全部费用。在提供服务的过程中的任何遗漏，均由成交供应商免费提供，采购人将不再支付任何费用。 三、磋商有效期 1.出现特殊情况需要延长磋商有效期的，采购代理机构或采购人可于磋商有效期满之前，以书面形式通知所有供应商延长磋商有效期。供应商应予以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四、合格供应商少于3家的处理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 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七、签名是指手写签名或者加盖名章(含电子签名或电子印章)，盖章是指加盖单位印章。 八、资格审查小组说明：1、根据《中华人民共和国政府采购法》第二十三条规定，采购人应依法对供应商的资格进行审查。经采购人授权，资格审查工作可由资格审查小组完成。2、资格审查小组，由经采购人授权的采购人代表和采购代理机构工作人员组成，由采购代理机构项目经理担任资格审查小组组长。3、资格审查小组成立后，全体小组成员应当在签到表中签到。 九、关于采购文件一次报价出现下列情况的，不需要供应商澄清，按以下原则处理： 1.报价中的大写金额和小写金额不一致的，以大写金额为准，但大写金额出现文字错误，导致金额无法判断的除外； 2.单价金额小数点或者百分比有明显错位的，应以总价为准，并修改单价； 3.总价金额与按单价汇总金额不一致的，以单价汇总金额计算结果为准。同时出现两种以上不一致的，按照前款规定的顺序修正。修正后的报价经加盖供应商(法定名称)电子印章后产生约束力，供应商不确认的，其报价无效。 十、最终报价如出现异常低价，执行财库〔2026〕2号《关于推动解决政府采购异常低价问题的通知》，磋商小组可在最后报价审查表中审核是否通过审查。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响应函</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供应商的营业执照等证明文件，自然人的身份证明文件。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单位负责人）参加磋商的，提供本人身份证复印件；法定代表人（单位负责人）授权他人参加磋商的，提供法定代表人（单位负责人）委托授权书及被授权代表的身份证复印件。按照电子化全流程要求，投标（响应）文件递交时，签到的人员信息应为法定代表人或授权委托人。</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根据“资格证明文件”中提供的要求和说明，提供符合自身条件且合法有效的财务状况证明材料。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参加本次磋商前3年内，在经营活动中没有重大违法记录的书面声明。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被列入“信用中国”网站(https://www.creditchina.gov.cn/)“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供应商须具备省级及以上国家保密局颁发的《国家秘密载体印制资质》乙级或以上资质（资质类别为“涉密档案数字化加工”），其中省外乙级资质供应商应当向陕西省保密行政管理部门备案，提供备案证明（甲级资质无需提供）</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商务技术文件.docx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 单价最高限价为55元/案，供应商单价报价不得超过最高限价，否则按无效响应处理。</w:t>
            </w:r>
          </w:p>
        </w:tc>
        <w:tc>
          <w:tcPr>
            <w:tcW w:type="dxa" w:w="1661"/>
          </w:tcPr>
          <w:p>
            <w:pPr>
              <w:pStyle w:val="null3"/>
            </w:pPr>
            <w:r>
              <w:rPr>
                <w:rFonts w:ascii="仿宋_GB2312" w:hAnsi="仿宋_GB2312" w:cs="仿宋_GB2312" w:eastAsia="仿宋_GB2312"/>
              </w:rPr>
              <w:t>响应文件封面 商务技术文件.docx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应符合磋商文件第三章磋商项目技术、服务、商务及其他要求中★条款的规定。</w:t>
            </w:r>
          </w:p>
        </w:tc>
        <w:tc>
          <w:tcPr>
            <w:tcW w:type="dxa" w:w="1661"/>
          </w:tcPr>
          <w:p>
            <w:pPr>
              <w:pStyle w:val="null3"/>
            </w:pPr>
            <w:r>
              <w:rPr>
                <w:rFonts w:ascii="仿宋_GB2312" w:hAnsi="仿宋_GB2312" w:cs="仿宋_GB2312" w:eastAsia="仿宋_GB2312"/>
              </w:rPr>
              <w:t>商务技术文件.docx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 供应商提供有效的质量管理体系认证证书、信息安全管理体系认证证书、信息技术管理服务体系认证证书。 二、评分标准 评审标准：所有证书需在全国认证认可信息公共服务平台（http://cx.cnca.cn/CertECloud/index/index/page)上能查询到，并按照响应文件格式提供查询路径，在响应文件中附相应网站截图，每个证书网上查询和截图无误计1分，最高计3分。未提供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项目整体实施方案，包括但不限于：1.项目管理方案；2.设备配备方案，体现设施设备的型号、参数、使用年限等情况；3.项目实施组织架构及岗位职责；4.项目实施流程图；5.档案整理及扫描方案；6.图像处理方案；7.数据录入方案；8.档案装订方案；9.档案交接方案；10.项目验收方案。所提供方案全面完善，具有很强的合理性和可操作性。 二、评分标准 每提供一项计1.5分，最高计15分。每有一处内容存在缺陷扣0.5分，扣完为止，未提供或提供的内容与本项目不符计0分。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针对本项目提供服务质量保障措施，包括但不限于：1.质量保证控制措施；2.各环节质量检查方案；3.加工过程质量控制。所提供方案全面完善，具有很强的合理性和可操作性。 二、评分标准 每提供一项计3分，最高计9分。每有一处内容存在缺陷扣1分，扣完为止，未提供或提供的内容与本项目不符计0分。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项目安全制度保障</w:t>
            </w:r>
          </w:p>
        </w:tc>
        <w:tc>
          <w:tcPr>
            <w:tcW w:type="dxa" w:w="2492"/>
          </w:tcPr>
          <w:p>
            <w:pPr>
              <w:pStyle w:val="null3"/>
            </w:pPr>
            <w:r>
              <w:rPr>
                <w:rFonts w:ascii="仿宋_GB2312" w:hAnsi="仿宋_GB2312" w:cs="仿宋_GB2312" w:eastAsia="仿宋_GB2312"/>
              </w:rPr>
              <w:t>一、评审内容 针对本项目提供项目安全 制度保障方案，包括但不限于：1.档案信息安全保障；2.档案电子、纸质安全保密；3.加工过程保管、归还；4.档案安全保障。所提供方案全面完善，具有很强的合理性和可操作性。 二、评分标准 每提供一项计1.5分，最高计6分。每有一处内容存在缺陷扣0.5分，扣完为止，未提供或提供的内容与本项目不符计0分。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多场地服务保障</w:t>
            </w:r>
          </w:p>
        </w:tc>
        <w:tc>
          <w:tcPr>
            <w:tcW w:type="dxa" w:w="2492"/>
          </w:tcPr>
          <w:p>
            <w:pPr>
              <w:pStyle w:val="null3"/>
            </w:pPr>
            <w:r>
              <w:rPr>
                <w:rFonts w:ascii="仿宋_GB2312" w:hAnsi="仿宋_GB2312" w:cs="仿宋_GB2312" w:eastAsia="仿宋_GB2312"/>
              </w:rPr>
              <w:t>一、评审内容 针对本项目多服务场地（长安法院本部+7个派出法庭）的服务保障方案评审：1.明确各场地的人员派驻计划；2.明确跨场地的档案转运安全机制；3.明确多场地服务的质量统一管控标准；4.明确各场地的响应时效承诺。所提供方案全面完善，具有很强的合理性和可操作性。 二、评分标准 每提供一项计3分，最高计12分。每有一处内容存在缺陷扣1分，扣完为止，未提供或提供的内容与本项目不符计0分。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针对本项目提供应急预案及保证措施，包括但不限于：1.应急保障措施；2.故障处理的响应时间安排计划。方案全面、高效、可行、有针对性。 二、评分标准 每提供一项计3分，最高计6分。每有一处内容存在缺陷扣1分，扣完为止，未提供或提供的内容与本项目不符计0分。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一、评审内容 针对本项目提供人员配备方案，包括但不限于：1、项目团队整体配置合理性：项目经理、技术人员、专职保密人员、质检人员等岗位设置齐全、分工明确，满足档案数字化全流程要求；2、人员管理：包括但不限于岗前培训方案，工作流程管理方案、考核方案；3、人员保障方案：包括但不限于人员替补、高峰期增配方案，人员离职、请假等替补预案。 二、评分标准 每提供一项计3分，最高计9分。每有一处内容存在缺陷扣1分，扣完为止，未提供或提供的内容与本项目不符计0分。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1.本项目拟派的项目经理具备2年以上政法机关档案数字化相关项目管理经验（以类似业绩合同或供应商出具的委派函为准），每提供一个计1分，最高计3分，未提供计0分。 2.供应商需提供项目组成员档案培训证书，每提供1个计0.5分，最高计2分，未提供计0分。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项目重、难点分析及应对措施</w:t>
            </w:r>
          </w:p>
        </w:tc>
        <w:tc>
          <w:tcPr>
            <w:tcW w:type="dxa" w:w="2492"/>
          </w:tcPr>
          <w:p>
            <w:pPr>
              <w:pStyle w:val="null3"/>
            </w:pPr>
            <w:r>
              <w:rPr>
                <w:rFonts w:ascii="仿宋_GB2312" w:hAnsi="仿宋_GB2312" w:cs="仿宋_GB2312" w:eastAsia="仿宋_GB2312"/>
              </w:rPr>
              <w:t>一、评审内容 根据投标人对项目重、难点分析及应对措施是否合理、可行进行评审，包括但不限于：1.项目重、难点分析；2.针对本项目应对措施。 二、评分标准 每提供一项计2.5分，最高计5分。每有一处内容存在缺陷扣0.5分，扣完为止，未提供或提供的内容与本项目不符计0分。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针对本项目提供保密措施，包括但不限于：对于该项目执行过程中，如何避免工作中知悉、接触的案件信息和材料的泄露制定的详细计划及措施。所提供方案全面完善，具有很强的合理性和可操作性。 二、评分标准 根据响应程度最高计5分，每有一处内容存在缺陷扣1分，扣完为止，未提供或提供的内容与本项目不符计0分。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具有2022年1月1日至今的政法机关档案数字化类似业绩（以合同签订日期为准），提供合同复印件。每个业绩计2分，满分10分。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后最低磋商报价为磋商基准价，其磋商报价为满分。供应商的磋商报价得分，统一按照下列公式计算：磋商报价得分=(磋商基准价／最后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