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EDB2F0">
      <w:pPr>
        <w:pStyle w:val="8"/>
        <w:keepNext w:val="0"/>
        <w:keepLines w:val="0"/>
        <w:pageBreakBefore w:val="0"/>
        <w:kinsoku/>
        <w:wordWrap/>
        <w:overflowPunct/>
        <w:topLinePunct w:val="0"/>
        <w:autoSpaceDE/>
        <w:autoSpaceDN/>
        <w:bidi w:val="0"/>
        <w:adjustRightInd w:val="0"/>
        <w:snapToGrid w:val="0"/>
        <w:spacing w:line="360" w:lineRule="auto"/>
        <w:ind w:firstLine="3213" w:firstLineChars="800"/>
        <w:jc w:val="both"/>
        <w:textAlignment w:val="baseline"/>
        <w:rPr>
          <w:rFonts w:hint="eastAsia" w:ascii="宋体" w:hAnsi="宋体" w:eastAsia="宋体" w:cs="宋体"/>
          <w:b/>
          <w:bCs/>
          <w:color w:val="auto"/>
          <w:sz w:val="40"/>
          <w:szCs w:val="40"/>
          <w:lang w:eastAsia="zh-CN"/>
        </w:rPr>
      </w:pPr>
      <w:r>
        <w:rPr>
          <w:rFonts w:hint="eastAsia" w:ascii="宋体" w:hAnsi="宋体" w:eastAsia="宋体" w:cs="宋体"/>
          <w:b/>
          <w:bCs/>
          <w:color w:val="auto"/>
          <w:sz w:val="40"/>
          <w:szCs w:val="40"/>
          <w:lang w:eastAsia="zh-CN"/>
        </w:rPr>
        <w:t>政府采购合同格式</w:t>
      </w:r>
    </w:p>
    <w:p w14:paraId="325E7421">
      <w:pPr>
        <w:keepNext w:val="0"/>
        <w:keepLines w:val="0"/>
        <w:pageBreakBefore w:val="0"/>
        <w:kinsoku w:val="0"/>
        <w:wordWrap/>
        <w:overflowPunct/>
        <w:topLinePunct w:val="0"/>
        <w:autoSpaceDE w:val="0"/>
        <w:autoSpaceDN w:val="0"/>
        <w:bidi w:val="0"/>
        <w:adjustRightInd w:val="0"/>
        <w:snapToGrid w:val="0"/>
        <w:spacing w:after="120" w:line="360" w:lineRule="auto"/>
        <w:textAlignment w:val="baseline"/>
        <w:rPr>
          <w:rFonts w:hint="eastAsia" w:ascii="宋体" w:hAnsi="宋体" w:eastAsia="宋体" w:cs="宋体"/>
          <w:bCs/>
          <w:snapToGrid w:val="0"/>
          <w:color w:val="auto"/>
          <w:sz w:val="21"/>
          <w:szCs w:val="21"/>
          <w:lang w:val="en-US" w:eastAsia="zh-CN" w:bidi="ar-SA"/>
        </w:rPr>
      </w:pPr>
    </w:p>
    <w:p w14:paraId="4FF09285">
      <w:pPr>
        <w:keepNext w:val="0"/>
        <w:keepLines w:val="0"/>
        <w:pageBreakBefore w:val="0"/>
        <w:kinsoku w:val="0"/>
        <w:wordWrap/>
        <w:overflowPunct/>
        <w:topLinePunct w:val="0"/>
        <w:autoSpaceDE w:val="0"/>
        <w:autoSpaceDN w:val="0"/>
        <w:bidi w:val="0"/>
        <w:adjustRightInd w:val="0"/>
        <w:snapToGrid w:val="0"/>
        <w:spacing w:after="120" w:line="360" w:lineRule="auto"/>
        <w:textAlignment w:val="baseline"/>
        <w:rPr>
          <w:rFonts w:hint="eastAsia" w:ascii="宋体" w:hAnsi="宋体" w:eastAsia="宋体" w:cs="宋体"/>
          <w:bCs/>
          <w:snapToGrid w:val="0"/>
          <w:color w:val="auto"/>
          <w:sz w:val="21"/>
          <w:szCs w:val="21"/>
          <w:lang w:val="en-US" w:eastAsia="zh-CN" w:bidi="ar-SA"/>
        </w:rPr>
      </w:pPr>
      <w:r>
        <w:rPr>
          <w:rFonts w:hint="eastAsia" w:ascii="宋体" w:hAnsi="宋体" w:eastAsia="宋体" w:cs="宋体"/>
          <w:bCs/>
          <w:snapToGrid w:val="0"/>
          <w:color w:val="auto"/>
          <w:sz w:val="21"/>
          <w:szCs w:val="21"/>
          <w:lang w:val="en-US" w:eastAsia="zh-CN" w:bidi="ar-SA"/>
        </w:rPr>
        <w:t>合同编号：</w:t>
      </w:r>
    </w:p>
    <w:p w14:paraId="6D04DA24">
      <w:pPr>
        <w:keepNext w:val="0"/>
        <w:keepLines w:val="0"/>
        <w:pageBreakBefore w:val="0"/>
        <w:kinsoku w:val="0"/>
        <w:wordWrap/>
        <w:overflowPunct/>
        <w:topLinePunct w:val="0"/>
        <w:autoSpaceDE w:val="0"/>
        <w:autoSpaceDN w:val="0"/>
        <w:bidi w:val="0"/>
        <w:adjustRightInd w:val="0"/>
        <w:snapToGrid w:val="0"/>
        <w:spacing w:after="120" w:line="360" w:lineRule="auto"/>
        <w:textAlignment w:val="baseline"/>
        <w:rPr>
          <w:rFonts w:hint="eastAsia" w:ascii="宋体" w:hAnsi="宋体" w:eastAsia="宋体" w:cs="宋体"/>
          <w:bCs/>
          <w:snapToGrid w:val="0"/>
          <w:color w:val="auto"/>
          <w:sz w:val="21"/>
          <w:szCs w:val="21"/>
          <w:lang w:val="en-US" w:eastAsia="zh-CN" w:bidi="ar-SA"/>
        </w:rPr>
      </w:pPr>
      <w:r>
        <w:rPr>
          <w:rFonts w:hint="eastAsia" w:ascii="宋体" w:hAnsi="宋体" w:eastAsia="宋体" w:cs="宋体"/>
          <w:bCs/>
          <w:snapToGrid w:val="0"/>
          <w:color w:val="auto"/>
          <w:sz w:val="21"/>
          <w:szCs w:val="21"/>
          <w:lang w:val="en-US" w:eastAsia="zh-CN" w:bidi="ar-SA"/>
        </w:rPr>
        <w:t>是否为专门面向中小企业的采购项目：是</w:t>
      </w:r>
    </w:p>
    <w:p w14:paraId="5AEB9E76">
      <w:pPr>
        <w:keepNext w:val="0"/>
        <w:keepLines w:val="0"/>
        <w:pageBreakBefore w:val="0"/>
        <w:kinsoku w:val="0"/>
        <w:wordWrap/>
        <w:overflowPunct/>
        <w:topLinePunct w:val="0"/>
        <w:autoSpaceDE w:val="0"/>
        <w:autoSpaceDN w:val="0"/>
        <w:bidi w:val="0"/>
        <w:adjustRightInd w:val="0"/>
        <w:snapToGrid w:val="0"/>
        <w:spacing w:after="120" w:line="360" w:lineRule="auto"/>
        <w:textAlignment w:val="baseline"/>
        <w:rPr>
          <w:rFonts w:hint="eastAsia" w:ascii="宋体" w:hAnsi="宋体" w:eastAsia="宋体" w:cs="宋体"/>
          <w:bCs/>
          <w:snapToGrid w:val="0"/>
          <w:color w:val="auto"/>
          <w:sz w:val="21"/>
          <w:szCs w:val="21"/>
          <w:lang w:val="en-US" w:eastAsia="zh-CN" w:bidi="ar-SA"/>
        </w:rPr>
      </w:pPr>
      <w:r>
        <w:rPr>
          <w:rFonts w:hint="eastAsia" w:ascii="宋体" w:hAnsi="宋体" w:eastAsia="宋体" w:cs="宋体"/>
          <w:bCs/>
          <w:snapToGrid w:val="0"/>
          <w:color w:val="auto"/>
          <w:sz w:val="21"/>
          <w:szCs w:val="21"/>
          <w:lang w:val="en-US" w:eastAsia="zh-CN" w:bidi="ar-SA"/>
        </w:rPr>
        <w:t>采购人（甲方）：西安市长安区人民法院</w:t>
      </w:r>
    </w:p>
    <w:p w14:paraId="472B0F33">
      <w:pPr>
        <w:keepNext w:val="0"/>
        <w:keepLines w:val="0"/>
        <w:pageBreakBefore w:val="0"/>
        <w:kinsoku w:val="0"/>
        <w:wordWrap/>
        <w:overflowPunct/>
        <w:topLinePunct w:val="0"/>
        <w:autoSpaceDE w:val="0"/>
        <w:autoSpaceDN w:val="0"/>
        <w:bidi w:val="0"/>
        <w:adjustRightInd w:val="0"/>
        <w:snapToGrid w:val="0"/>
        <w:spacing w:after="120" w:line="360" w:lineRule="auto"/>
        <w:textAlignment w:val="baseline"/>
        <w:rPr>
          <w:rFonts w:hint="eastAsia" w:ascii="宋体" w:hAnsi="宋体" w:eastAsia="宋体" w:cs="宋体"/>
          <w:bCs/>
          <w:snapToGrid w:val="0"/>
          <w:color w:val="auto"/>
          <w:sz w:val="21"/>
          <w:szCs w:val="21"/>
          <w:lang w:val="en-US" w:eastAsia="zh-CN" w:bidi="ar-SA"/>
        </w:rPr>
      </w:pPr>
      <w:r>
        <w:rPr>
          <w:rFonts w:hint="eastAsia" w:ascii="宋体" w:hAnsi="宋体" w:eastAsia="宋体" w:cs="宋体"/>
          <w:bCs/>
          <w:snapToGrid w:val="0"/>
          <w:color w:val="auto"/>
          <w:sz w:val="21"/>
          <w:szCs w:val="21"/>
          <w:lang w:val="en-US" w:eastAsia="zh-CN" w:bidi="ar-SA"/>
        </w:rPr>
        <w:t xml:space="preserve">供应商（乙方）： </w:t>
      </w:r>
    </w:p>
    <w:p w14:paraId="64157734">
      <w:pPr>
        <w:keepNext w:val="0"/>
        <w:keepLines w:val="0"/>
        <w:pageBreakBefore w:val="0"/>
        <w:kinsoku w:val="0"/>
        <w:wordWrap/>
        <w:overflowPunct/>
        <w:topLinePunct w:val="0"/>
        <w:autoSpaceDE w:val="0"/>
        <w:autoSpaceDN w:val="0"/>
        <w:bidi w:val="0"/>
        <w:adjustRightInd w:val="0"/>
        <w:snapToGrid w:val="0"/>
        <w:spacing w:line="360" w:lineRule="auto"/>
        <w:ind w:leftChars="0" w:firstLine="420" w:firstLineChars="200"/>
        <w:jc w:val="both"/>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根据《中华人民共和国政府采购法》及实施条例、《中华人民共和国民法典》和甲方西安市长安区人民法院（采购项目编号：                    ）的磋商文件、响应文件等有关规定，为确保甲方采购项目的顺利实施，甲、乙双方在平等自愿原则下签订本合同，并共同遵守如下条款：</w:t>
      </w:r>
    </w:p>
    <w:p w14:paraId="0986D4C1">
      <w:pPr>
        <w:keepNext w:val="0"/>
        <w:keepLines w:val="0"/>
        <w:pageBreakBefore w:val="0"/>
        <w:kinsoku w:val="0"/>
        <w:wordWrap/>
        <w:overflowPunct/>
        <w:topLinePunct w:val="0"/>
        <w:autoSpaceDE w:val="0"/>
        <w:autoSpaceDN w:val="0"/>
        <w:bidi w:val="0"/>
        <w:adjustRightInd w:val="0"/>
        <w:snapToGrid w:val="0"/>
        <w:spacing w:line="360" w:lineRule="auto"/>
        <w:ind w:firstLine="422" w:firstLineChars="200"/>
        <w:jc w:val="both"/>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b/>
          <w:snapToGrid w:val="0"/>
          <w:color w:val="auto"/>
          <w:sz w:val="21"/>
          <w:szCs w:val="21"/>
          <w:lang w:val="en-US" w:eastAsia="zh-CN" w:bidi="ar-SA"/>
        </w:rPr>
        <w:t xml:space="preserve">第一条  </w:t>
      </w:r>
      <w:r>
        <w:rPr>
          <w:rFonts w:hint="eastAsia" w:ascii="宋体" w:hAnsi="宋体" w:eastAsia="宋体" w:cs="宋体"/>
          <w:snapToGrid w:val="0"/>
          <w:color w:val="auto"/>
          <w:sz w:val="21"/>
          <w:szCs w:val="21"/>
          <w:lang w:val="en-US" w:eastAsia="zh-CN" w:bidi="ar-SA"/>
        </w:rPr>
        <w:t>项目基本情况</w:t>
      </w:r>
    </w:p>
    <w:p w14:paraId="113DE2D4">
      <w:pPr>
        <w:keepNext w:val="0"/>
        <w:keepLines w:val="0"/>
        <w:pageBreakBefore w:val="0"/>
        <w:kinsoku w:val="0"/>
        <w:wordWrap/>
        <w:overflowPunct/>
        <w:topLinePunct w:val="0"/>
        <w:autoSpaceDE w:val="0"/>
        <w:autoSpaceDN w:val="0"/>
        <w:bidi w:val="0"/>
        <w:adjustRightInd w:val="0"/>
        <w:snapToGrid w:val="0"/>
        <w:spacing w:line="360" w:lineRule="auto"/>
        <w:ind w:leftChars="0" w:firstLine="420" w:firstLineChars="200"/>
        <w:jc w:val="both"/>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本项目为西安市长安区人民法院档案数字化项目，根据最高人民法院出台的《关于全面推进人民法院电子卷宗随案同步生成和深度应用的指导意见》精神及省院出台的《陕西法院电子卷宗随案同步生成工作规范（试行）》要求，进一步夯实数字法院建设基础，做实智能辅助系统数据支撑，着力推进电子卷宗随案同步生成，全面开发和支持电子卷宗在案件办理、诉讼服务和司法管理中的深度应用，是打造智慧法院的重要支撑。总体质量按照《陕西省高级人民法院关于全省法院历史卷宗数字化技术要求的通知》及最高法院有关规定等要求，对长安区人民法院随案生成的即时案件进行数字化扫描服务，并保证档案扫描图像与原件一致、整洁、清晰。</w:t>
      </w:r>
    </w:p>
    <w:p w14:paraId="697C11F9">
      <w:pPr>
        <w:keepNext w:val="0"/>
        <w:keepLines w:val="0"/>
        <w:pageBreakBefore w:val="0"/>
        <w:kinsoku w:val="0"/>
        <w:wordWrap/>
        <w:overflowPunct/>
        <w:topLinePunct w:val="0"/>
        <w:autoSpaceDE w:val="0"/>
        <w:autoSpaceDN w:val="0"/>
        <w:bidi w:val="0"/>
        <w:adjustRightInd w:val="0"/>
        <w:snapToGrid w:val="0"/>
        <w:spacing w:line="360" w:lineRule="auto"/>
        <w:ind w:firstLine="422" w:firstLineChars="200"/>
        <w:jc w:val="both"/>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b/>
          <w:snapToGrid w:val="0"/>
          <w:color w:val="auto"/>
          <w:sz w:val="21"/>
          <w:szCs w:val="21"/>
          <w:lang w:val="en-US" w:eastAsia="zh-CN" w:bidi="ar-SA"/>
        </w:rPr>
        <w:t xml:space="preserve">第二条  </w:t>
      </w:r>
      <w:r>
        <w:rPr>
          <w:rFonts w:hint="eastAsia" w:ascii="宋体" w:hAnsi="宋体" w:eastAsia="宋体" w:cs="宋体"/>
          <w:snapToGrid w:val="0"/>
          <w:color w:val="auto"/>
          <w:sz w:val="21"/>
          <w:szCs w:val="21"/>
          <w:lang w:val="en-US" w:eastAsia="zh-CN" w:bidi="ar-SA"/>
        </w:rPr>
        <w:t>服务期限</w:t>
      </w:r>
    </w:p>
    <w:p w14:paraId="3959D34D">
      <w:pPr>
        <w:keepNext w:val="0"/>
        <w:keepLines w:val="0"/>
        <w:pageBreakBefore w:val="0"/>
        <w:kinsoku w:val="0"/>
        <w:wordWrap/>
        <w:overflowPunct/>
        <w:topLinePunct w:val="0"/>
        <w:autoSpaceDE w:val="0"/>
        <w:autoSpaceDN w:val="0"/>
        <w:bidi w:val="0"/>
        <w:adjustRightInd w:val="0"/>
        <w:snapToGrid w:val="0"/>
        <w:spacing w:line="360" w:lineRule="auto"/>
        <w:ind w:leftChars="0" w:firstLine="420" w:firstLineChars="200"/>
        <w:jc w:val="both"/>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自合同签订之日起至预算金额支付完毕</w:t>
      </w:r>
    </w:p>
    <w:p w14:paraId="7CA6DEC8">
      <w:pPr>
        <w:keepNext w:val="0"/>
        <w:keepLines w:val="0"/>
        <w:pageBreakBefore w:val="0"/>
        <w:kinsoku w:val="0"/>
        <w:wordWrap/>
        <w:overflowPunct/>
        <w:topLinePunct w:val="0"/>
        <w:autoSpaceDE w:val="0"/>
        <w:autoSpaceDN w:val="0"/>
        <w:bidi w:val="0"/>
        <w:adjustRightInd w:val="0"/>
        <w:snapToGrid w:val="0"/>
        <w:spacing w:line="360" w:lineRule="auto"/>
        <w:ind w:firstLine="422" w:firstLineChars="200"/>
        <w:jc w:val="both"/>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b/>
          <w:snapToGrid w:val="0"/>
          <w:color w:val="auto"/>
          <w:sz w:val="21"/>
          <w:szCs w:val="21"/>
          <w:lang w:val="en-US" w:eastAsia="zh-CN" w:bidi="ar-SA"/>
        </w:rPr>
        <w:t xml:space="preserve">第三条  </w:t>
      </w:r>
      <w:r>
        <w:rPr>
          <w:rFonts w:hint="eastAsia" w:ascii="宋体" w:hAnsi="宋体" w:eastAsia="宋体" w:cs="宋体"/>
          <w:snapToGrid w:val="0"/>
          <w:color w:val="auto"/>
          <w:sz w:val="21"/>
          <w:szCs w:val="21"/>
          <w:lang w:val="en-US" w:eastAsia="zh-CN" w:bidi="ar-SA"/>
        </w:rPr>
        <w:t>服务内容与质量标准</w:t>
      </w:r>
    </w:p>
    <w:p w14:paraId="1576C60E">
      <w:pPr>
        <w:keepNext w:val="0"/>
        <w:keepLines w:val="0"/>
        <w:pageBreakBefore w:val="0"/>
        <w:kinsoku w:val="0"/>
        <w:wordWrap/>
        <w:overflowPunct/>
        <w:topLinePunct w:val="0"/>
        <w:autoSpaceDE w:val="0"/>
        <w:autoSpaceDN w:val="0"/>
        <w:bidi w:val="0"/>
        <w:adjustRightInd w:val="0"/>
        <w:snapToGrid w:val="0"/>
        <w:spacing w:line="360" w:lineRule="auto"/>
        <w:ind w:leftChars="0" w:firstLine="420" w:firstLineChars="200"/>
        <w:jc w:val="both"/>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档案扫描服务，具体详见附件一</w:t>
      </w:r>
    </w:p>
    <w:p w14:paraId="608C5697">
      <w:pPr>
        <w:keepNext w:val="0"/>
        <w:keepLines w:val="0"/>
        <w:pageBreakBefore w:val="0"/>
        <w:kinsoku w:val="0"/>
        <w:wordWrap/>
        <w:overflowPunct/>
        <w:topLinePunct w:val="0"/>
        <w:autoSpaceDE w:val="0"/>
        <w:autoSpaceDN w:val="0"/>
        <w:bidi w:val="0"/>
        <w:adjustRightInd w:val="0"/>
        <w:snapToGrid w:val="0"/>
        <w:spacing w:line="360" w:lineRule="auto"/>
        <w:ind w:firstLine="422" w:firstLineChars="200"/>
        <w:jc w:val="both"/>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b/>
          <w:snapToGrid w:val="0"/>
          <w:color w:val="auto"/>
          <w:sz w:val="21"/>
          <w:szCs w:val="21"/>
          <w:lang w:val="en-US" w:eastAsia="zh-CN" w:bidi="ar-SA"/>
        </w:rPr>
        <w:t xml:space="preserve">第四条  </w:t>
      </w:r>
      <w:r>
        <w:rPr>
          <w:rFonts w:hint="eastAsia" w:ascii="宋体" w:hAnsi="宋体" w:eastAsia="宋体" w:cs="宋体"/>
          <w:snapToGrid w:val="0"/>
          <w:color w:val="auto"/>
          <w:sz w:val="21"/>
          <w:szCs w:val="21"/>
          <w:lang w:val="en-US" w:eastAsia="zh-CN" w:bidi="ar-SA"/>
        </w:rPr>
        <w:t>服务费用及支付方式</w:t>
      </w:r>
    </w:p>
    <w:p w14:paraId="07B0F22A">
      <w:pPr>
        <w:keepNext w:val="0"/>
        <w:keepLines w:val="0"/>
        <w:pageBreakBefore w:val="0"/>
        <w:kinsoku w:val="0"/>
        <w:wordWrap/>
        <w:overflowPunct/>
        <w:topLinePunct w:val="0"/>
        <w:autoSpaceDE w:val="0"/>
        <w:autoSpaceDN w:val="0"/>
        <w:bidi w:val="0"/>
        <w:adjustRightInd w:val="0"/>
        <w:snapToGrid w:val="0"/>
        <w:spacing w:line="360" w:lineRule="auto"/>
        <w:ind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1.服务费按下列比例支付价款：</w:t>
      </w:r>
    </w:p>
    <w:p w14:paraId="185CFCBC">
      <w:pPr>
        <w:keepNext w:val="0"/>
        <w:keepLines w:val="0"/>
        <w:pageBreakBefore w:val="0"/>
        <w:kinsoku w:val="0"/>
        <w:wordWrap/>
        <w:overflowPunct/>
        <w:topLinePunct w:val="0"/>
        <w:autoSpaceDE w:val="0"/>
        <w:autoSpaceDN w:val="0"/>
        <w:bidi w:val="0"/>
        <w:adjustRightInd w:val="0"/>
        <w:snapToGrid w:val="0"/>
        <w:spacing w:line="360" w:lineRule="auto"/>
        <w:ind w:leftChars="0" w:firstLine="420" w:firstLineChars="200"/>
        <w:textAlignment w:val="baseline"/>
        <w:rPr>
          <w:rFonts w:hint="default"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（1）合同总价：</w:t>
      </w:r>
      <w:r>
        <w:rPr>
          <w:rFonts w:hint="eastAsia" w:ascii="宋体" w:hAnsi="宋体" w:eastAsia="宋体" w:cs="宋体"/>
          <w:snapToGrid w:val="0"/>
          <w:color w:val="auto"/>
          <w:sz w:val="21"/>
          <w:szCs w:val="21"/>
          <w:u w:val="single"/>
          <w:lang w:val="en-US" w:eastAsia="zh-CN" w:bidi="ar-SA"/>
        </w:rPr>
        <w:t xml:space="preserve">      </w:t>
      </w:r>
      <w:r>
        <w:rPr>
          <w:rFonts w:hint="eastAsia" w:ascii="宋体" w:hAnsi="宋体" w:eastAsia="宋体" w:cs="宋体"/>
          <w:snapToGrid w:val="0"/>
          <w:color w:val="auto"/>
          <w:sz w:val="21"/>
          <w:szCs w:val="21"/>
          <w:lang w:val="en-US" w:eastAsia="zh-CN" w:bidi="ar-SA"/>
        </w:rPr>
        <w:t>元（结算累计金额至预算金额支付完毕）；</w:t>
      </w:r>
    </w:p>
    <w:p w14:paraId="59F0E99B">
      <w:pPr>
        <w:keepNext w:val="0"/>
        <w:keepLines w:val="0"/>
        <w:pageBreakBefore w:val="0"/>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（2）服务单价：档案扫描：</w:t>
      </w:r>
      <w:r>
        <w:rPr>
          <w:rFonts w:hint="eastAsia" w:ascii="宋体" w:hAnsi="宋体" w:eastAsia="宋体" w:cs="宋体"/>
          <w:snapToGrid w:val="0"/>
          <w:color w:val="auto"/>
          <w:sz w:val="21"/>
          <w:szCs w:val="21"/>
          <w:u w:val="single"/>
          <w:lang w:val="en-US" w:eastAsia="zh-CN" w:bidi="ar-SA"/>
        </w:rPr>
        <w:t xml:space="preserve">           </w:t>
      </w:r>
      <w:r>
        <w:rPr>
          <w:rFonts w:hint="eastAsia" w:ascii="宋体" w:hAnsi="宋体" w:eastAsia="宋体" w:cs="宋体"/>
          <w:snapToGrid w:val="0"/>
          <w:color w:val="auto"/>
          <w:sz w:val="21"/>
          <w:szCs w:val="21"/>
          <w:lang w:val="en-US" w:eastAsia="zh-CN" w:bidi="ar-SA"/>
        </w:rPr>
        <w:t>元/案（包括立案、庭前、庭后、结案、归档5个节点的电子卷宗随案同步生成一切费用）。</w:t>
      </w:r>
    </w:p>
    <w:p w14:paraId="7F2470D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（3）支付方式：合同签订后，甲方向乙方支付2026年5月1日至2026年5月31日的服务费用（具体结算日期为本项目合同签订日），由乙方向相应单位支付此笔费用；合同签订后10个工作日内，乙方开具正式发票后，</w:t>
      </w:r>
      <w:r>
        <w:rPr>
          <w:rFonts w:hint="eastAsia" w:ascii="宋体" w:hAnsi="宋体" w:eastAsia="宋体" w:cs="宋体"/>
          <w:snapToGrid w:val="0"/>
          <w:color w:val="auto"/>
          <w:sz w:val="21"/>
          <w:szCs w:val="21"/>
        </w:rPr>
        <w:t>达到付款条件起10个工作日内</w:t>
      </w:r>
      <w:r>
        <w:rPr>
          <w:rFonts w:hint="eastAsia" w:ascii="宋体" w:hAnsi="宋体" w:eastAsia="宋体" w:cs="宋体"/>
          <w:snapToGrid w:val="0"/>
          <w:color w:val="auto"/>
          <w:sz w:val="21"/>
          <w:szCs w:val="21"/>
          <w:lang w:val="en-US" w:eastAsia="zh-CN" w:bidi="ar-SA"/>
        </w:rPr>
        <w:t>，甲方向乙方支付剩余服务费用的60.00%；2026年9月15日前，乙方开具正式发票后，</w:t>
      </w:r>
      <w:r>
        <w:rPr>
          <w:rFonts w:hint="eastAsia" w:ascii="宋体" w:hAnsi="宋体" w:eastAsia="宋体" w:cs="宋体"/>
          <w:snapToGrid w:val="0"/>
          <w:color w:val="auto"/>
          <w:sz w:val="21"/>
          <w:szCs w:val="21"/>
        </w:rPr>
        <w:t>达到付款条件起10个工作日内</w:t>
      </w:r>
      <w:r>
        <w:rPr>
          <w:rFonts w:hint="eastAsia" w:ascii="宋体" w:hAnsi="宋体" w:eastAsia="宋体" w:cs="宋体"/>
          <w:snapToGrid w:val="0"/>
          <w:color w:val="auto"/>
          <w:sz w:val="21"/>
          <w:szCs w:val="21"/>
          <w:lang w:val="en-US" w:eastAsia="zh-CN"/>
        </w:rPr>
        <w:t>,</w:t>
      </w:r>
      <w:r>
        <w:rPr>
          <w:rFonts w:hint="eastAsia" w:ascii="宋体" w:hAnsi="宋体" w:eastAsia="宋体" w:cs="宋体"/>
          <w:snapToGrid w:val="0"/>
          <w:color w:val="auto"/>
          <w:sz w:val="21"/>
          <w:szCs w:val="21"/>
          <w:lang w:val="en-US" w:eastAsia="zh-CN" w:bidi="ar-SA"/>
        </w:rPr>
        <w:t>甲方向乙方支付剩余服务费用的30%；2026年12月15日前，乙方开具正式发票后，</w:t>
      </w:r>
      <w:r>
        <w:rPr>
          <w:rFonts w:hint="eastAsia" w:ascii="宋体" w:hAnsi="宋体" w:eastAsia="宋体" w:cs="宋体"/>
          <w:snapToGrid w:val="0"/>
          <w:color w:val="auto"/>
          <w:sz w:val="21"/>
          <w:szCs w:val="21"/>
        </w:rPr>
        <w:t>达到付款条件起10个工作日内</w:t>
      </w:r>
      <w:r>
        <w:rPr>
          <w:rFonts w:hint="eastAsia" w:ascii="宋体" w:hAnsi="宋体" w:eastAsia="宋体" w:cs="宋体"/>
          <w:snapToGrid w:val="0"/>
          <w:color w:val="auto"/>
          <w:sz w:val="21"/>
          <w:szCs w:val="21"/>
          <w:lang w:val="en-US" w:eastAsia="zh-CN"/>
        </w:rPr>
        <w:t>,</w:t>
      </w:r>
      <w:r>
        <w:rPr>
          <w:rFonts w:hint="eastAsia" w:ascii="宋体" w:hAnsi="宋体" w:eastAsia="宋体" w:cs="宋体"/>
          <w:snapToGrid w:val="0"/>
          <w:color w:val="auto"/>
          <w:sz w:val="21"/>
          <w:szCs w:val="21"/>
          <w:lang w:val="en-US" w:eastAsia="zh-CN" w:bidi="ar-SA"/>
        </w:rPr>
        <w:t>甲方向乙方支付剩余服务费用的10%。</w:t>
      </w:r>
    </w:p>
    <w:p w14:paraId="3B3DDB07">
      <w:pPr>
        <w:keepNext w:val="0"/>
        <w:keepLines w:val="0"/>
        <w:pageBreakBefore w:val="0"/>
        <w:kinsoku w:val="0"/>
        <w:wordWrap/>
        <w:overflowPunct/>
        <w:topLinePunct w:val="0"/>
        <w:autoSpaceDE w:val="0"/>
        <w:autoSpaceDN w:val="0"/>
        <w:bidi w:val="0"/>
        <w:adjustRightInd w:val="0"/>
        <w:snapToGrid w:val="0"/>
        <w:spacing w:line="360" w:lineRule="auto"/>
        <w:ind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2.乙方须向甲方出具合法有效的完税发票，提供每月完成立案节点扫描的案件数量、完成归档节点的案件数量，并由甲方有关部门签字确认后，甲方进行支付结算。</w:t>
      </w:r>
    </w:p>
    <w:p w14:paraId="157B4697">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3.结算方式：银行转账。</w:t>
      </w:r>
    </w:p>
    <w:p w14:paraId="706E249B">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4.项目验收</w:t>
      </w:r>
    </w:p>
    <w:p w14:paraId="4126372B">
      <w:pPr>
        <w:keepNext w:val="0"/>
        <w:keepLines w:val="0"/>
        <w:pageBreakBefore w:val="0"/>
        <w:kinsoku w:val="0"/>
        <w:wordWrap/>
        <w:overflowPunct/>
        <w:topLinePunct w:val="0"/>
        <w:autoSpaceDE w:val="0"/>
        <w:autoSpaceDN w:val="0"/>
        <w:bidi w:val="0"/>
        <w:adjustRightInd w:val="0"/>
        <w:snapToGrid w:val="0"/>
        <w:spacing w:line="360" w:lineRule="auto"/>
        <w:ind w:lef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（1）甲方指定人员对数字化加工结果进行抽检验收，档案机读目录的抽检合格率须达到95%以上(含95%)；档案扫描质量的抽检合格率须达到98%以上(含98%)；档案数字化全流程成果的抽检合格率须达到100%。</w:t>
      </w:r>
    </w:p>
    <w:p w14:paraId="34AE0405">
      <w:pPr>
        <w:keepNext w:val="0"/>
        <w:keepLines w:val="0"/>
        <w:pageBreakBefore w:val="0"/>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（2）乙方应按照实际工作量，及时向甲方提供日、周、月验收单，由甲方指定人员签字确认。</w:t>
      </w:r>
    </w:p>
    <w:p w14:paraId="58FEB184">
      <w:pPr>
        <w:keepNext w:val="0"/>
        <w:keepLines w:val="0"/>
        <w:pageBreakBefore w:val="0"/>
        <w:kinsoku w:val="0"/>
        <w:wordWrap/>
        <w:overflowPunct/>
        <w:topLinePunct w:val="0"/>
        <w:autoSpaceDE w:val="0"/>
        <w:autoSpaceDN w:val="0"/>
        <w:bidi w:val="0"/>
        <w:adjustRightInd w:val="0"/>
        <w:snapToGrid w:val="0"/>
        <w:spacing w:line="360" w:lineRule="auto"/>
        <w:ind w:firstLine="422" w:firstLineChars="200"/>
        <w:jc w:val="both"/>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b/>
          <w:snapToGrid w:val="0"/>
          <w:color w:val="auto"/>
          <w:sz w:val="21"/>
          <w:szCs w:val="21"/>
          <w:lang w:val="en-US" w:eastAsia="zh-CN" w:bidi="ar-SA"/>
        </w:rPr>
        <w:t xml:space="preserve">第五条  </w:t>
      </w:r>
      <w:r>
        <w:rPr>
          <w:rFonts w:hint="eastAsia" w:ascii="宋体" w:hAnsi="宋体" w:eastAsia="宋体" w:cs="宋体"/>
          <w:snapToGrid w:val="0"/>
          <w:color w:val="auto"/>
          <w:sz w:val="21"/>
          <w:szCs w:val="21"/>
          <w:lang w:val="en-US" w:eastAsia="zh-CN" w:bidi="ar-SA"/>
        </w:rPr>
        <w:t>甲方的权利和义务</w:t>
      </w:r>
    </w:p>
    <w:p w14:paraId="0F008D53">
      <w:pPr>
        <w:keepNext w:val="0"/>
        <w:keepLines w:val="0"/>
        <w:pageBreakBefore w:val="0"/>
        <w:kinsoku w:val="0"/>
        <w:wordWrap/>
        <w:overflowPunct/>
        <w:topLinePunct w:val="0"/>
        <w:autoSpaceDE w:val="0"/>
        <w:autoSpaceDN w:val="0"/>
        <w:bidi w:val="0"/>
        <w:adjustRightInd w:val="0"/>
        <w:snapToGrid w:val="0"/>
        <w:spacing w:line="360" w:lineRule="auto"/>
        <w:ind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1.甲方有权对合同规定范围内乙方的服务行为进行监督和检查，拥有监管权。有权定期核对乙方提供服务所配备的人员数量。对甲方认为不合理的部分有权下达整改通知书，并要求乙方限期整改。</w:t>
      </w:r>
    </w:p>
    <w:p w14:paraId="2C88158E">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2.甲方有权依据双方签订的考评办法对乙方提供的服务进行定期考评。</w:t>
      </w:r>
    </w:p>
    <w:p w14:paraId="52FA4230">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3.负责检查监督乙方管理工作的实施及制度的执行情况。</w:t>
      </w:r>
    </w:p>
    <w:p w14:paraId="0ABF0B4A">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4.根据本合同规定，按时向乙方支付应付服务费用。</w:t>
      </w:r>
    </w:p>
    <w:p w14:paraId="53E854BA">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5.在实际履约过程中，乙方应严格按照投标文件，完成对甲方档案数字化项目服务的各项要求，若质量、进度、人员配置等方面达不到甲方要求，且无正当理由，甲方有权解除合同。</w:t>
      </w:r>
    </w:p>
    <w:p w14:paraId="7BB8C716">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6.国家法律法规所规定由甲方承担的其他责任。</w:t>
      </w:r>
    </w:p>
    <w:p w14:paraId="4436D146">
      <w:pPr>
        <w:keepNext w:val="0"/>
        <w:keepLines w:val="0"/>
        <w:pageBreakBefore w:val="0"/>
        <w:kinsoku w:val="0"/>
        <w:wordWrap/>
        <w:overflowPunct/>
        <w:topLinePunct w:val="0"/>
        <w:autoSpaceDE w:val="0"/>
        <w:autoSpaceDN w:val="0"/>
        <w:bidi w:val="0"/>
        <w:adjustRightInd w:val="0"/>
        <w:snapToGrid w:val="0"/>
        <w:spacing w:line="360" w:lineRule="auto"/>
        <w:ind w:firstLine="422" w:firstLineChars="200"/>
        <w:jc w:val="both"/>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b/>
          <w:snapToGrid w:val="0"/>
          <w:color w:val="auto"/>
          <w:sz w:val="21"/>
          <w:szCs w:val="21"/>
          <w:lang w:val="en-US" w:eastAsia="zh-CN" w:bidi="ar-SA"/>
        </w:rPr>
        <w:t xml:space="preserve">第六条  </w:t>
      </w:r>
      <w:r>
        <w:rPr>
          <w:rFonts w:hint="eastAsia" w:ascii="宋体" w:hAnsi="宋体" w:eastAsia="宋体" w:cs="宋体"/>
          <w:snapToGrid w:val="0"/>
          <w:color w:val="auto"/>
          <w:sz w:val="21"/>
          <w:szCs w:val="21"/>
          <w:lang w:val="en-US" w:eastAsia="zh-CN" w:bidi="ar-SA"/>
        </w:rPr>
        <w:t>乙方的权利和义务</w:t>
      </w:r>
    </w:p>
    <w:p w14:paraId="72AEF6A9">
      <w:pPr>
        <w:keepNext w:val="0"/>
        <w:keepLines w:val="0"/>
        <w:pageBreakBefore w:val="0"/>
        <w:kinsoku w:val="0"/>
        <w:wordWrap/>
        <w:overflowPunct/>
        <w:topLinePunct w:val="0"/>
        <w:autoSpaceDE w:val="0"/>
        <w:autoSpaceDN w:val="0"/>
        <w:bidi w:val="0"/>
        <w:adjustRightInd w:val="0"/>
        <w:snapToGrid w:val="0"/>
        <w:spacing w:line="360" w:lineRule="auto"/>
        <w:ind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1.对本合同规定的委托服务范围内的项目享有管理权及服务义务。</w:t>
      </w:r>
    </w:p>
    <w:p w14:paraId="2226A05C">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2.乙方应按照电子卷宗随案同步生成及“一张网”关于档案数字化的相关要求，确保服务达标，并对各节点主动履行催促提醒义务。</w:t>
      </w:r>
    </w:p>
    <w:p w14:paraId="6AFA7A8D">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3.根据本合同的规定向甲方收取相关服务费用，并有权在本项目管理范围内管理及合理使用。</w:t>
      </w:r>
    </w:p>
    <w:p w14:paraId="7C6480FF">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4.本项目选派人员应与投标文件中的项目团队人员保持一致。合同签订后乙方应向甲方提供《项目工作人员登记表》、工作人员身份证复印件（每人一式一份）及骨干成员档案岗位资格证书复印件（部分人员一式一份）。项目正常运转后，人员变化不超过20%。</w:t>
      </w:r>
    </w:p>
    <w:p w14:paraId="28E3D3CA">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5.本项目应确保人员充足，配置完善合理。项目团队不少于14 人，其中各基层法庭应至少配备1人。</w:t>
      </w:r>
    </w:p>
    <w:p w14:paraId="2BBEBA29">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6.乙方应在项目开始前，安排设备提前进场，其中硬件设备：包括电脑、扫描仪、打印机、装订机等，软件系统：包括功能全面、完整的档案数字化加工软件系统，确保数字化工作质量和时效。乙方承诺本项目档案整理数字化加工所需的计算机各种硬件设备、软件系统和档案装具等，全部符合国家相关法律法规和标准的要求。乙方承诺已进场设备不随意离场，如需离场会提前报甲方同意。</w:t>
      </w:r>
    </w:p>
    <w:p w14:paraId="0BDD250E">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7.乙方投标文件列明的设备清单明细表仅作为满足本合同服务要求的最低标准，乙方应按照甲方的实际需求，在确保服务数量、质量的前提下配置足量的办公设备。</w:t>
      </w:r>
    </w:p>
    <w:p w14:paraId="69937CD3">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8.乙方应及时向甲方通告本项目服务范围内有关服务的重大事项，及时配合处理投诉。同时，乙方应严格执行招标文件所列的全部要求，对于故障处理，确保在2小时内响应通知，4小时内给出解决方案，8小时内安排专人到达现场，48小时内解决问题，最大限度降低故障对法院档案管理及司法业务的影响。</w:t>
      </w:r>
    </w:p>
    <w:p w14:paraId="11A2F04C">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9.乙方应接受项目行业管理部门及政府有关部门的指导，接受甲方的监督。派驻到人民法庭的工作人员，工作时间与法庭干警上班时间一致。要服从庭长管理、按时考勤，请假需先向庭长报备，经庭长同意后方可离庭。对不服从庭长管理的工作人员，乙方应在甲方提出后2天内更换驻庭工作人员。</w:t>
      </w:r>
    </w:p>
    <w:p w14:paraId="29B0A198">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10.乙方工作人员请假超过3天（含3天）以上的，应报甲方备案并应及时安排相应工作人员替岗，不得影响工作进度。</w:t>
      </w:r>
    </w:p>
    <w:p w14:paraId="7F82BD52">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11.国家法律法规所规定由乙方承担的其他责任。</w:t>
      </w:r>
    </w:p>
    <w:p w14:paraId="06343199">
      <w:pPr>
        <w:keepNext w:val="0"/>
        <w:keepLines w:val="0"/>
        <w:pageBreakBefore w:val="0"/>
        <w:kinsoku w:val="0"/>
        <w:wordWrap/>
        <w:overflowPunct/>
        <w:topLinePunct w:val="0"/>
        <w:autoSpaceDE w:val="0"/>
        <w:autoSpaceDN w:val="0"/>
        <w:bidi w:val="0"/>
        <w:adjustRightInd w:val="0"/>
        <w:snapToGrid w:val="0"/>
        <w:spacing w:line="360" w:lineRule="auto"/>
        <w:ind w:firstLine="422" w:firstLineChars="200"/>
        <w:jc w:val="both"/>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b/>
          <w:snapToGrid w:val="0"/>
          <w:color w:val="auto"/>
          <w:sz w:val="21"/>
          <w:szCs w:val="21"/>
          <w:lang w:val="en-US" w:eastAsia="zh-CN" w:bidi="ar-SA"/>
        </w:rPr>
        <w:t xml:space="preserve">第九条  </w:t>
      </w:r>
      <w:r>
        <w:rPr>
          <w:rFonts w:hint="eastAsia" w:ascii="宋体" w:hAnsi="宋体" w:eastAsia="宋体" w:cs="宋体"/>
          <w:snapToGrid w:val="0"/>
          <w:color w:val="auto"/>
          <w:sz w:val="21"/>
          <w:szCs w:val="21"/>
          <w:lang w:val="en-US" w:eastAsia="zh-CN" w:bidi="ar-SA"/>
        </w:rPr>
        <w:t>违约责任</w:t>
      </w:r>
    </w:p>
    <w:p w14:paraId="77B74262">
      <w:pPr>
        <w:keepNext w:val="0"/>
        <w:keepLines w:val="0"/>
        <w:pageBreakBefore w:val="0"/>
        <w:kinsoku w:val="0"/>
        <w:wordWrap/>
        <w:overflowPunct/>
        <w:topLinePunct w:val="0"/>
        <w:autoSpaceDE w:val="0"/>
        <w:autoSpaceDN w:val="0"/>
        <w:bidi w:val="0"/>
        <w:adjustRightInd w:val="0"/>
        <w:snapToGrid w:val="0"/>
        <w:spacing w:line="360" w:lineRule="auto"/>
        <w:ind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1.甲乙双方必须遵守本合同并执行合同中的各项规定，保证本合同的正常履行。</w:t>
      </w:r>
    </w:p>
    <w:p w14:paraId="326EE950">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并承担合同总额20%的违约责任。</w:t>
      </w:r>
    </w:p>
    <w:p w14:paraId="37B4C0F6">
      <w:pPr>
        <w:keepNext w:val="0"/>
        <w:keepLines w:val="0"/>
        <w:pageBreakBefore w:val="0"/>
        <w:kinsoku w:val="0"/>
        <w:wordWrap/>
        <w:overflowPunct/>
        <w:topLinePunct w:val="0"/>
        <w:autoSpaceDE w:val="0"/>
        <w:autoSpaceDN w:val="0"/>
        <w:bidi w:val="0"/>
        <w:adjustRightInd w:val="0"/>
        <w:snapToGrid w:val="0"/>
        <w:spacing w:line="360" w:lineRule="auto"/>
        <w:ind w:firstLine="422" w:firstLineChars="200"/>
        <w:jc w:val="both"/>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b/>
          <w:snapToGrid w:val="0"/>
          <w:color w:val="auto"/>
          <w:sz w:val="21"/>
          <w:szCs w:val="21"/>
          <w:lang w:val="en-US" w:eastAsia="zh-CN" w:bidi="ar-SA"/>
        </w:rPr>
        <w:t xml:space="preserve">第十条 </w:t>
      </w:r>
      <w:r>
        <w:rPr>
          <w:rFonts w:hint="eastAsia" w:ascii="宋体" w:hAnsi="宋体" w:eastAsia="宋体" w:cs="宋体"/>
          <w:snapToGrid w:val="0"/>
          <w:color w:val="auto"/>
          <w:sz w:val="21"/>
          <w:szCs w:val="21"/>
          <w:lang w:val="en-US" w:eastAsia="zh-CN" w:bidi="ar-SA"/>
        </w:rPr>
        <w:t>合同的变更和终止</w:t>
      </w:r>
    </w:p>
    <w:p w14:paraId="1C7F9BD3">
      <w:pPr>
        <w:keepNext w:val="0"/>
        <w:keepLines w:val="0"/>
        <w:pageBreakBefore w:val="0"/>
        <w:kinsoku w:val="0"/>
        <w:wordWrap/>
        <w:overflowPunct/>
        <w:topLinePunct w:val="0"/>
        <w:autoSpaceDE w:val="0"/>
        <w:autoSpaceDN w:val="0"/>
        <w:bidi w:val="0"/>
        <w:adjustRightInd w:val="0"/>
        <w:snapToGrid w:val="0"/>
        <w:spacing w:line="360" w:lineRule="auto"/>
        <w:ind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当服务期限内实际应支付合同金额等于采购预算，本合同可提前终止。</w:t>
      </w:r>
    </w:p>
    <w:p w14:paraId="1FBAF936">
      <w:pPr>
        <w:keepNext w:val="0"/>
        <w:keepLines w:val="0"/>
        <w:pageBreakBefore w:val="0"/>
        <w:kinsoku w:val="0"/>
        <w:wordWrap/>
        <w:overflowPunct/>
        <w:topLinePunct w:val="0"/>
        <w:autoSpaceDE w:val="0"/>
        <w:autoSpaceDN w:val="0"/>
        <w:bidi w:val="0"/>
        <w:adjustRightInd w:val="0"/>
        <w:snapToGrid w:val="0"/>
        <w:spacing w:line="360" w:lineRule="auto"/>
        <w:ind w:firstLine="422" w:firstLineChars="200"/>
        <w:jc w:val="both"/>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b/>
          <w:snapToGrid w:val="0"/>
          <w:color w:val="auto"/>
          <w:sz w:val="21"/>
          <w:szCs w:val="21"/>
          <w:lang w:val="en-US" w:eastAsia="zh-CN" w:bidi="ar-SA"/>
        </w:rPr>
        <w:t xml:space="preserve">第十一条  </w:t>
      </w:r>
      <w:r>
        <w:rPr>
          <w:rFonts w:hint="eastAsia" w:ascii="宋体" w:hAnsi="宋体" w:eastAsia="宋体" w:cs="宋体"/>
          <w:snapToGrid w:val="0"/>
          <w:color w:val="auto"/>
          <w:sz w:val="21"/>
          <w:szCs w:val="21"/>
          <w:lang w:val="en-US" w:eastAsia="zh-CN" w:bidi="ar-SA"/>
        </w:rPr>
        <w:t>解决合同纠纷的方式</w:t>
      </w:r>
    </w:p>
    <w:p w14:paraId="061A46BE">
      <w:pPr>
        <w:keepNext w:val="0"/>
        <w:keepLines w:val="0"/>
        <w:pageBreakBefore w:val="0"/>
        <w:kinsoku w:val="0"/>
        <w:wordWrap/>
        <w:overflowPunct/>
        <w:topLinePunct w:val="0"/>
        <w:autoSpaceDE w:val="0"/>
        <w:autoSpaceDN w:val="0"/>
        <w:bidi w:val="0"/>
        <w:adjustRightInd w:val="0"/>
        <w:snapToGrid w:val="0"/>
        <w:spacing w:line="360" w:lineRule="auto"/>
        <w:ind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1.在执行本合同中发生的或与本合同有关的争端，双方应通过友好协商解决，经协商在天内不能达成协议时，则采取向有管辖权的人民法院提起诉讼的方式解决争议；</w:t>
      </w:r>
    </w:p>
    <w:p w14:paraId="7347E561">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2.在争议解决期间，本合同应继续履行。</w:t>
      </w:r>
    </w:p>
    <w:p w14:paraId="21E2523E">
      <w:pPr>
        <w:keepNext w:val="0"/>
        <w:keepLines w:val="0"/>
        <w:pageBreakBefore w:val="0"/>
        <w:kinsoku w:val="0"/>
        <w:wordWrap/>
        <w:overflowPunct/>
        <w:topLinePunct w:val="0"/>
        <w:autoSpaceDE w:val="0"/>
        <w:autoSpaceDN w:val="0"/>
        <w:bidi w:val="0"/>
        <w:adjustRightInd w:val="0"/>
        <w:snapToGrid w:val="0"/>
        <w:spacing w:line="360" w:lineRule="auto"/>
        <w:ind w:firstLine="422" w:firstLineChars="200"/>
        <w:jc w:val="both"/>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b/>
          <w:snapToGrid w:val="0"/>
          <w:color w:val="auto"/>
          <w:sz w:val="21"/>
          <w:szCs w:val="21"/>
          <w:lang w:val="en-US" w:eastAsia="zh-CN" w:bidi="ar-SA"/>
        </w:rPr>
        <w:t xml:space="preserve">第十二条  </w:t>
      </w:r>
      <w:r>
        <w:rPr>
          <w:rFonts w:hint="eastAsia" w:ascii="宋体" w:hAnsi="宋体" w:eastAsia="宋体" w:cs="宋体"/>
          <w:snapToGrid w:val="0"/>
          <w:color w:val="auto"/>
          <w:sz w:val="21"/>
          <w:szCs w:val="21"/>
          <w:lang w:val="en-US" w:eastAsia="zh-CN" w:bidi="ar-SA"/>
        </w:rPr>
        <w:t>合同生效及其他</w:t>
      </w:r>
    </w:p>
    <w:p w14:paraId="61FDD834">
      <w:pPr>
        <w:keepNext w:val="0"/>
        <w:keepLines w:val="0"/>
        <w:pageBreakBefore w:val="0"/>
        <w:kinsoku w:val="0"/>
        <w:wordWrap/>
        <w:overflowPunct/>
        <w:topLinePunct w:val="0"/>
        <w:autoSpaceDE w:val="0"/>
        <w:autoSpaceDN w:val="0"/>
        <w:bidi w:val="0"/>
        <w:adjustRightInd w:val="0"/>
        <w:snapToGrid w:val="0"/>
        <w:spacing w:line="360" w:lineRule="auto"/>
        <w:ind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1.合同经双方法定代表人（单位负责人）或授权委托代理人签名并加盖单位公章后生效。</w:t>
      </w:r>
    </w:p>
    <w:p w14:paraId="721ECC2D">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2.本合同一式陆份，自双方签章之日起生效。甲方贰份，乙方贰份，政府招标代理机构壹份，同级财政部门备案壹份，具有同等法律效力。</w:t>
      </w:r>
    </w:p>
    <w:p w14:paraId="2DDA6B4B">
      <w:pPr>
        <w:keepNext w:val="0"/>
        <w:keepLines w:val="0"/>
        <w:pageBreakBefore w:val="0"/>
        <w:kinsoku w:val="0"/>
        <w:wordWrap/>
        <w:overflowPunct/>
        <w:topLinePunct w:val="0"/>
        <w:autoSpaceDE w:val="0"/>
        <w:autoSpaceDN w:val="0"/>
        <w:bidi w:val="0"/>
        <w:adjustRightInd w:val="0"/>
        <w:snapToGrid w:val="0"/>
        <w:spacing w:line="360" w:lineRule="auto"/>
        <w:ind w:firstLine="422" w:firstLineChars="200"/>
        <w:jc w:val="both"/>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b/>
          <w:snapToGrid w:val="0"/>
          <w:color w:val="auto"/>
          <w:sz w:val="21"/>
          <w:szCs w:val="21"/>
          <w:lang w:val="en-US" w:eastAsia="zh-CN" w:bidi="ar-SA"/>
        </w:rPr>
        <w:t xml:space="preserve">第十三条  </w:t>
      </w:r>
      <w:r>
        <w:rPr>
          <w:rFonts w:hint="eastAsia" w:ascii="宋体" w:hAnsi="宋体" w:eastAsia="宋体" w:cs="宋体"/>
          <w:snapToGrid w:val="0"/>
          <w:color w:val="auto"/>
          <w:sz w:val="21"/>
          <w:szCs w:val="21"/>
          <w:lang w:val="en-US" w:eastAsia="zh-CN" w:bidi="ar-SA"/>
        </w:rPr>
        <w:t>附件</w:t>
      </w:r>
    </w:p>
    <w:p w14:paraId="2C78F15E">
      <w:pPr>
        <w:keepNext w:val="0"/>
        <w:keepLines w:val="0"/>
        <w:pageBreakBefore w:val="0"/>
        <w:kinsoku w:val="0"/>
        <w:wordWrap/>
        <w:overflowPunct/>
        <w:topLinePunct w:val="0"/>
        <w:autoSpaceDE w:val="0"/>
        <w:autoSpaceDN w:val="0"/>
        <w:bidi w:val="0"/>
        <w:adjustRightInd w:val="0"/>
        <w:snapToGrid w:val="0"/>
        <w:spacing w:line="360" w:lineRule="auto"/>
        <w:ind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1.服务内容与要求</w:t>
      </w:r>
    </w:p>
    <w:p w14:paraId="45DB4DCA">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2.保密协议</w:t>
      </w:r>
    </w:p>
    <w:p w14:paraId="644734B5">
      <w:pPr>
        <w:keepNext w:val="0"/>
        <w:keepLines w:val="0"/>
        <w:pageBreakBefore w:val="0"/>
        <w:kinsoku w:val="0"/>
        <w:wordWrap/>
        <w:overflowPunct/>
        <w:topLinePunct w:val="0"/>
        <w:autoSpaceDE w:val="0"/>
        <w:autoSpaceDN w:val="0"/>
        <w:bidi w:val="0"/>
        <w:adjustRightInd w:val="0"/>
        <w:snapToGrid w:val="0"/>
        <w:spacing w:line="360" w:lineRule="auto"/>
        <w:ind w:left="0"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3.中标通知书</w:t>
      </w:r>
    </w:p>
    <w:p w14:paraId="75E8D7C7">
      <w:pPr>
        <w:keepNext w:val="0"/>
        <w:keepLines w:val="0"/>
        <w:pageBreakBefore w:val="0"/>
        <w:kinsoku w:val="0"/>
        <w:wordWrap/>
        <w:overflowPunct/>
        <w:topLinePunct w:val="0"/>
        <w:autoSpaceDE w:val="0"/>
        <w:autoSpaceDN w:val="0"/>
        <w:bidi w:val="0"/>
        <w:adjustRightInd w:val="0"/>
        <w:snapToGrid w:val="0"/>
        <w:spacing w:line="360" w:lineRule="auto"/>
        <w:ind w:leftChars="0" w:right="136" w:rightChars="0" w:firstLine="420" w:firstLineChars="200"/>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以上附件为合同主体的有效组成部分，与合同正文具有同等法律效力。</w:t>
      </w:r>
    </w:p>
    <w:p w14:paraId="35E078E8">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leftChars="0" w:firstLine="420" w:firstLineChars="200"/>
        <w:jc w:val="both"/>
        <w:textAlignment w:val="baseline"/>
        <w:rPr>
          <w:rFonts w:hint="eastAsia" w:ascii="宋体" w:hAnsi="宋体" w:eastAsia="宋体" w:cs="宋体"/>
          <w:snapToGrid w:val="0"/>
          <w:color w:val="auto"/>
          <w:sz w:val="21"/>
          <w:szCs w:val="21"/>
          <w:lang w:val="en-US" w:eastAsia="zh-CN" w:bidi="ar-SA"/>
        </w:rPr>
      </w:pPr>
    </w:p>
    <w:p w14:paraId="371A2BC9">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leftChars="0" w:firstLine="420" w:firstLineChars="200"/>
        <w:jc w:val="both"/>
        <w:textAlignment w:val="baseline"/>
        <w:rPr>
          <w:rFonts w:hint="eastAsia" w:ascii="宋体" w:hAnsi="宋体" w:eastAsia="宋体" w:cs="宋体"/>
          <w:snapToGrid w:val="0"/>
          <w:color w:val="auto"/>
          <w:sz w:val="21"/>
          <w:szCs w:val="21"/>
          <w:lang w:val="en-US" w:eastAsia="zh-CN" w:bidi="ar-SA"/>
        </w:rPr>
      </w:pPr>
      <w:bookmarkStart w:id="0" w:name="_GoBack"/>
      <w:bookmarkEnd w:id="0"/>
    </w:p>
    <w:p w14:paraId="12781F73">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leftChars="0" w:firstLine="420" w:firstLineChars="200"/>
        <w:jc w:val="both"/>
        <w:textAlignment w:val="baseline"/>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甲方（盖章）：                                           乙方（盖章）：</w:t>
      </w:r>
    </w:p>
    <w:p w14:paraId="1A87E01F">
      <w:pPr>
        <w:keepNext w:val="0"/>
        <w:keepLines w:val="0"/>
        <w:pageBreakBefore w:val="0"/>
        <w:kinsoku w:val="0"/>
        <w:wordWrap/>
        <w:overflowPunct/>
        <w:topLinePunct w:val="0"/>
        <w:autoSpaceDE w:val="0"/>
        <w:autoSpaceDN w:val="0"/>
        <w:bidi w:val="0"/>
        <w:adjustRightInd w:val="0"/>
        <w:snapToGrid w:val="0"/>
        <w:spacing w:beforeLines="150" w:line="360" w:lineRule="auto"/>
        <w:ind w:firstLine="420" w:firstLineChars="200"/>
        <w:textAlignment w:val="baseline"/>
        <w:rPr>
          <w:rFonts w:hint="eastAsia" w:ascii="宋体" w:hAnsi="宋体" w:eastAsia="宋体" w:cs="宋体"/>
          <w:b/>
          <w:bCs/>
          <w:snapToGrid w:val="0"/>
          <w:color w:val="auto"/>
          <w:sz w:val="21"/>
          <w:szCs w:val="21"/>
          <w:lang w:val="en-US" w:eastAsia="zh-CN" w:bidi="ar-SA"/>
        </w:rPr>
      </w:pPr>
      <w:r>
        <w:rPr>
          <w:rFonts w:hint="eastAsia" w:ascii="宋体" w:hAnsi="宋体" w:eastAsia="宋体" w:cs="宋体"/>
          <w:bCs/>
          <w:snapToGrid w:val="0"/>
          <w:color w:val="auto"/>
          <w:sz w:val="21"/>
          <w:szCs w:val="21"/>
          <w:lang w:val="en-US" w:eastAsia="zh-CN" w:bidi="ar-SA"/>
        </w:rPr>
        <w:t>法定代表人（委托代理人）：                                法定代表人（委托代理人）：</w:t>
      </w:r>
    </w:p>
    <w:p w14:paraId="198B484C">
      <w:pPr>
        <w:keepNext w:val="0"/>
        <w:keepLines w:val="0"/>
        <w:pageBreakBefore w:val="0"/>
        <w:kinsoku w:val="0"/>
        <w:wordWrap/>
        <w:overflowPunct/>
        <w:topLinePunct w:val="0"/>
        <w:autoSpaceDE w:val="0"/>
        <w:autoSpaceDN w:val="0"/>
        <w:bidi w:val="0"/>
        <w:adjustRightInd w:val="0"/>
        <w:snapToGrid w:val="0"/>
        <w:spacing w:beforeLines="150" w:line="360" w:lineRule="auto"/>
        <w:ind w:firstLine="420" w:firstLineChars="200"/>
        <w:textAlignment w:val="baseline"/>
        <w:rPr>
          <w:rFonts w:hint="eastAsia" w:ascii="宋体" w:hAnsi="宋体" w:eastAsia="宋体" w:cs="宋体"/>
          <w:b/>
          <w:bCs/>
          <w:snapToGrid w:val="0"/>
          <w:color w:val="auto"/>
          <w:sz w:val="21"/>
          <w:szCs w:val="21"/>
          <w:lang w:val="en-US" w:eastAsia="zh-CN" w:bidi="ar-SA"/>
        </w:rPr>
      </w:pPr>
      <w:r>
        <w:rPr>
          <w:rFonts w:hint="eastAsia" w:ascii="宋体" w:hAnsi="宋体" w:eastAsia="宋体" w:cs="宋体"/>
          <w:bCs/>
          <w:snapToGrid w:val="0"/>
          <w:color w:val="auto"/>
          <w:sz w:val="21"/>
          <w:szCs w:val="21"/>
          <w:lang w:val="en-US" w:eastAsia="zh-CN" w:bidi="ar-SA"/>
        </w:rPr>
        <w:t xml:space="preserve">开户银行：                                                开户银行： </w:t>
      </w:r>
    </w:p>
    <w:p w14:paraId="1930DC9D">
      <w:pPr>
        <w:keepNext w:val="0"/>
        <w:keepLines w:val="0"/>
        <w:pageBreakBefore w:val="0"/>
        <w:kinsoku w:val="0"/>
        <w:wordWrap/>
        <w:overflowPunct/>
        <w:topLinePunct w:val="0"/>
        <w:autoSpaceDE w:val="0"/>
        <w:autoSpaceDN w:val="0"/>
        <w:bidi w:val="0"/>
        <w:adjustRightInd w:val="0"/>
        <w:snapToGrid w:val="0"/>
        <w:spacing w:beforeLines="150" w:line="360" w:lineRule="auto"/>
        <w:ind w:firstLine="420" w:firstLineChars="200"/>
        <w:textAlignment w:val="baseline"/>
        <w:rPr>
          <w:rFonts w:hint="eastAsia" w:ascii="宋体" w:hAnsi="宋体" w:eastAsia="宋体" w:cs="宋体"/>
          <w:b/>
          <w:bCs/>
          <w:snapToGrid w:val="0"/>
          <w:color w:val="auto"/>
          <w:sz w:val="21"/>
          <w:szCs w:val="21"/>
          <w:lang w:val="en-US" w:eastAsia="zh-CN" w:bidi="ar-SA"/>
        </w:rPr>
      </w:pPr>
      <w:r>
        <w:rPr>
          <w:rFonts w:hint="eastAsia" w:ascii="宋体" w:hAnsi="宋体" w:eastAsia="宋体" w:cs="宋体"/>
          <w:bCs/>
          <w:snapToGrid w:val="0"/>
          <w:color w:val="auto"/>
          <w:sz w:val="21"/>
          <w:szCs w:val="21"/>
          <w:lang w:val="en-US" w:eastAsia="zh-CN" w:bidi="ar-SA"/>
        </w:rPr>
        <w:t>银行账号：                                                 银行账号：</w:t>
      </w:r>
    </w:p>
    <w:p w14:paraId="3F84D87F">
      <w:pPr>
        <w:keepNext w:val="0"/>
        <w:keepLines w:val="0"/>
        <w:pageBreakBefore w:val="0"/>
        <w:kinsoku w:val="0"/>
        <w:wordWrap/>
        <w:overflowPunct/>
        <w:topLinePunct w:val="0"/>
        <w:autoSpaceDE w:val="0"/>
        <w:autoSpaceDN w:val="0"/>
        <w:bidi w:val="0"/>
        <w:adjustRightInd w:val="0"/>
        <w:snapToGrid w:val="0"/>
        <w:spacing w:beforeLines="150" w:line="360" w:lineRule="auto"/>
        <w:ind w:firstLine="105" w:firstLineChars="0"/>
        <w:textAlignment w:val="baseline"/>
        <w:rPr>
          <w:rFonts w:hint="eastAsia" w:ascii="宋体" w:hAnsi="宋体" w:eastAsia="宋体" w:cs="宋体"/>
          <w:b/>
          <w:bCs/>
          <w:snapToGrid w:val="0"/>
          <w:color w:val="auto"/>
          <w:sz w:val="21"/>
          <w:szCs w:val="21"/>
          <w:lang w:val="en-US" w:eastAsia="zh-CN" w:bidi="ar-SA"/>
        </w:rPr>
      </w:pPr>
      <w:r>
        <w:rPr>
          <w:rFonts w:hint="eastAsia" w:ascii="宋体" w:hAnsi="宋体" w:eastAsia="宋体" w:cs="宋体"/>
          <w:bCs/>
          <w:snapToGrid w:val="0"/>
          <w:color w:val="auto"/>
          <w:sz w:val="21"/>
          <w:szCs w:val="21"/>
          <w:lang w:val="en-US" w:eastAsia="zh-CN" w:bidi="ar-SA"/>
        </w:rPr>
        <w:t>签约日期：    年    月   日                                签约日期：    年    月   日</w:t>
      </w:r>
    </w:p>
    <w:p w14:paraId="38B03EDF">
      <w:pPr>
        <w:keepNext w:val="0"/>
        <w:keepLines w:val="0"/>
        <w:pageBreakBefore w:val="0"/>
        <w:wordWrap/>
        <w:overflowPunct/>
        <w:topLinePunct w:val="0"/>
        <w:bidi w:val="0"/>
        <w:adjustRightInd w:val="0"/>
        <w:snapToGrid w:val="0"/>
        <w:spacing w:line="360" w:lineRule="auto"/>
        <w:textAlignment w:val="baseline"/>
        <w:rPr>
          <w:color w:val="auto"/>
        </w:rPr>
      </w:pPr>
    </w:p>
    <w:sectPr>
      <w:footerReference r:id="rId3" w:type="default"/>
      <w:pgSz w:w="11900" w:h="16840"/>
      <w:pgMar w:top="1440" w:right="1080" w:bottom="1440" w:left="1080" w:header="850" w:footer="96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56CE9">
    <w:pPr>
      <w:pStyle w:val="2"/>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771A8EB">
                          <w:pPr>
                            <w:pStyle w:val="4"/>
                          </w:pPr>
                          <w:r>
                            <w:t xml:space="preserve">第 </w:t>
                          </w:r>
                          <w:r>
                            <w:fldChar w:fldCharType="begin"/>
                          </w:r>
                          <w:r>
                            <w:instrText xml:space="preserve"> PAGE  \* MERGEFORMAT </w:instrText>
                          </w:r>
                          <w:r>
                            <w:fldChar w:fldCharType="separate"/>
                          </w:r>
                          <w:r>
                            <w:t>86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0771A8EB">
                    <w:pPr>
                      <w:pStyle w:val="4"/>
                    </w:pPr>
                    <w:r>
                      <w:t xml:space="preserve">第 </w:t>
                    </w:r>
                    <w:r>
                      <w:fldChar w:fldCharType="begin"/>
                    </w:r>
                    <w:r>
                      <w:instrText xml:space="preserve"> PAGE  \* MERGEFORMAT </w:instrText>
                    </w:r>
                    <w:r>
                      <w:fldChar w:fldCharType="separate"/>
                    </w:r>
                    <w:r>
                      <w:t>86</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779BF15">
                          <w:pPr>
                            <w:pStyle w:val="4"/>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fill on="f" focussize="0,0"/>
              <v:stroke on="f" weight="0.5pt"/>
              <v:imagedata o:title=""/>
              <o:lock v:ext="edit" aspectratio="f"/>
              <v:textbox inset="0mm,0mm,0mm,0mm" style="mso-fit-shape-to-text:t;">
                <w:txbxContent>
                  <w:p w14:paraId="1779BF15">
                    <w:pPr>
                      <w:pStyle w:val="4"/>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C95CAC"/>
    <w:rsid w:val="77804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3"/>
    <w:semiHidden/>
    <w:qFormat/>
    <w:uiPriority w:val="0"/>
  </w:style>
  <w:style w:type="paragraph" w:customStyle="1" w:styleId="3">
    <w:name w:val="Body Text 21"/>
    <w:basedOn w:val="1"/>
    <w:qFormat/>
    <w:uiPriority w:val="0"/>
    <w:pPr>
      <w:spacing w:after="120" w:line="480" w:lineRule="auto"/>
    </w:pPr>
    <w:rPr>
      <w:rFonts w:eastAsia="仿宋_GB2312"/>
      <w:sz w:val="32"/>
      <w:szCs w:val="32"/>
    </w:rPr>
  </w:style>
  <w:style w:type="paragraph" w:styleId="4">
    <w:name w:val="footer"/>
    <w:basedOn w:val="1"/>
    <w:qFormat/>
    <w:uiPriority w:val="0"/>
    <w:pPr>
      <w:tabs>
        <w:tab w:val="center" w:pos="4153"/>
        <w:tab w:val="right" w:pos="8306"/>
      </w:tabs>
    </w:pPr>
    <w:rPr>
      <w:sz w:val="18"/>
    </w:rPr>
  </w:style>
  <w:style w:type="paragraph" w:styleId="5">
    <w:name w:val="Normal (Web)"/>
    <w:basedOn w:val="1"/>
    <w:qFormat/>
    <w:uiPriority w:val="0"/>
    <w:pPr>
      <w:spacing w:before="100" w:beforeAutospacing="1" w:after="100" w:afterAutospacing="1"/>
    </w:pPr>
    <w:rPr>
      <w:rFonts w:cs="Times New Roman"/>
      <w:sz w:val="24"/>
      <w:lang w:eastAsia="zh-CN"/>
    </w:rPr>
  </w:style>
  <w:style w:type="paragraph" w:customStyle="1" w:styleId="8">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2026-05-22T13:45:04Z</dcterms:created>
  <dc:creator>Administrator</dc:creator>
  <cp:lastModifiedBy>Lenovo</cp:lastModifiedBy>
  <dcterms:modified xsi:type="dcterms:W3CDTF">2026-05-22T13:46:23Z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eyJoZGlkIjoiYzZkZTVhZDhmYjRjMGEwYTQwZWQ4YmZkZjE5MDQ2MzAiLCJ1c2VySWQiOiI0NDgyMTE1NDUifQ==</vt:lpwstr>
  </property>
  <property fmtid="{D5CDD505-2E9C-101B-9397-08002B2CF9AE}" pid="4" name="ICV">
    <vt:lpwstr>B0E0A4400AE94A40A82F9ABBBE385DE2_12</vt:lpwstr>
  </property>
</Properties>
</file>