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26FA9">
      <w:pPr>
        <w:keepNext w:val="0"/>
        <w:keepLines w:val="0"/>
        <w:pageBreakBefore w:val="0"/>
        <w:widowControl w:val="0"/>
        <w:wordWrap/>
        <w:overflowPunct/>
        <w:topLinePunct w:val="0"/>
        <w:bidi w:val="0"/>
        <w:adjustRightInd w:val="0"/>
        <w:snapToGrid w:val="0"/>
        <w:spacing w:line="360" w:lineRule="auto"/>
        <w:jc w:val="center"/>
        <w:rPr>
          <w:rFonts w:hint="eastAsia" w:ascii="宋体" w:hAnsi="宋体" w:eastAsia="宋体" w:cs="宋体"/>
          <w:snapToGrid/>
          <w:color w:val="auto"/>
          <w:kern w:val="2"/>
          <w:sz w:val="21"/>
          <w:szCs w:val="21"/>
          <w:lang w:eastAsia="zh-CN"/>
        </w:rPr>
      </w:pPr>
      <w:r>
        <w:rPr>
          <w:rFonts w:hint="eastAsia" w:ascii="宋体" w:hAnsi="宋体" w:eastAsia="宋体" w:cs="宋体"/>
          <w:b/>
          <w:bCs/>
          <w:snapToGrid/>
          <w:color w:val="auto"/>
          <w:kern w:val="2"/>
          <w:sz w:val="36"/>
          <w:szCs w:val="36"/>
          <w:lang w:val="en-US" w:eastAsia="zh-CN"/>
        </w:rPr>
        <w:t>采购需求</w:t>
      </w:r>
    </w:p>
    <w:p w14:paraId="62A2C477">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1.技术标准</w:t>
      </w:r>
    </w:p>
    <w:p w14:paraId="346FD113">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w:t>
      </w:r>
      <w:r>
        <w:rPr>
          <w:rFonts w:hint="eastAsia" w:ascii="宋体" w:hAnsi="宋体" w:eastAsia="宋体" w:cs="宋体"/>
          <w:snapToGrid/>
          <w:color w:val="auto"/>
          <w:kern w:val="2"/>
          <w:sz w:val="21"/>
          <w:szCs w:val="21"/>
          <w:lang w:val="en-US" w:eastAsia="zh-CN"/>
        </w:rPr>
        <w:t>1</w:t>
      </w:r>
      <w:r>
        <w:rPr>
          <w:rFonts w:hint="eastAsia" w:ascii="宋体" w:hAnsi="宋体" w:eastAsia="宋体" w:cs="宋体"/>
          <w:snapToGrid/>
          <w:color w:val="auto"/>
          <w:kern w:val="2"/>
          <w:sz w:val="21"/>
          <w:szCs w:val="21"/>
          <w:lang w:eastAsia="zh-CN"/>
        </w:rPr>
        <w:t xml:space="preserve"> 服务方案要求</w:t>
      </w:r>
    </w:p>
    <w:p w14:paraId="2DD883CE">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（1）DA/T31-2017 中华人民共和国档案行业标准《纸质档案数字化技术规范》；</w:t>
      </w:r>
    </w:p>
    <w:p w14:paraId="3500B00E">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（2）DA/T18-2022《档案著录规则》；</w:t>
      </w:r>
    </w:p>
    <w:p w14:paraId="460C638D">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（3）GB/T18894-2016《电子文档归档与管理规范》；</w:t>
      </w:r>
    </w:p>
    <w:p w14:paraId="51ACB122">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（4）《中华人民共和国档案法》；</w:t>
      </w:r>
    </w:p>
    <w:p w14:paraId="5D6083C9">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（5）GB/T7156-2016《文献保密等级代码》；</w:t>
      </w:r>
    </w:p>
    <w:p w14:paraId="10047B3D">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（6）最高人民法院《人民法院纸质档案数字化处理规范》2007；</w:t>
      </w:r>
    </w:p>
    <w:p w14:paraId="4DDD322E">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（7）陕西省高级人民法院《关于全省法院卷宗数字化技术要求的通知》陕高法〔2017〕205 号文件；</w:t>
      </w:r>
    </w:p>
    <w:p w14:paraId="22606569">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（8）《最高人民法院关于全面推进人民法院电子卷宗随案同步生成和深度应用的指导意见》；</w:t>
      </w:r>
    </w:p>
    <w:p w14:paraId="14F1A3AB">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（9）《最高人民法院关于进一步加快推进电子卷宗随案同步生成和深度应用工作的通知》 ；</w:t>
      </w:r>
    </w:p>
    <w:p w14:paraId="20D14053">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（10）《电子卷宗随案同步生成与管理应用技术要求》；</w:t>
      </w:r>
    </w:p>
    <w:p w14:paraId="18CB5EEA">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（11）《电子卷宗阅卷目录规范》；</w:t>
      </w:r>
    </w:p>
    <w:p w14:paraId="20390702">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（12）《电子档案管理应用技术要求》；</w:t>
      </w:r>
    </w:p>
    <w:p w14:paraId="7D5124A9">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（13）《基于电子卷宗的审判支持应用技术要求》；</w:t>
      </w:r>
    </w:p>
    <w:p w14:paraId="4E6E5EC0">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（14）《法院电子卷宗数据汇聚技术规范》；</w:t>
      </w:r>
    </w:p>
    <w:p w14:paraId="24B1FDA5">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（15）《陕西法院电子卷宗随案生成工作规范（试行）》；</w:t>
      </w:r>
    </w:p>
    <w:p w14:paraId="596186D7">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（16）长安区人民法院的档案信息化管理系统及其他相关行业标准的要求。</w:t>
      </w:r>
    </w:p>
    <w:p w14:paraId="68CDA40C">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（17）解决法官对大量纸质卷宗在结案前的有序、统一管理和安全储存等问题。通过数字化技术与法院诉讼档案随案同步业务进行完美融合，实现审判全流程准无纸化办案。</w:t>
      </w:r>
    </w:p>
    <w:p w14:paraId="381606F9">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18）在案件受理、办理过程中产生的材料进行扫描形成电子文件，同步将上述电子文档收集到“一张网”办案办公平台对应的案件空间。电子卷宗随案同步生成应保证同步性和及时性，线下收集诉讼材料应收尽收，随收随扫，确保立案、审判、执行等各个阶段的电子卷宗与纸质诉讼档案同步生成，内容一致，实时存储。按照《陕西法院电子卷宗随案生成工作规范（试行）》中时限要求完成立案、审判、执行等各个阶段产生的材料扫描上传工作，以保证按时完成电子卷宗随案同步生成工作。</w:t>
      </w:r>
    </w:p>
    <w:p w14:paraId="339A6DEB">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 xml:space="preserve">（19）数据存储格式。全部采用彩色单页 jpg 的存储格式，纸质档案扫描采用分辨率不低于 300DPI，所有照片档案为彩色600dpi。对于案卷中出现字迹较小、模糊、较密集等情况，应适当提高分辨率，形成成品为24bit真彩的JPEG压缩格式的电子图片文件。扫描图像存储以案号命名根文件夹，正副卷结合的形式进行存储备份。 </w:t>
      </w:r>
    </w:p>
    <w:p w14:paraId="6121458F">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（20）扫描图像质量的要求。图像质量情况完好率100%。图像清晰、完整，反映档案全貌；页面底色、字迹、印章颜色与档案本身颜色相仿，色泽均匀；图像效果必须符合正常的阅读习惯。</w:t>
      </w:r>
    </w:p>
    <w:p w14:paraId="6FCA3BCF">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（21）图像目录对应的信息正确率100%。图像齐全，包括卷面、目录、正文、备考表等信息。</w:t>
      </w:r>
    </w:p>
    <w:p w14:paraId="0736F1CD">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22）数据上传质量检查。采用人工校对或自动校对的方式，对系统目录数据库的建库质量进行检查，核对上传项目是否完整，内容是否规范、准确，是否有漏传、错传等问题，对错传、漏传的数据进行修正、补录。</w:t>
      </w:r>
    </w:p>
    <w:p w14:paraId="73A659B8">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23）投标人应结合长安区法院的档案管理制度制定一套符合完成本项目工作实际的档案整理、电子化等的管理规定及操作流程，以确保档案装订规范、电子化质量达到品质要求、档案卷宗系统验卷、归档，确保档案材料的安全和项目任务的完成。</w:t>
      </w:r>
    </w:p>
    <w:p w14:paraId="621B5C80">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（24）投标人需派驻稳定团队，到长安区法院指定工作场所扫描案卷，服务期间须保持人员数量的稳定。</w:t>
      </w:r>
    </w:p>
    <w:p w14:paraId="40FBADBA">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（25）档案随案生成环节细分包括：档案接收、档案扫描、图像上传至“一张网”办案办公系统、校对归目、归档验卷、档案装订、档案移交等。</w:t>
      </w:r>
    </w:p>
    <w:p w14:paraId="3260B79A">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（26）投标人应保证扫描的案卷在装卸、运输和仓储过程中有足够的包装保护，防止纸质案卷受潮、破损、着火及其他不可预见的损坏。</w:t>
      </w:r>
    </w:p>
    <w:p w14:paraId="35464566">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（27）纸质案卷到达采购人指定的整理地点后，供应商应按有关技术规程和采购人要求进行存放、保管和整理。</w:t>
      </w:r>
      <w:bookmarkStart w:id="0" w:name="_GoBack"/>
      <w:bookmarkEnd w:id="0"/>
    </w:p>
    <w:p w14:paraId="1C526D53">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w:t>
      </w:r>
      <w:r>
        <w:rPr>
          <w:rFonts w:hint="eastAsia" w:ascii="宋体" w:hAnsi="宋体" w:eastAsia="宋体" w:cs="宋体"/>
          <w:snapToGrid/>
          <w:color w:val="auto"/>
          <w:kern w:val="2"/>
          <w:sz w:val="21"/>
          <w:szCs w:val="21"/>
          <w:lang w:val="en-US" w:eastAsia="zh-CN"/>
        </w:rPr>
        <w:t>2</w:t>
      </w:r>
      <w:r>
        <w:rPr>
          <w:rFonts w:hint="eastAsia" w:ascii="宋体" w:hAnsi="宋体" w:eastAsia="宋体" w:cs="宋体"/>
          <w:snapToGrid/>
          <w:color w:val="auto"/>
          <w:kern w:val="2"/>
          <w:sz w:val="21"/>
          <w:szCs w:val="21"/>
          <w:lang w:eastAsia="zh-CN"/>
        </w:rPr>
        <w:t xml:space="preserve"> 质量要求</w:t>
      </w:r>
    </w:p>
    <w:p w14:paraId="670BF65F">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w:t>
      </w:r>
      <w:r>
        <w:rPr>
          <w:rFonts w:hint="eastAsia" w:ascii="宋体" w:hAnsi="宋体" w:eastAsia="宋体" w:cs="宋体"/>
          <w:snapToGrid/>
          <w:color w:val="auto"/>
          <w:kern w:val="2"/>
          <w:sz w:val="21"/>
          <w:szCs w:val="21"/>
          <w:lang w:val="en-US" w:eastAsia="zh-CN"/>
        </w:rPr>
        <w:t>2</w:t>
      </w:r>
      <w:r>
        <w:rPr>
          <w:rFonts w:hint="eastAsia" w:ascii="宋体" w:hAnsi="宋体" w:eastAsia="宋体" w:cs="宋体"/>
          <w:snapToGrid/>
          <w:color w:val="auto"/>
          <w:kern w:val="2"/>
          <w:sz w:val="21"/>
          <w:szCs w:val="21"/>
          <w:lang w:eastAsia="zh-CN"/>
        </w:rPr>
        <w:t>.1 服务、产品（如有）执行的标准、规范：</w:t>
      </w:r>
    </w:p>
    <w:p w14:paraId="06B59D86">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（1）国家标准、规范     /    ；</w:t>
      </w:r>
    </w:p>
    <w:p w14:paraId="18065FB8">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（2）行业标准、规范     /    ；</w:t>
      </w:r>
    </w:p>
    <w:p w14:paraId="7BD1B2FB">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（3）地方标准、规范     /    ；</w:t>
      </w:r>
    </w:p>
    <w:p w14:paraId="5CECF862">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（4）团体标准、规范     /    ；</w:t>
      </w:r>
    </w:p>
    <w:p w14:paraId="71787A35">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（5）企业标准、规范     /    。</w:t>
      </w:r>
    </w:p>
    <w:p w14:paraId="30EA58C5">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1.</w:t>
      </w:r>
      <w:r>
        <w:rPr>
          <w:rFonts w:hint="eastAsia" w:ascii="宋体" w:hAnsi="宋体" w:eastAsia="宋体" w:cs="宋体"/>
          <w:snapToGrid/>
          <w:color w:val="auto"/>
          <w:kern w:val="2"/>
          <w:sz w:val="21"/>
          <w:szCs w:val="21"/>
          <w:lang w:val="en-US" w:eastAsia="zh-CN"/>
        </w:rPr>
        <w:t>2</w:t>
      </w:r>
      <w:r>
        <w:rPr>
          <w:rFonts w:hint="eastAsia" w:ascii="宋体" w:hAnsi="宋体" w:eastAsia="宋体" w:cs="宋体"/>
          <w:snapToGrid/>
          <w:color w:val="auto"/>
          <w:kern w:val="2"/>
          <w:sz w:val="21"/>
          <w:szCs w:val="21"/>
          <w:lang w:eastAsia="zh-CN"/>
        </w:rPr>
        <w:t>.2 本章1.</w:t>
      </w:r>
      <w:r>
        <w:rPr>
          <w:rFonts w:hint="eastAsia" w:ascii="宋体" w:hAnsi="宋体" w:eastAsia="宋体" w:cs="宋体"/>
          <w:snapToGrid/>
          <w:color w:val="auto"/>
          <w:kern w:val="2"/>
          <w:sz w:val="21"/>
          <w:szCs w:val="21"/>
          <w:lang w:val="en-US" w:eastAsia="zh-CN"/>
        </w:rPr>
        <w:t>2</w:t>
      </w:r>
      <w:r>
        <w:rPr>
          <w:rFonts w:hint="eastAsia" w:ascii="宋体" w:hAnsi="宋体" w:eastAsia="宋体" w:cs="宋体"/>
          <w:snapToGrid/>
          <w:color w:val="auto"/>
          <w:kern w:val="2"/>
          <w:sz w:val="21"/>
          <w:szCs w:val="21"/>
          <w:lang w:eastAsia="zh-CN"/>
        </w:rPr>
        <w:t>.1条款未明确服务（产品）执行标准、规范的，按下列方法进行选择：</w:t>
      </w:r>
    </w:p>
    <w:p w14:paraId="02E7710D">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 顺序执行：国家标准→行业标准→地方标准→团体标准→企业标准（有国家标准按国家标准执行，没有国家标准按行业标准，以此类推）；</w:t>
      </w:r>
    </w:p>
    <w:p w14:paraId="13FE2CBE">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 最高标准执行：国家标准，行业标准，地方标准，团体标准，企业标准（哪个标准高执行哪个标准）</w:t>
      </w:r>
    </w:p>
    <w:p w14:paraId="4022C1A3">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 必须执行：国家（行业）强制性标准。</w:t>
      </w:r>
    </w:p>
    <w:p w14:paraId="2DBF98A5">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2.</w:t>
      </w:r>
      <w:r>
        <w:rPr>
          <w:rFonts w:hint="eastAsia" w:ascii="宋体" w:hAnsi="宋体" w:eastAsia="宋体" w:cs="宋体"/>
          <w:snapToGrid/>
          <w:color w:val="auto"/>
          <w:kern w:val="2"/>
          <w:sz w:val="21"/>
          <w:szCs w:val="21"/>
          <w:lang w:val="en-US" w:eastAsia="zh-CN"/>
        </w:rPr>
        <w:t>本项目</w:t>
      </w:r>
      <w:r>
        <w:rPr>
          <w:rFonts w:hint="eastAsia" w:ascii="宋体" w:hAnsi="宋体" w:eastAsia="宋体" w:cs="宋体"/>
          <w:snapToGrid/>
          <w:color w:val="auto"/>
          <w:kern w:val="2"/>
          <w:sz w:val="21"/>
          <w:szCs w:val="21"/>
          <w:lang w:eastAsia="zh-CN"/>
        </w:rPr>
        <w:t>最高限价</w:t>
      </w:r>
    </w:p>
    <w:p w14:paraId="1B0BCD03">
      <w:pPr>
        <w:keepNext w:val="0"/>
        <w:keepLines w:val="0"/>
        <w:pageBreakBefore w:val="0"/>
        <w:widowControl w:val="0"/>
        <w:wordWrap/>
        <w:overflowPunct/>
        <w:topLinePunct w:val="0"/>
        <w:bidi w:val="0"/>
        <w:adjustRightInd w:val="0"/>
        <w:snapToGrid w:val="0"/>
        <w:spacing w:line="360" w:lineRule="auto"/>
        <w:jc w:val="both"/>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采购包最高限价(元):1511500；采购包单价限价:55元/案</w:t>
      </w:r>
      <w:r>
        <w:rPr>
          <w:rFonts w:hint="eastAsia" w:ascii="宋体" w:hAnsi="宋体" w:eastAsia="宋体" w:cs="宋体"/>
          <w:snapToGrid w:val="0"/>
          <w:color w:val="auto"/>
          <w:sz w:val="21"/>
          <w:szCs w:val="21"/>
        </w:rPr>
        <w:t>（包括立案、庭前、庭后、结案、归档5个节点的电子卷宗随案同步生成一切费用）</w:t>
      </w:r>
      <w:r>
        <w:rPr>
          <w:rFonts w:hint="eastAsia" w:ascii="宋体" w:hAnsi="宋体" w:eastAsia="宋体" w:cs="宋体"/>
          <w:snapToGrid w:val="0"/>
          <w:color w:val="auto"/>
          <w:sz w:val="21"/>
          <w:szCs w:val="21"/>
          <w:lang w:eastAsia="zh-CN"/>
        </w:rPr>
        <w:t>，</w:t>
      </w:r>
      <w:r>
        <w:rPr>
          <w:rFonts w:hint="eastAsia" w:ascii="宋体" w:hAnsi="宋体" w:eastAsia="宋体" w:cs="宋体"/>
          <w:snapToGrid/>
          <w:color w:val="auto"/>
          <w:kern w:val="2"/>
          <w:sz w:val="21"/>
          <w:szCs w:val="21"/>
          <w:lang w:eastAsia="zh-CN"/>
        </w:rPr>
        <w:t>本项目报单价进行评审和最终结算，结算累计金额</w:t>
      </w:r>
      <w:r>
        <w:rPr>
          <w:rFonts w:hint="eastAsia" w:ascii="宋体" w:hAnsi="宋体" w:eastAsia="宋体" w:cs="宋体"/>
          <w:snapToGrid/>
          <w:color w:val="auto"/>
          <w:kern w:val="2"/>
          <w:sz w:val="21"/>
          <w:szCs w:val="21"/>
          <w:lang w:val="en-US" w:eastAsia="zh-CN"/>
        </w:rPr>
        <w:t>为</w:t>
      </w:r>
      <w:r>
        <w:rPr>
          <w:rFonts w:hint="eastAsia" w:ascii="宋体" w:hAnsi="宋体" w:eastAsia="宋体" w:cs="宋体"/>
          <w:snapToGrid/>
          <w:color w:val="auto"/>
          <w:kern w:val="2"/>
          <w:sz w:val="21"/>
          <w:szCs w:val="21"/>
          <w:lang w:eastAsia="zh-CN"/>
        </w:rPr>
        <w:t>预算金额支付完毕。</w:t>
      </w:r>
    </w:p>
    <w:p w14:paraId="75DB41B3">
      <w:pPr>
        <w:keepNext w:val="0"/>
        <w:keepLines w:val="0"/>
        <w:pageBreakBefore w:val="0"/>
        <w:widowControl w:val="0"/>
        <w:numPr>
          <w:ilvl w:val="0"/>
          <w:numId w:val="0"/>
        </w:numPr>
        <w:kinsoku/>
        <w:wordWrap/>
        <w:overflowPunct/>
        <w:topLinePunct w:val="0"/>
        <w:autoSpaceDE/>
        <w:autoSpaceDN/>
        <w:bidi w:val="0"/>
        <w:adjustRightInd w:val="0"/>
        <w:snapToGrid w:val="0"/>
        <w:spacing w:beforeLines="50" w:line="360" w:lineRule="auto"/>
        <w:jc w:val="both"/>
        <w:textAlignment w:val="auto"/>
        <w:rPr>
          <w:rFonts w:hint="eastAsia" w:ascii="宋体" w:hAnsi="宋体" w:eastAsia="宋体" w:cs="宋体"/>
          <w:snapToGrid w:val="0"/>
          <w:color w:val="auto"/>
          <w:sz w:val="21"/>
          <w:szCs w:val="21"/>
          <w:highlight w:val="none"/>
          <w:lang w:val="en-US" w:eastAsia="zh-CN"/>
        </w:rPr>
      </w:pPr>
      <w:r>
        <w:rPr>
          <w:rFonts w:hint="eastAsia" w:ascii="宋体" w:hAnsi="宋体" w:eastAsia="宋体" w:cs="宋体"/>
          <w:snapToGrid w:val="0"/>
          <w:color w:val="auto"/>
          <w:sz w:val="21"/>
          <w:szCs w:val="21"/>
          <w:highlight w:val="none"/>
          <w:lang w:val="en-US" w:eastAsia="zh-CN"/>
        </w:rPr>
        <w:t>3.其他</w:t>
      </w:r>
    </w:p>
    <w:p w14:paraId="2D9D8C3A">
      <w:pPr>
        <w:keepNext w:val="0"/>
        <w:keepLines w:val="0"/>
        <w:pageBreakBefore w:val="0"/>
        <w:wordWrap/>
        <w:overflowPunct/>
        <w:topLinePunct w:val="0"/>
        <w:bidi w:val="0"/>
        <w:adjustRightInd w:val="0"/>
        <w:snapToGrid w:val="0"/>
        <w:spacing w:line="360" w:lineRule="auto"/>
      </w:pPr>
      <w:r>
        <w:rPr>
          <w:rFonts w:hint="eastAsia" w:ascii="宋体" w:hAnsi="宋体" w:eastAsia="宋体" w:cs="宋体"/>
          <w:snapToGrid w:val="0"/>
          <w:color w:val="auto"/>
          <w:sz w:val="21"/>
          <w:szCs w:val="21"/>
          <w:highlight w:val="none"/>
        </w:rPr>
        <w:t>合同签订</w:t>
      </w:r>
      <w:r>
        <w:rPr>
          <w:rFonts w:hint="eastAsia" w:ascii="宋体" w:hAnsi="宋体" w:eastAsia="宋体" w:cs="宋体"/>
          <w:snapToGrid w:val="0"/>
          <w:color w:val="auto"/>
          <w:sz w:val="21"/>
          <w:szCs w:val="21"/>
        </w:rPr>
        <w:t>后，采购人向供应商支付2026年5月1日至2026年5月31日的服务费用（具体结算日期为本项目合同签订日），由供应商向相应单位支付此笔费用</w:t>
      </w:r>
      <w:r>
        <w:rPr>
          <w:rFonts w:hint="eastAsia" w:ascii="宋体" w:hAnsi="宋体" w:eastAsia="宋体" w:cs="宋体"/>
          <w:snapToGrid w:val="0"/>
          <w:color w:val="auto"/>
          <w:sz w:val="21"/>
          <w:szCs w:val="21"/>
          <w:lang w:eastAsia="zh-CN"/>
        </w:rPr>
        <w:t>，</w:t>
      </w:r>
      <w:r>
        <w:rPr>
          <w:rFonts w:hint="eastAsia" w:ascii="宋体" w:hAnsi="宋体" w:eastAsia="宋体" w:cs="宋体"/>
          <w:color w:val="auto"/>
          <w:lang w:val="en-US" w:eastAsia="zh-CN"/>
        </w:rPr>
        <w:t>供应商将此笔费用计入本项目报价中。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65E53"/>
    <w:rsid w:val="79912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1862</Words>
  <Characters>1996</Characters>
  <Lines>0</Lines>
  <Paragraphs>0</Paragraphs>
  <TotalTime>0</TotalTime>
  <ScaleCrop>false</ScaleCrop>
  <LinksUpToDate>false</LinksUpToDate>
  <CharactersWithSpaces>2055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2026-05-22T13:24:00Z</dcterms:created>
  <dc:creator>Administrator</dc:creator>
  <cp:lastModifiedBy>Lenovo</cp:lastModifiedBy>
  <dcterms:modified xsi:type="dcterms:W3CDTF">2026-05-25T03:11:24Z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80398157E5FC42C7BE24804804C54810_12</vt:lpwstr>
  </property>
</Properties>
</file>