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版本号：GCZB2026-07-114-W20260721001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产教融合实训基地项目-智能建造实践中心-智能装备和建筑机器人实训室项目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GCZB2026-07-114-W</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产教融合实训基地项目-智能建造实践中心-智能装备和建筑机器人实训室项目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GCZB2026-07-114-W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产教融合实训基地项目-智能建造实践中心-智能装备和建筑机器人实训室项目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陕西职业技术学院产教融合实训基地项目-智能建造实践中心-智能装备和建筑机器人实训室项目，具体内容详见招标文件。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3、税收缴纳证明：提供投标文件递交截止日前一年内已缴存的至少一个月的纳税证明或完税证明。依法免税的投标单位应提供相关文件证明；</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采购包1保证金金额：26,800.00元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应在收到中标(成交)通知书后、合同签订前5个工作日内，向采购人提交合同总价5%的履约保证金(供应商应当以银行转账、支票、汇票本票或银行保函等非现金形式缴纳履约保证金，提交前就所选缴纳方式的具体要求与采购人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代理服务费收费标准：参照国家发展和改革委员会《招标代理服务收费暂行办法》（计价格[2002]1980号）及发改办价格[2003]857号文件的规定标准下浮23%收取。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踏勘时间：2026-07-29 10:00:00</w:t>
            </w:r>
          </w:p>
          <w:p>
            <w:pPr>
              <w:pStyle w:val="null3"/>
              <w:ind w:firstLine="975"/>
            </w:pPr>
            <w:r>
              <w:rPr>
                <w:rFonts w:ascii="仿宋_GB2312" w:hAnsi="仿宋_GB2312" w:cs="仿宋_GB2312" w:eastAsia="仿宋_GB2312"/>
              </w:rPr>
              <w:t>踏勘地点：陕西职业技术学院白鹿原校区智能建造学院实训中心一楼</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联系电话号码：18066591757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陕西职业技术学院产教融合实训基地项目-智能建造实践中心-智能装备和建筑机器人实训室项目，具体内容详见技术参数要求。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1,340,000.00</w:t>
      </w:r>
    </w:p>
    <w:p>
      <w:pPr>
        <w:pStyle w:val="null3"/>
      </w:pPr>
      <w:r>
        <w:rPr>
          <w:rFonts w:ascii="仿宋_GB2312" w:hAnsi="仿宋_GB2312" w:cs="仿宋_GB2312" w:eastAsia="仿宋_GB2312"/>
        </w:rPr>
        <w:t>采购包最高限价（元）: 1,340,000.00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智能装备和建筑机器人实训室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标的名称：智能装备和建筑机器人实训室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4"/>
              <w:gridCol w:w="317"/>
              <w:gridCol w:w="1394"/>
              <w:gridCol w:w="226"/>
              <w:gridCol w:w="140"/>
              <w:gridCol w:w="323"/>
            </w:tblGrid>
            <w:tr>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设备平台名称</w:t>
                  </w:r>
                </w:p>
              </w:tc>
              <w:tc>
                <w:tcPr>
                  <w:tcW w:type="dxa" w:w="1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主要参数</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单位（台</w:t>
                  </w:r>
                  <w:r>
                    <w:rPr>
                      <w:rFonts w:ascii="仿宋_GB2312" w:hAnsi="仿宋_GB2312" w:cs="仿宋_GB2312" w:eastAsia="仿宋_GB2312"/>
                      <w:sz w:val="20"/>
                      <w:b/>
                    </w:rPr>
                    <w:t>/套）</w:t>
                  </w:r>
                </w:p>
              </w:tc>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p>
                  <w:pPr>
                    <w:pStyle w:val="null3"/>
                    <w:jc w:val="center"/>
                  </w:pP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用途及建设要求</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智能建造喷涂机器人</w:t>
                  </w:r>
                  <w:r>
                    <w:rPr>
                      <w:rFonts w:ascii="仿宋_GB2312" w:hAnsi="仿宋_GB2312" w:cs="仿宋_GB2312" w:eastAsia="仿宋_GB2312"/>
                      <w:sz w:val="20"/>
                      <w:shd w:fill="FFFF00" w:val="clear"/>
                    </w:rPr>
                    <w:t>（</w:t>
                  </w:r>
                  <w:r>
                    <w:rPr>
                      <w:rFonts w:ascii="仿宋_GB2312" w:hAnsi="仿宋_GB2312" w:cs="仿宋_GB2312" w:eastAsia="仿宋_GB2312"/>
                      <w:sz w:val="20"/>
                      <w:shd w:fill="FFFF00" w:val="clear"/>
                    </w:rPr>
                    <w:t>核心产品</w:t>
                  </w:r>
                  <w:r>
                    <w:rPr>
                      <w:rFonts w:ascii="仿宋_GB2312" w:hAnsi="仿宋_GB2312" w:cs="仿宋_GB2312" w:eastAsia="仿宋_GB2312"/>
                      <w:sz w:val="20"/>
                      <w:shd w:fill="FFFF00" w:val="clear"/>
                    </w:rPr>
                    <w:t>）</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具备</w:t>
                  </w:r>
                  <w:r>
                    <w:rPr>
                      <w:rFonts w:ascii="仿宋_GB2312" w:hAnsi="仿宋_GB2312" w:cs="仿宋_GB2312" w:eastAsia="仿宋_GB2312"/>
                      <w:sz w:val="20"/>
                    </w:rPr>
                    <w:t>BIM驱动的虚拟编程与数字孪生控制能力，可应用于室内装修的工艺仿真与实地喷涂两大核心环节。在设计端，能通过软件自主设定喷涂路径，升降高度及喷枪参数，完成从模型导入到工艺生成的数字化预演；在现场作业中，能导航编程执行墙面找平、腻子喷涂及面漆饰面等全流程操作，实现从虚拟仿真到实体施工的虚实双向同步与自动化作业。</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.参数</w:t>
                  </w:r>
                </w:p>
                <w:p>
                  <w:pPr>
                    <w:pStyle w:val="null3"/>
                    <w:jc w:val="both"/>
                  </w:pPr>
                  <w:r>
                    <w:rPr>
                      <w:rFonts w:ascii="仿宋_GB2312" w:hAnsi="仿宋_GB2312" w:cs="仿宋_GB2312" w:eastAsia="仿宋_GB2312"/>
                      <w:sz w:val="20"/>
                    </w:rPr>
                    <w:t>▲1.智能涂料机器人具备通用底盘平台与功能模块组合进行施工，配置功能模块包括喷涂模块（支持腻子和乳胶漆喷涂）、打磨模块、收刮模块，通过换装不同模块来实现腻子喷涂、乳胶漆喷涂、腻子打磨及收刮等施工功能；</w:t>
                  </w:r>
                </w:p>
                <w:p>
                  <w:pPr>
                    <w:pStyle w:val="null3"/>
                    <w:jc w:val="both"/>
                  </w:pPr>
                  <w:r>
                    <w:rPr>
                      <w:rFonts w:ascii="仿宋_GB2312" w:hAnsi="仿宋_GB2312" w:cs="仿宋_GB2312" w:eastAsia="仿宋_GB2312"/>
                      <w:sz w:val="20"/>
                    </w:rPr>
                    <w:t>2.整机尺寸：≥700×600×1500 mm，≤1300×1000×1800 mm</w:t>
                  </w:r>
                </w:p>
                <w:p>
                  <w:pPr>
                    <w:pStyle w:val="null3"/>
                    <w:jc w:val="both"/>
                  </w:pPr>
                  <w:r>
                    <w:rPr>
                      <w:rFonts w:ascii="仿宋_GB2312" w:hAnsi="仿宋_GB2312" w:cs="仿宋_GB2312" w:eastAsia="仿宋_GB2312"/>
                      <w:sz w:val="20"/>
                    </w:rPr>
                    <w:t>3.整机重量: ≥400kg，≤800kg</w:t>
                  </w:r>
                </w:p>
                <w:p>
                  <w:pPr>
                    <w:pStyle w:val="null3"/>
                    <w:jc w:val="both"/>
                  </w:pPr>
                  <w:r>
                    <w:rPr>
                      <w:rFonts w:ascii="仿宋_GB2312" w:hAnsi="仿宋_GB2312" w:cs="仿宋_GB2312" w:eastAsia="仿宋_GB2312"/>
                      <w:sz w:val="20"/>
                    </w:rPr>
                    <w:t>4.工作续航: ≥5h</w:t>
                  </w:r>
                </w:p>
                <w:p>
                  <w:pPr>
                    <w:pStyle w:val="null3"/>
                    <w:jc w:val="both"/>
                  </w:pPr>
                  <w:r>
                    <w:rPr>
                      <w:rFonts w:ascii="仿宋_GB2312" w:hAnsi="仿宋_GB2312" w:cs="仿宋_GB2312" w:eastAsia="仿宋_GB2312"/>
                      <w:sz w:val="20"/>
                    </w:rPr>
                    <w:t>5.料桶容积≥60L</w:t>
                  </w:r>
                </w:p>
                <w:p>
                  <w:pPr>
                    <w:pStyle w:val="null3"/>
                    <w:jc w:val="both"/>
                  </w:pPr>
                  <w:r>
                    <w:rPr>
                      <w:rFonts w:ascii="仿宋_GB2312" w:hAnsi="仿宋_GB2312" w:cs="仿宋_GB2312" w:eastAsia="仿宋_GB2312"/>
                      <w:sz w:val="20"/>
                    </w:rPr>
                    <w:t>▲6.作业高度：腻子和乳胶漆喷涂高度≥6000mm</w:t>
                  </w:r>
                </w:p>
                <w:p>
                  <w:pPr>
                    <w:pStyle w:val="null3"/>
                    <w:jc w:val="both"/>
                  </w:pPr>
                  <w:r>
                    <w:rPr>
                      <w:rFonts w:ascii="仿宋_GB2312" w:hAnsi="仿宋_GB2312" w:cs="仿宋_GB2312" w:eastAsia="仿宋_GB2312"/>
                      <w:sz w:val="20"/>
                    </w:rPr>
                    <w:t>▲7.综合工效：单遍腻子喷涂≥80㎡/h，单遍乳胶漆喷涂≥200㎡/h。</w:t>
                  </w:r>
                </w:p>
                <w:p>
                  <w:pPr>
                    <w:pStyle w:val="null3"/>
                    <w:jc w:val="both"/>
                  </w:pPr>
                  <w:r>
                    <w:rPr>
                      <w:rFonts w:ascii="仿宋_GB2312" w:hAnsi="仿宋_GB2312" w:cs="仿宋_GB2312" w:eastAsia="仿宋_GB2312"/>
                      <w:sz w:val="20"/>
                    </w:rPr>
                    <w:t>8.移动速度:≥0.5m/s</w:t>
                  </w:r>
                </w:p>
                <w:p>
                  <w:pPr>
                    <w:pStyle w:val="null3"/>
                    <w:jc w:val="both"/>
                  </w:pPr>
                  <w:r>
                    <w:rPr>
                      <w:rFonts w:ascii="仿宋_GB2312" w:hAnsi="仿宋_GB2312" w:cs="仿宋_GB2312" w:eastAsia="仿宋_GB2312"/>
                      <w:sz w:val="20"/>
                    </w:rPr>
                    <w:t>9.越障高度：≥30mm</w:t>
                  </w:r>
                </w:p>
                <w:p>
                  <w:pPr>
                    <w:pStyle w:val="null3"/>
                    <w:jc w:val="both"/>
                  </w:pPr>
                  <w:r>
                    <w:rPr>
                      <w:rFonts w:ascii="仿宋_GB2312" w:hAnsi="仿宋_GB2312" w:cs="仿宋_GB2312" w:eastAsia="仿宋_GB2312"/>
                      <w:sz w:val="20"/>
                    </w:rPr>
                    <w:t>10.跨沟宽度：≥50mm</w:t>
                  </w:r>
                </w:p>
                <w:p>
                  <w:pPr>
                    <w:pStyle w:val="null3"/>
                    <w:jc w:val="both"/>
                  </w:pPr>
                  <w:r>
                    <w:rPr>
                      <w:rFonts w:ascii="仿宋_GB2312" w:hAnsi="仿宋_GB2312" w:cs="仿宋_GB2312" w:eastAsia="仿宋_GB2312"/>
                      <w:sz w:val="20"/>
                    </w:rPr>
                    <w:t>11.爬坡角度：≥10°</w:t>
                  </w:r>
                </w:p>
                <w:p>
                  <w:pPr>
                    <w:pStyle w:val="null3"/>
                    <w:jc w:val="both"/>
                  </w:pPr>
                  <w:r>
                    <w:rPr>
                      <w:rFonts w:ascii="仿宋_GB2312" w:hAnsi="仿宋_GB2312" w:cs="仿宋_GB2312" w:eastAsia="仿宋_GB2312"/>
                      <w:sz w:val="20"/>
                    </w:rPr>
                    <w:t>12.定位精度：不低于±30mm</w:t>
                  </w:r>
                </w:p>
                <w:p>
                  <w:pPr>
                    <w:pStyle w:val="null3"/>
                    <w:jc w:val="both"/>
                  </w:pPr>
                  <w:r>
                    <w:rPr>
                      <w:rFonts w:ascii="仿宋_GB2312" w:hAnsi="仿宋_GB2312" w:cs="仿宋_GB2312" w:eastAsia="仿宋_GB2312"/>
                      <w:sz w:val="20"/>
                    </w:rPr>
                    <w:t>13.覆盖率：涂料作业≥95%；打磨作业≥85%:</w:t>
                  </w:r>
                </w:p>
                <w:p>
                  <w:pPr>
                    <w:pStyle w:val="null3"/>
                    <w:jc w:val="both"/>
                  </w:pPr>
                  <w:r>
                    <w:rPr>
                      <w:rFonts w:ascii="仿宋_GB2312" w:hAnsi="仿宋_GB2312" w:cs="仿宋_GB2312" w:eastAsia="仿宋_GB2312"/>
                      <w:sz w:val="20"/>
                    </w:rPr>
                    <w:t>14.机器人配置可变模态升降组，配置升降组机械臂可进行左、中、右、上四方向作业，并可适应多样功能模块</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.机器人搭载激光SLAM室内高精导航系统，配置激光雷达、测距雷达 ，激光雷达线束满足施工需求，支持BIM软件提前规划施工路径。配套有产品手册及视频说明；</w:t>
                  </w:r>
                </w:p>
                <w:p>
                  <w:pPr>
                    <w:pStyle w:val="null3"/>
                    <w:jc w:val="both"/>
                  </w:pPr>
                  <w:r>
                    <w:rPr>
                      <w:rFonts w:ascii="仿宋_GB2312" w:hAnsi="仿宋_GB2312" w:cs="仿宋_GB2312" w:eastAsia="仿宋_GB2312"/>
                      <w:sz w:val="20"/>
                    </w:rPr>
                    <w:t>16.五年服务期内，提供免费的系统软件升级及硬件维护服务，确保设备性能持续满足技术规范要求；并提供每年不少于一次免费培训，内容涵盖设备操作、维护保养及常见故障处理；</w:t>
                  </w:r>
                </w:p>
                <w:p>
                  <w:pPr>
                    <w:pStyle w:val="null3"/>
                    <w:jc w:val="both"/>
                  </w:pPr>
                  <w:r>
                    <w:rPr>
                      <w:rFonts w:ascii="仿宋_GB2312" w:hAnsi="仿宋_GB2312" w:cs="仿宋_GB2312" w:eastAsia="仿宋_GB2312"/>
                      <w:sz w:val="20"/>
                    </w:rPr>
                    <w:t>17.根据教学需求，搭建符合技能大赛标准的专业教学场景，并提供全程技术支持与服务；</w:t>
                  </w:r>
                </w:p>
                <w:p>
                  <w:pPr>
                    <w:pStyle w:val="null3"/>
                    <w:jc w:val="both"/>
                  </w:pPr>
                  <w:r>
                    <w:rPr>
                      <w:rFonts w:ascii="仿宋_GB2312" w:hAnsi="仿宋_GB2312" w:cs="仿宋_GB2312" w:eastAsia="仿宋_GB2312"/>
                      <w:sz w:val="20"/>
                    </w:rPr>
                    <w:t>▲18.配备建筑机器人仿真实验平台。</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.配套要求</w:t>
                  </w:r>
                </w:p>
                <w:p>
                  <w:pPr>
                    <w:pStyle w:val="null3"/>
                    <w:jc w:val="both"/>
                  </w:pPr>
                  <w:r>
                    <w:rPr>
                      <w:rFonts w:ascii="仿宋_GB2312" w:hAnsi="仿宋_GB2312" w:cs="仿宋_GB2312" w:eastAsia="仿宋_GB2312"/>
                      <w:sz w:val="20"/>
                    </w:rPr>
                    <w:t>1.供25名学生同时使用的商用品牌终端，终端搭载≥16核、≥2.1GHz、≥32GB 内存，配合≥1TB NVMe M.2，显存容量≥8GB GDDR6，显存位宽≥128-bit，计算核心数≥3000个，核心频率≥1800MHz（接口≥3DP+1HDMI）；配套≥27英寸、≥2560×1440分辨率、≥75Hz刷新率的显示终端，整机标配正版操作系统、键鼠，并具备≥4个USB 3.2及Type-C 3.2高速接口与千兆网口；</w:t>
                  </w:r>
                </w:p>
                <w:p>
                  <w:pPr>
                    <w:pStyle w:val="null3"/>
                    <w:jc w:val="both"/>
                  </w:pPr>
                  <w:r>
                    <w:rPr>
                      <w:rFonts w:ascii="仿宋_GB2312" w:hAnsi="仿宋_GB2312" w:cs="仿宋_GB2312" w:eastAsia="仿宋_GB2312"/>
                      <w:sz w:val="20"/>
                    </w:rPr>
                    <w:t>2.教师桌椅（</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全钢制主控台；</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尺寸约长</w:t>
                  </w:r>
                  <w:r>
                    <w:rPr>
                      <w:rFonts w:ascii="仿宋_GB2312" w:hAnsi="仿宋_GB2312" w:cs="仿宋_GB2312" w:eastAsia="仿宋_GB2312"/>
                      <w:sz w:val="20"/>
                    </w:rPr>
                    <w:t>2000mm，宽760mm，高800mm；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3桌子材料采用SPCC优质冷轧钢板，钢板厚度≥1.1mm，静电喷涂处理工艺；</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4颜色为灰白色或定做其他色，左边为设备边柜；</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5开孔：桌面开50过线孔；</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6型材：冷轧钢板冷轧成型；</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7带气压式升降软靠椅，西皮材质，尺寸宽≥50cm 长宽≥60cm，带扶手，五轮转椅。</w:t>
                  </w:r>
                </w:p>
                <w:p>
                  <w:pPr>
                    <w:pStyle w:val="null3"/>
                    <w:jc w:val="both"/>
                  </w:pPr>
                  <w:r>
                    <w:rPr>
                      <w:rFonts w:ascii="仿宋_GB2312" w:hAnsi="仿宋_GB2312" w:cs="仿宋_GB2312" w:eastAsia="仿宋_GB2312"/>
                      <w:sz w:val="20"/>
                    </w:rPr>
                    <w:t>3.学生桌</w:t>
                  </w:r>
                  <w:r>
                    <w:rPr>
                      <w:rFonts w:ascii="仿宋_GB2312" w:hAnsi="仿宋_GB2312" w:cs="仿宋_GB2312" w:eastAsia="仿宋_GB2312"/>
                      <w:sz w:val="20"/>
                    </w:rPr>
                    <w:t>（</w:t>
                  </w:r>
                  <w:r>
                    <w:rPr>
                      <w:rFonts w:ascii="仿宋_GB2312" w:hAnsi="仿宋_GB2312" w:cs="仿宋_GB2312" w:eastAsia="仿宋_GB2312"/>
                      <w:sz w:val="20"/>
                    </w:rPr>
                    <w:t>25套）</w:t>
                  </w:r>
                </w:p>
                <w:p>
                  <w:pPr>
                    <w:pStyle w:val="null3"/>
                    <w:jc w:val="both"/>
                  </w:pPr>
                  <w:r>
                    <w:rPr>
                      <w:rFonts w:ascii="仿宋_GB2312" w:hAnsi="仿宋_GB2312" w:cs="仿宋_GB2312" w:eastAsia="仿宋_GB2312"/>
                      <w:sz w:val="20"/>
                    </w:rPr>
                    <w:t>3.1电脑桌形状为长方形（或多边形，根据实训室大小确定）；</w:t>
                  </w:r>
                </w:p>
                <w:p>
                  <w:pPr>
                    <w:pStyle w:val="null3"/>
                    <w:jc w:val="both"/>
                  </w:pPr>
                  <w:r>
                    <w:rPr>
                      <w:rFonts w:ascii="仿宋_GB2312" w:hAnsi="仿宋_GB2312" w:cs="仿宋_GB2312" w:eastAsia="仿宋_GB2312"/>
                      <w:sz w:val="20"/>
                    </w:rPr>
                    <w:t>3.2双人位后机箱；</w:t>
                  </w:r>
                </w:p>
                <w:p>
                  <w:pPr>
                    <w:pStyle w:val="null3"/>
                    <w:jc w:val="both"/>
                  </w:pPr>
                  <w:r>
                    <w:rPr>
                      <w:rFonts w:ascii="仿宋_GB2312" w:hAnsi="仿宋_GB2312" w:cs="仿宋_GB2312" w:eastAsia="仿宋_GB2312"/>
                      <w:sz w:val="20"/>
                    </w:rPr>
                    <w:t>3.3桌面材料采用符合国家标准的优质环保型2.5cm实木颗粒板，经久耐用，易清洁，阻燃防水防火；</w:t>
                  </w:r>
                </w:p>
                <w:p>
                  <w:pPr>
                    <w:pStyle w:val="null3"/>
                    <w:jc w:val="both"/>
                  </w:pPr>
                  <w:r>
                    <w:rPr>
                      <w:rFonts w:ascii="仿宋_GB2312" w:hAnsi="仿宋_GB2312" w:cs="仿宋_GB2312" w:eastAsia="仿宋_GB2312"/>
                      <w:sz w:val="20"/>
                    </w:rPr>
                    <w:t>3.4电脑桌尺寸：1400mmm*700mm*750mm；（根据实训室场地的实际尺寸，可适当调整）。</w:t>
                  </w:r>
                </w:p>
                <w:p>
                  <w:pPr>
                    <w:pStyle w:val="null3"/>
                    <w:jc w:val="both"/>
                  </w:pPr>
                  <w:r>
                    <w:rPr>
                      <w:rFonts w:ascii="仿宋_GB2312" w:hAnsi="仿宋_GB2312" w:cs="仿宋_GB2312" w:eastAsia="仿宋_GB2312"/>
                      <w:sz w:val="20"/>
                    </w:rPr>
                    <w:t>3.5桌体为1.0mm厚高强度冷轧钢板;采用:固定式独立铁艺脚管，管壁厚度1.0mm，配PVC异型脚套，经焊接后除油，除锈，酸洗，磷化后静电粉末喷塑(成型后光滑，易清洁。环保无异味)可承受200公斤重物，结构稳定，寿命长；</w:t>
                  </w:r>
                </w:p>
                <w:p>
                  <w:pPr>
                    <w:pStyle w:val="null3"/>
                    <w:jc w:val="both"/>
                  </w:pPr>
                  <w:r>
                    <w:rPr>
                      <w:rFonts w:ascii="仿宋_GB2312" w:hAnsi="仿宋_GB2312" w:cs="仿宋_GB2312" w:eastAsia="仿宋_GB2312"/>
                      <w:sz w:val="20"/>
                    </w:rPr>
                    <w:t>3.6主支撑腿为4*4cm直径方管，其余支撑和框架为2.5*2.5cm直径方管；</w:t>
                  </w:r>
                </w:p>
                <w:p>
                  <w:pPr>
                    <w:pStyle w:val="null3"/>
                    <w:jc w:val="both"/>
                  </w:pPr>
                  <w:r>
                    <w:rPr>
                      <w:rFonts w:ascii="仿宋_GB2312" w:hAnsi="仿宋_GB2312" w:cs="仿宋_GB2312" w:eastAsia="仿宋_GB2312"/>
                      <w:sz w:val="20"/>
                    </w:rPr>
                    <w:t>3.7电脑主机能置于桌体机箱内，可接前置主机开关，机箱后挡板可拆卸，方便电脑设备安装维修；</w:t>
                  </w:r>
                </w:p>
                <w:p>
                  <w:pPr>
                    <w:pStyle w:val="null3"/>
                    <w:jc w:val="both"/>
                  </w:pPr>
                  <w:r>
                    <w:rPr>
                      <w:rFonts w:ascii="仿宋_GB2312" w:hAnsi="仿宋_GB2312" w:cs="仿宋_GB2312" w:eastAsia="仿宋_GB2312"/>
                      <w:sz w:val="20"/>
                    </w:rPr>
                    <w:t>3.8每个学生桌面安装五孔插座及2个USB接口</w:t>
                  </w:r>
                </w:p>
                <w:p>
                  <w:pPr>
                    <w:pStyle w:val="null3"/>
                    <w:jc w:val="both"/>
                  </w:pPr>
                  <w:r>
                    <w:rPr>
                      <w:rFonts w:ascii="仿宋_GB2312" w:hAnsi="仿宋_GB2312" w:cs="仿宋_GB2312" w:eastAsia="仿宋_GB2312"/>
                      <w:sz w:val="20"/>
                    </w:rPr>
                    <w:t>4.学生椅（25个）</w:t>
                  </w:r>
                </w:p>
                <w:p>
                  <w:pPr>
                    <w:pStyle w:val="null3"/>
                    <w:jc w:val="both"/>
                  </w:pPr>
                  <w:r>
                    <w:rPr>
                      <w:rFonts w:ascii="仿宋_GB2312" w:hAnsi="仿宋_GB2312" w:cs="仿宋_GB2312" w:eastAsia="仿宋_GB2312"/>
                      <w:sz w:val="20"/>
                    </w:rPr>
                    <w:t>4.1凳面塑胶材质，黑色可防静电，蓝色可不防静电（凳面直325*325*25mm）；</w:t>
                  </w:r>
                </w:p>
                <w:p>
                  <w:pPr>
                    <w:pStyle w:val="null3"/>
                    <w:jc w:val="both"/>
                  </w:pPr>
                  <w:r>
                    <w:rPr>
                      <w:rFonts w:ascii="仿宋_GB2312" w:hAnsi="仿宋_GB2312" w:cs="仿宋_GB2312" w:eastAsia="仿宋_GB2312"/>
                      <w:sz w:val="20"/>
                    </w:rPr>
                    <w:t>4.2气杆采用电镀材质，可质保两年（除人为损坏）；</w:t>
                  </w:r>
                </w:p>
                <w:p>
                  <w:pPr>
                    <w:pStyle w:val="null3"/>
                    <w:jc w:val="both"/>
                  </w:pPr>
                  <w:r>
                    <w:rPr>
                      <w:rFonts w:ascii="仿宋_GB2312" w:hAnsi="仿宋_GB2312" w:cs="仿宋_GB2312" w:eastAsia="仿宋_GB2312"/>
                      <w:sz w:val="20"/>
                    </w:rPr>
                    <w:t>4.3五星脚采用钢电镀材质，焊接牢固承重力强。</w:t>
                  </w:r>
                </w:p>
                <w:p>
                  <w:pPr>
                    <w:pStyle w:val="null3"/>
                    <w:jc w:val="both"/>
                  </w:pPr>
                  <w:r>
                    <w:rPr>
                      <w:rFonts w:ascii="仿宋_GB2312" w:hAnsi="仿宋_GB2312" w:cs="仿宋_GB2312" w:eastAsia="仿宋_GB2312"/>
                      <w:sz w:val="20"/>
                    </w:rPr>
                    <w:t>5.柜机空调（1台）</w:t>
                  </w:r>
                </w:p>
                <w:p>
                  <w:pPr>
                    <w:pStyle w:val="null3"/>
                    <w:jc w:val="both"/>
                  </w:pPr>
                  <w:r>
                    <w:rPr>
                      <w:rFonts w:ascii="仿宋_GB2312" w:hAnsi="仿宋_GB2312" w:cs="仿宋_GB2312" w:eastAsia="仿宋_GB2312"/>
                      <w:sz w:val="20"/>
                    </w:rPr>
                    <w:t>2匹立柜式空调，制冷量：5110W，制热量：7110W，额定电压：220V，额定频率：50Hz，制冷输入功率：1620W，制热输入功率：2300W 能效等级：3级，制冷剂名称：R32，噪音（室内/室外）：38dB/54dB；质量（室内/室外）：34kg/36kg。</w:t>
                  </w:r>
                </w:p>
                <w:p>
                  <w:pPr>
                    <w:pStyle w:val="null3"/>
                    <w:jc w:val="both"/>
                  </w:pPr>
                  <w:r>
                    <w:rPr>
                      <w:rFonts w:ascii="仿宋_GB2312" w:hAnsi="仿宋_GB2312" w:cs="仿宋_GB2312" w:eastAsia="仿宋_GB2312"/>
                      <w:sz w:val="20"/>
                    </w:rPr>
                    <w:t>6.完成</w:t>
                  </w:r>
                  <w:r>
                    <w:rPr>
                      <w:rFonts w:ascii="仿宋_GB2312" w:hAnsi="仿宋_GB2312" w:cs="仿宋_GB2312" w:eastAsia="仿宋_GB2312"/>
                      <w:sz w:val="20"/>
                    </w:rPr>
                    <w:t>约</w:t>
                  </w:r>
                  <w:r>
                    <w:rPr>
                      <w:rFonts w:ascii="仿宋_GB2312" w:hAnsi="仿宋_GB2312" w:cs="仿宋_GB2312" w:eastAsia="仿宋_GB2312"/>
                      <w:sz w:val="20"/>
                    </w:rPr>
                    <w:t>150㎡</w:t>
                  </w:r>
                  <w:r>
                    <w:rPr>
                      <w:rFonts w:ascii="仿宋_GB2312" w:hAnsi="仿宋_GB2312" w:cs="仿宋_GB2312" w:eastAsia="仿宋_GB2312"/>
                      <w:sz w:val="20"/>
                    </w:rPr>
                    <w:t>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围绕装配式建筑工程全生命周期各阶段智能建造流程，以建筑喷涂机器人为核心载体，模拟真实工地场景。学生通过实际操作该机器人，掌握激光</w:t>
                  </w:r>
                  <w:r>
                    <w:rPr>
                      <w:rFonts w:ascii="仿宋_GB2312" w:hAnsi="仿宋_GB2312" w:cs="仿宋_GB2312" w:eastAsia="仿宋_GB2312"/>
                      <w:sz w:val="20"/>
                    </w:rPr>
                    <w:t>SLAM导航.6自由度机械臂控制及数字孪生虚实交互等智能建造设备的工作原理，完成从BIM模型导入.喷涂工艺虚拟仿真设计.离线编程到现场自动喷涂作业的完整实训任务，培养其在智能建造生产线设定.机器人示教编程、运行轨迹追踪及施工数据管理等方面的综合实战能力。</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智能建造地面整平机器人</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一、功能</w:t>
                  </w:r>
                </w:p>
                <w:p>
                  <w:pPr>
                    <w:pStyle w:val="null3"/>
                    <w:jc w:val="both"/>
                  </w:pPr>
                  <w:r>
                    <w:rPr>
                      <w:rFonts w:ascii="仿宋_GB2312" w:hAnsi="仿宋_GB2312" w:cs="仿宋_GB2312" w:eastAsia="仿宋_GB2312"/>
                      <w:sz w:val="20"/>
                    </w:rPr>
                    <w:t>适用于住宅楼面、仓库、地库、厂房、机场、商场等场景下混凝土高精度地面施工。通过全自动和遥控两种操作模式，实现混凝土提浆、收面和控制标高作业。</w:t>
                  </w:r>
                </w:p>
                <w:p>
                  <w:pPr>
                    <w:pStyle w:val="null3"/>
                    <w:jc w:val="both"/>
                  </w:pPr>
                  <w:r>
                    <w:rPr>
                      <w:rFonts w:ascii="仿宋_GB2312" w:hAnsi="仿宋_GB2312" w:cs="仿宋_GB2312" w:eastAsia="仿宋_GB2312"/>
                      <w:sz w:val="20"/>
                    </w:rPr>
                    <w:t>二、参数</w:t>
                  </w:r>
                </w:p>
                <w:p>
                  <w:pPr>
                    <w:pStyle w:val="null3"/>
                    <w:jc w:val="both"/>
                  </w:pPr>
                  <w:r>
                    <w:rPr>
                      <w:rFonts w:ascii="仿宋_GB2312" w:hAnsi="仿宋_GB2312" w:cs="仿宋_GB2312" w:eastAsia="仿宋_GB2312"/>
                      <w:sz w:val="20"/>
                    </w:rPr>
                    <w:t>▲1.在混凝土布料后进行振捣、整平和控制标高，使混凝土地面达到2m/5mm平整度和±5mm水平度质量要求，可用于地库、厂房、机场、商场等需要混凝土整平作业的场景。</w:t>
                  </w:r>
                </w:p>
                <w:p>
                  <w:pPr>
                    <w:pStyle w:val="null3"/>
                    <w:jc w:val="both"/>
                  </w:pPr>
                  <w:r>
                    <w:rPr>
                      <w:rFonts w:ascii="仿宋_GB2312" w:hAnsi="仿宋_GB2312" w:cs="仿宋_GB2312" w:eastAsia="仿宋_GB2312"/>
                      <w:sz w:val="20"/>
                    </w:rPr>
                    <w:t>2.整平：根据激光标高找平地面；</w:t>
                  </w:r>
                </w:p>
                <w:p>
                  <w:pPr>
                    <w:pStyle w:val="null3"/>
                    <w:jc w:val="both"/>
                  </w:pPr>
                  <w:r>
                    <w:rPr>
                      <w:rFonts w:ascii="仿宋_GB2312" w:hAnsi="仿宋_GB2312" w:cs="仿宋_GB2312" w:eastAsia="仿宋_GB2312"/>
                      <w:sz w:val="20"/>
                    </w:rPr>
                    <w:t>3.遥控整平作业：人工遥控整平作业；</w:t>
                  </w:r>
                </w:p>
                <w:p>
                  <w:pPr>
                    <w:pStyle w:val="null3"/>
                    <w:jc w:val="both"/>
                  </w:pPr>
                  <w:r>
                    <w:rPr>
                      <w:rFonts w:ascii="仿宋_GB2312" w:hAnsi="仿宋_GB2312" w:cs="仿宋_GB2312" w:eastAsia="仿宋_GB2312"/>
                      <w:sz w:val="20"/>
                    </w:rPr>
                    <w:t>4.安全设计：具有一定的防误操作安全设计；机器人具有急停按钮；</w:t>
                  </w:r>
                </w:p>
                <w:p>
                  <w:pPr>
                    <w:pStyle w:val="null3"/>
                    <w:jc w:val="both"/>
                  </w:pPr>
                  <w:r>
                    <w:rPr>
                      <w:rFonts w:ascii="仿宋_GB2312" w:hAnsi="仿宋_GB2312" w:cs="仿宋_GB2312" w:eastAsia="仿宋_GB2312"/>
                      <w:sz w:val="20"/>
                    </w:rPr>
                    <w:t>5.电池管理：电池监控及提醒；</w:t>
                  </w:r>
                </w:p>
                <w:p>
                  <w:pPr>
                    <w:pStyle w:val="null3"/>
                    <w:jc w:val="both"/>
                  </w:pPr>
                  <w:r>
                    <w:rPr>
                      <w:rFonts w:ascii="仿宋_GB2312" w:hAnsi="仿宋_GB2312" w:cs="仿宋_GB2312" w:eastAsia="仿宋_GB2312"/>
                      <w:sz w:val="20"/>
                    </w:rPr>
                    <w:t>6.日志管理：部署机器人监管平台，作业参数记录存储；</w:t>
                  </w:r>
                </w:p>
                <w:p>
                  <w:pPr>
                    <w:pStyle w:val="null3"/>
                    <w:jc w:val="both"/>
                  </w:pPr>
                  <w:r>
                    <w:rPr>
                      <w:rFonts w:ascii="仿宋_GB2312" w:hAnsi="仿宋_GB2312" w:cs="仿宋_GB2312" w:eastAsia="仿宋_GB2312"/>
                      <w:sz w:val="20"/>
                    </w:rPr>
                    <w:t>7.产品应具备1米/1.5米/2米三头切换功能，整机重量：≥150kg，≤350kg；</w:t>
                  </w:r>
                </w:p>
                <w:p>
                  <w:pPr>
                    <w:pStyle w:val="null3"/>
                    <w:jc w:val="both"/>
                  </w:pPr>
                  <w:r>
                    <w:rPr>
                      <w:rFonts w:ascii="仿宋_GB2312" w:hAnsi="仿宋_GB2312" w:cs="仿宋_GB2312" w:eastAsia="仿宋_GB2312"/>
                      <w:sz w:val="20"/>
                    </w:rPr>
                    <w:t>8.整机尺寸：≤2500×2000×1650mm；</w:t>
                  </w:r>
                </w:p>
                <w:p>
                  <w:pPr>
                    <w:pStyle w:val="null3"/>
                    <w:jc w:val="both"/>
                  </w:pPr>
                  <w:r>
                    <w:rPr>
                      <w:rFonts w:ascii="仿宋_GB2312" w:hAnsi="仿宋_GB2312" w:cs="仿宋_GB2312" w:eastAsia="仿宋_GB2312"/>
                      <w:sz w:val="20"/>
                    </w:rPr>
                    <w:t>9.电池续航时间：≥5h；</w:t>
                  </w:r>
                </w:p>
                <w:p>
                  <w:pPr>
                    <w:pStyle w:val="null3"/>
                    <w:jc w:val="both"/>
                  </w:pPr>
                  <w:r>
                    <w:rPr>
                      <w:rFonts w:ascii="仿宋_GB2312" w:hAnsi="仿宋_GB2312" w:cs="仿宋_GB2312" w:eastAsia="仿宋_GB2312"/>
                      <w:sz w:val="20"/>
                    </w:rPr>
                    <w:t>▲10.施工净工效：≥1</w:t>
                  </w:r>
                  <w:r>
                    <w:rPr>
                      <w:rFonts w:ascii="仿宋_GB2312" w:hAnsi="仿宋_GB2312" w:cs="仿宋_GB2312" w:eastAsia="仿宋_GB2312"/>
                      <w:sz w:val="20"/>
                    </w:rPr>
                    <w:t>2</w:t>
                  </w:r>
                  <w:r>
                    <w:rPr>
                      <w:rFonts w:ascii="仿宋_GB2312" w:hAnsi="仿宋_GB2312" w:cs="仿宋_GB2312" w:eastAsia="仿宋_GB2312"/>
                      <w:sz w:val="20"/>
                    </w:rPr>
                    <w:t>0㎡/h；</w:t>
                  </w:r>
                </w:p>
                <w:p>
                  <w:pPr>
                    <w:pStyle w:val="null3"/>
                    <w:jc w:val="both"/>
                  </w:pPr>
                  <w:r>
                    <w:rPr>
                      <w:rFonts w:ascii="仿宋_GB2312" w:hAnsi="仿宋_GB2312" w:cs="仿宋_GB2312" w:eastAsia="仿宋_GB2312"/>
                      <w:sz w:val="20"/>
                    </w:rPr>
                    <w:t>11.最大爬坡角度≥10°；</w:t>
                  </w:r>
                </w:p>
                <w:p>
                  <w:pPr>
                    <w:pStyle w:val="null3"/>
                    <w:jc w:val="both"/>
                  </w:pPr>
                  <w:r>
                    <w:rPr>
                      <w:rFonts w:ascii="仿宋_GB2312" w:hAnsi="仿宋_GB2312" w:cs="仿宋_GB2312" w:eastAsia="仿宋_GB2312"/>
                      <w:sz w:val="20"/>
                    </w:rPr>
                    <w:t>12.行驶速度：0~0.5m/s；</w:t>
                  </w:r>
                </w:p>
                <w:p>
                  <w:pPr>
                    <w:pStyle w:val="null3"/>
                    <w:jc w:val="both"/>
                  </w:pPr>
                  <w:r>
                    <w:rPr>
                      <w:rFonts w:ascii="仿宋_GB2312" w:hAnsi="仿宋_GB2312" w:cs="仿宋_GB2312" w:eastAsia="仿宋_GB2312"/>
                      <w:sz w:val="20"/>
                    </w:rPr>
                    <w:t>13.最大越障高度：≥100mm；</w:t>
                  </w:r>
                </w:p>
                <w:p>
                  <w:pPr>
                    <w:pStyle w:val="null3"/>
                    <w:jc w:val="both"/>
                  </w:pPr>
                  <w:r>
                    <w:rPr>
                      <w:rFonts w:ascii="仿宋_GB2312" w:hAnsi="仿宋_GB2312" w:cs="仿宋_GB2312" w:eastAsia="仿宋_GB2312"/>
                      <w:sz w:val="20"/>
                    </w:rPr>
                    <w:t>14.机器状态 ：电池状态、运行状态；</w:t>
                  </w:r>
                </w:p>
                <w:p>
                  <w:pPr>
                    <w:pStyle w:val="null3"/>
                    <w:jc w:val="both"/>
                  </w:pPr>
                  <w:r>
                    <w:rPr>
                      <w:rFonts w:ascii="仿宋_GB2312" w:hAnsi="仿宋_GB2312" w:cs="仿宋_GB2312" w:eastAsia="仿宋_GB2312"/>
                      <w:sz w:val="20"/>
                    </w:rPr>
                    <w:t>15.机器遥控：半自动作业模式、手动模式；</w:t>
                  </w:r>
                </w:p>
                <w:p>
                  <w:pPr>
                    <w:pStyle w:val="null3"/>
                    <w:jc w:val="both"/>
                  </w:pPr>
                  <w:r>
                    <w:rPr>
                      <w:rFonts w:ascii="仿宋_GB2312" w:hAnsi="仿宋_GB2312" w:cs="仿宋_GB2312" w:eastAsia="仿宋_GB2312"/>
                      <w:sz w:val="20"/>
                    </w:rPr>
                    <w:t>16.水平标高：[-5,+5] mm，合格率≥90%</w:t>
                  </w:r>
                </w:p>
                <w:p>
                  <w:pPr>
                    <w:pStyle w:val="null3"/>
                    <w:jc w:val="both"/>
                  </w:pPr>
                  <w:r>
                    <w:rPr>
                      <w:rFonts w:ascii="仿宋_GB2312" w:hAnsi="仿宋_GB2312" w:cs="仿宋_GB2312" w:eastAsia="仿宋_GB2312"/>
                      <w:sz w:val="20"/>
                    </w:rPr>
                    <w:t>17.产品应具备动态调节整平头姿态；</w:t>
                  </w:r>
                </w:p>
                <w:p>
                  <w:pPr>
                    <w:pStyle w:val="null3"/>
                    <w:jc w:val="both"/>
                  </w:pPr>
                  <w:r>
                    <w:rPr>
                      <w:rFonts w:ascii="仿宋_GB2312" w:hAnsi="仿宋_GB2312" w:cs="仿宋_GB2312" w:eastAsia="仿宋_GB2312"/>
                      <w:sz w:val="20"/>
                    </w:rPr>
                    <w:t>配套有产品手册及视频说明；</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.机器人支持快装覆膜功能，进行混凝土覆膜；</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.五年服务期内，提供免费的系统软件升级及硬件维护服务，确保设备性能持续满足技术规范要求；并提供每年不少于一次免费培训，内容涵盖设备操作、维护保养及常见故障处理；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.根据教学需求，搭建符合技能大赛标准的专业教学场景，并提供全程技术支持与服务；</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.配备建筑机器人仿真实验平台。</w:t>
                  </w:r>
                </w:p>
                <w:p>
                  <w:pPr>
                    <w:pStyle w:val="null3"/>
                    <w:jc w:val="both"/>
                  </w:pPr>
                  <w:r>
                    <w:rPr>
                      <w:rFonts w:ascii="仿宋_GB2312" w:hAnsi="仿宋_GB2312" w:cs="仿宋_GB2312" w:eastAsia="仿宋_GB2312"/>
                      <w:sz w:val="20"/>
                    </w:rPr>
                    <w:t>三、配套要求</w:t>
                  </w:r>
                </w:p>
                <w:p>
                  <w:pPr>
                    <w:pStyle w:val="null3"/>
                    <w:jc w:val="both"/>
                  </w:pPr>
                  <w:r>
                    <w:rPr>
                      <w:rFonts w:ascii="仿宋_GB2312" w:hAnsi="仿宋_GB2312" w:cs="仿宋_GB2312" w:eastAsia="仿宋_GB2312"/>
                      <w:sz w:val="20"/>
                    </w:rPr>
                    <w:t>1.供20名学生同时使用的品牌终端，终端搭载≥16核、主频≥2.1GHz、≥32GB 内存，配合≥1TB NVMe M.2，显存容量≥8GB GDDR6，显存位宽≥128-bit，计算核心数≥3000个，核心频率≥1800MHz（接口≥3DP+1HDMI）；配套≥27英寸、≥2560×1440分辨率、≥75Hz刷新率的显示终端，整机标配正版操作系统、键鼠，并具备≥4个USB 3.2及Type-C 3.2高速接口与千兆网口；</w:t>
                  </w:r>
                </w:p>
                <w:p>
                  <w:pPr>
                    <w:pStyle w:val="null3"/>
                    <w:jc w:val="both"/>
                  </w:pPr>
                  <w:r>
                    <w:rPr>
                      <w:rFonts w:ascii="仿宋_GB2312" w:hAnsi="仿宋_GB2312" w:cs="仿宋_GB2312" w:eastAsia="仿宋_GB2312"/>
                      <w:sz w:val="20"/>
                    </w:rPr>
                    <w:t>2.数据大屏技术参数</w:t>
                  </w:r>
                </w:p>
                <w:p>
                  <w:pPr>
                    <w:pStyle w:val="null3"/>
                    <w:jc w:val="both"/>
                  </w:pPr>
                  <w:r>
                    <w:rPr>
                      <w:rFonts w:ascii="仿宋_GB2312" w:hAnsi="仿宋_GB2312" w:cs="仿宋_GB2312" w:eastAsia="仿宋_GB2312"/>
                      <w:sz w:val="20"/>
                    </w:rPr>
                    <w:t>2.1屏幕尺寸（对角线）≥120英寸，显示比例16:9，亮度≥400cd/m2，对比度≥4000:1，刷新率120Hz，可视角度≥178175°，分辨率≥3840×2160。</w:t>
                  </w:r>
                </w:p>
                <w:p>
                  <w:pPr>
                    <w:pStyle w:val="null3"/>
                    <w:jc w:val="both"/>
                  </w:pPr>
                  <w:r>
                    <w:rPr>
                      <w:rFonts w:ascii="仿宋_GB2312" w:hAnsi="仿宋_GB2312" w:cs="仿宋_GB2312" w:eastAsia="仿宋_GB2312"/>
                      <w:sz w:val="20"/>
                    </w:rPr>
                    <w:t>2.2屏幕色彩度：≥7bit 屏幕响应时间不大于8ms。</w:t>
                  </w:r>
                </w:p>
                <w:p>
                  <w:pPr>
                    <w:pStyle w:val="null3"/>
                    <w:jc w:val="both"/>
                  </w:pPr>
                  <w:r>
                    <w:rPr>
                      <w:rFonts w:ascii="仿宋_GB2312" w:hAnsi="仿宋_GB2312" w:cs="仿宋_GB2312" w:eastAsia="仿宋_GB2312"/>
                      <w:sz w:val="20"/>
                    </w:rPr>
                    <w:t>2.3整机内置一体化音响：下置向4个中高音发声单元扬声器，功率≥40W，后朝向2个低音发声单元扬声器，总功率≥2060W。</w:t>
                  </w:r>
                </w:p>
                <w:p>
                  <w:pPr>
                    <w:pStyle w:val="null3"/>
                    <w:jc w:val="both"/>
                  </w:pPr>
                  <w:r>
                    <w:rPr>
                      <w:rFonts w:ascii="仿宋_GB2312" w:hAnsi="仿宋_GB2312" w:cs="仿宋_GB2312" w:eastAsia="仿宋_GB2312"/>
                      <w:sz w:val="20"/>
                    </w:rPr>
                    <w:t>2.4整机端子：RJ45≥1路、USB3.0≥1路、USB2.0≥2路、非扩展HDMI≥3路、Type-C≥1路。</w:t>
                  </w:r>
                </w:p>
                <w:p>
                  <w:pPr>
                    <w:pStyle w:val="null3"/>
                    <w:jc w:val="both"/>
                  </w:pPr>
                  <w:r>
                    <w:rPr>
                      <w:rFonts w:ascii="仿宋_GB2312" w:hAnsi="仿宋_GB2312" w:cs="仿宋_GB2312" w:eastAsia="仿宋_GB2312"/>
                      <w:sz w:val="20"/>
                    </w:rPr>
                    <w:t>2.5整机内置Wi-Fi6+Wi-Fi5双Wi-Fi四通道</w:t>
                  </w:r>
                </w:p>
                <w:p>
                  <w:pPr>
                    <w:pStyle w:val="null3"/>
                    <w:jc w:val="both"/>
                  </w:pPr>
                  <w:r>
                    <w:rPr>
                      <w:rFonts w:ascii="仿宋_GB2312" w:hAnsi="仿宋_GB2312" w:cs="仿宋_GB2312" w:eastAsia="仿宋_GB2312"/>
                      <w:sz w:val="20"/>
                    </w:rPr>
                    <w:t>2.6整机输出端子：Audio ray line Output≥1路。</w:t>
                  </w:r>
                </w:p>
                <w:p>
                  <w:pPr>
                    <w:pStyle w:val="null3"/>
                    <w:jc w:val="both"/>
                  </w:pPr>
                  <w:r>
                    <w:rPr>
                      <w:rFonts w:ascii="仿宋_GB2312" w:hAnsi="仿宋_GB2312" w:cs="仿宋_GB2312" w:eastAsia="仿宋_GB2312"/>
                      <w:sz w:val="20"/>
                    </w:rPr>
                    <w:t>2.7整机内置双频双通道Wi-Fi（上网5G+2.4G+BT，热点5G+2.4G）。</w:t>
                  </w:r>
                </w:p>
                <w:p>
                  <w:pPr>
                    <w:pStyle w:val="null3"/>
                    <w:jc w:val="both"/>
                  </w:pPr>
                  <w:r>
                    <w:rPr>
                      <w:rFonts w:ascii="仿宋_GB2312" w:hAnsi="仿宋_GB2312" w:cs="仿宋_GB2312" w:eastAsia="仿宋_GB2312"/>
                      <w:sz w:val="20"/>
                    </w:rPr>
                    <w:t>2.8信源识别自动开机功能：整机处于关机通电状态下，接入HDMI信号后，整机可自动开机。</w:t>
                  </w:r>
                </w:p>
                <w:p>
                  <w:pPr>
                    <w:pStyle w:val="null3"/>
                    <w:jc w:val="both"/>
                  </w:pPr>
                  <w:r>
                    <w:rPr>
                      <w:rFonts w:ascii="仿宋_GB2312" w:hAnsi="仿宋_GB2312" w:cs="仿宋_GB2312" w:eastAsia="仿宋_GB2312"/>
                      <w:sz w:val="20"/>
                    </w:rPr>
                    <w:t>2.9系统配置：系统版本≥Android 9.0，内存（RAM）≥4G，存储空间（ROM）≥64G。</w:t>
                  </w:r>
                </w:p>
                <w:p>
                  <w:pPr>
                    <w:pStyle w:val="null3"/>
                    <w:jc w:val="both"/>
                  </w:pPr>
                  <w:r>
                    <w:rPr>
                      <w:rFonts w:ascii="仿宋_GB2312" w:hAnsi="仿宋_GB2312" w:cs="仿宋_GB2312" w:eastAsia="仿宋_GB2312"/>
                      <w:sz w:val="20"/>
                    </w:rPr>
                    <w:t>2.10文件管理：整机内置文件浏览器功能，可以对USB设备及整机存储内相同类型的文件归类查看，如文档、图片、音视频、android 安装包等。</w:t>
                  </w:r>
                </w:p>
                <w:p>
                  <w:pPr>
                    <w:pStyle w:val="null3"/>
                    <w:jc w:val="both"/>
                  </w:pPr>
                  <w:r>
                    <w:rPr>
                      <w:rFonts w:ascii="仿宋_GB2312" w:hAnsi="仿宋_GB2312" w:cs="仿宋_GB2312" w:eastAsia="仿宋_GB2312"/>
                      <w:sz w:val="20"/>
                    </w:rPr>
                    <w:t>2.11整机内置无线传屏接收器，支持移动端设备或外置电脑的无线投屏；</w:t>
                  </w:r>
                </w:p>
                <w:p>
                  <w:pPr>
                    <w:pStyle w:val="null3"/>
                    <w:jc w:val="both"/>
                  </w:pPr>
                  <w:r>
                    <w:rPr>
                      <w:rFonts w:ascii="仿宋_GB2312" w:hAnsi="仿宋_GB2312" w:cs="仿宋_GB2312" w:eastAsia="仿宋_GB2312"/>
                      <w:sz w:val="20"/>
                    </w:rPr>
                    <w:t>2.12无线投屏支持软件投屏、投屏器投屏等方式</w:t>
                  </w:r>
                </w:p>
                <w:p>
                  <w:pPr>
                    <w:pStyle w:val="null3"/>
                    <w:jc w:val="both"/>
                  </w:pPr>
                  <w:r>
                    <w:rPr>
                      <w:rFonts w:ascii="仿宋_GB2312" w:hAnsi="仿宋_GB2312" w:cs="仿宋_GB2312" w:eastAsia="仿宋_GB2312"/>
                      <w:sz w:val="20"/>
                    </w:rPr>
                    <w:t>3.学生桌</w:t>
                  </w:r>
                  <w:r>
                    <w:rPr>
                      <w:rFonts w:ascii="仿宋_GB2312" w:hAnsi="仿宋_GB2312" w:cs="仿宋_GB2312" w:eastAsia="仿宋_GB2312"/>
                      <w:sz w:val="20"/>
                    </w:rPr>
                    <w:t>（</w:t>
                  </w:r>
                  <w:r>
                    <w:rPr>
                      <w:rFonts w:ascii="仿宋_GB2312" w:hAnsi="仿宋_GB2312" w:cs="仿宋_GB2312" w:eastAsia="仿宋_GB2312"/>
                      <w:sz w:val="20"/>
                    </w:rPr>
                    <w:t>20套）</w:t>
                  </w:r>
                </w:p>
                <w:p>
                  <w:pPr>
                    <w:pStyle w:val="null3"/>
                    <w:jc w:val="both"/>
                  </w:pPr>
                  <w:r>
                    <w:rPr>
                      <w:rFonts w:ascii="仿宋_GB2312" w:hAnsi="仿宋_GB2312" w:cs="仿宋_GB2312" w:eastAsia="仿宋_GB2312"/>
                      <w:sz w:val="20"/>
                    </w:rPr>
                    <w:t>3.1电脑桌形状为长方形（或多边形，根据实训室大小确定）；</w:t>
                  </w:r>
                </w:p>
                <w:p>
                  <w:pPr>
                    <w:pStyle w:val="null3"/>
                    <w:jc w:val="both"/>
                  </w:pPr>
                  <w:r>
                    <w:rPr>
                      <w:rFonts w:ascii="仿宋_GB2312" w:hAnsi="仿宋_GB2312" w:cs="仿宋_GB2312" w:eastAsia="仿宋_GB2312"/>
                      <w:sz w:val="20"/>
                    </w:rPr>
                    <w:t>3.2双人位后机箱；</w:t>
                  </w:r>
                </w:p>
                <w:p>
                  <w:pPr>
                    <w:pStyle w:val="null3"/>
                    <w:jc w:val="both"/>
                  </w:pPr>
                  <w:r>
                    <w:rPr>
                      <w:rFonts w:ascii="仿宋_GB2312" w:hAnsi="仿宋_GB2312" w:cs="仿宋_GB2312" w:eastAsia="仿宋_GB2312"/>
                      <w:sz w:val="20"/>
                    </w:rPr>
                    <w:t>3.3桌面材料采用符合国家标准的优质环保型2.5cm实木颗粒板，经久耐用，易清洁，阻燃防水防火；</w:t>
                  </w:r>
                </w:p>
                <w:p>
                  <w:pPr>
                    <w:pStyle w:val="null3"/>
                    <w:jc w:val="both"/>
                  </w:pPr>
                  <w:r>
                    <w:rPr>
                      <w:rFonts w:ascii="仿宋_GB2312" w:hAnsi="仿宋_GB2312" w:cs="仿宋_GB2312" w:eastAsia="仿宋_GB2312"/>
                      <w:sz w:val="20"/>
                    </w:rPr>
                    <w:t>3.4电脑桌尺寸：1400mmm*700mm*750mm；（根据实训室场地的实际尺寸，可适当调整）。</w:t>
                  </w:r>
                </w:p>
                <w:p>
                  <w:pPr>
                    <w:pStyle w:val="null3"/>
                    <w:jc w:val="both"/>
                  </w:pPr>
                  <w:r>
                    <w:rPr>
                      <w:rFonts w:ascii="仿宋_GB2312" w:hAnsi="仿宋_GB2312" w:cs="仿宋_GB2312" w:eastAsia="仿宋_GB2312"/>
                      <w:sz w:val="20"/>
                    </w:rPr>
                    <w:t>3.5桌体为1.0mm厚高强度冷轧钢板;采用:固定式独立铁艺脚管，管壁厚度1.0mm，配PVC异型脚套，经焊接后除油，除锈，酸洗，磷化后静电粉末喷塑(成型后光滑，易清洁。环保无异味)可承受200公斤重物，结构稳定，寿命长；</w:t>
                  </w:r>
                </w:p>
                <w:p>
                  <w:pPr>
                    <w:pStyle w:val="null3"/>
                    <w:jc w:val="both"/>
                  </w:pPr>
                  <w:r>
                    <w:rPr>
                      <w:rFonts w:ascii="仿宋_GB2312" w:hAnsi="仿宋_GB2312" w:cs="仿宋_GB2312" w:eastAsia="仿宋_GB2312"/>
                      <w:sz w:val="20"/>
                    </w:rPr>
                    <w:t>3.6主支撑腿为4*4cm直径方管，其余支撑和框架为2.5*2.5cm直径方管；</w:t>
                  </w:r>
                </w:p>
                <w:p>
                  <w:pPr>
                    <w:pStyle w:val="null3"/>
                    <w:jc w:val="both"/>
                  </w:pPr>
                  <w:r>
                    <w:rPr>
                      <w:rFonts w:ascii="仿宋_GB2312" w:hAnsi="仿宋_GB2312" w:cs="仿宋_GB2312" w:eastAsia="仿宋_GB2312"/>
                      <w:sz w:val="20"/>
                    </w:rPr>
                    <w:t>3.7电脑主机能置于桌体机箱内，可接前置主机开关，机箱后挡板可拆卸，方便电脑设备安装维修；</w:t>
                  </w:r>
                </w:p>
                <w:p>
                  <w:pPr>
                    <w:pStyle w:val="null3"/>
                    <w:jc w:val="both"/>
                  </w:pPr>
                  <w:r>
                    <w:rPr>
                      <w:rFonts w:ascii="仿宋_GB2312" w:hAnsi="仿宋_GB2312" w:cs="仿宋_GB2312" w:eastAsia="仿宋_GB2312"/>
                      <w:sz w:val="20"/>
                    </w:rPr>
                    <w:t>3.8每个学生桌面安装五孔插座及2个USB接口</w:t>
                  </w:r>
                </w:p>
                <w:p>
                  <w:pPr>
                    <w:pStyle w:val="null3"/>
                    <w:jc w:val="both"/>
                  </w:pPr>
                  <w:r>
                    <w:rPr>
                      <w:rFonts w:ascii="仿宋_GB2312" w:hAnsi="仿宋_GB2312" w:cs="仿宋_GB2312" w:eastAsia="仿宋_GB2312"/>
                      <w:sz w:val="20"/>
                    </w:rPr>
                    <w:t>4.学生椅（20套）</w:t>
                  </w:r>
                </w:p>
                <w:p>
                  <w:pPr>
                    <w:pStyle w:val="null3"/>
                    <w:jc w:val="both"/>
                  </w:pPr>
                  <w:r>
                    <w:rPr>
                      <w:rFonts w:ascii="仿宋_GB2312" w:hAnsi="仿宋_GB2312" w:cs="仿宋_GB2312" w:eastAsia="仿宋_GB2312"/>
                      <w:sz w:val="20"/>
                    </w:rPr>
                    <w:t>4.1凳面塑胶材质，黑色可防静电，蓝色可不防静电（凳面直325*325*25mm）；</w:t>
                  </w:r>
                </w:p>
                <w:p>
                  <w:pPr>
                    <w:pStyle w:val="null3"/>
                    <w:jc w:val="both"/>
                  </w:pPr>
                  <w:r>
                    <w:rPr>
                      <w:rFonts w:ascii="仿宋_GB2312" w:hAnsi="仿宋_GB2312" w:cs="仿宋_GB2312" w:eastAsia="仿宋_GB2312"/>
                      <w:sz w:val="20"/>
                    </w:rPr>
                    <w:t>4.2气杆采用电镀材质，可质保两年（除人为损坏）；</w:t>
                  </w:r>
                </w:p>
                <w:p>
                  <w:pPr>
                    <w:pStyle w:val="null3"/>
                    <w:jc w:val="both"/>
                  </w:pPr>
                  <w:r>
                    <w:rPr>
                      <w:rFonts w:ascii="仿宋_GB2312" w:hAnsi="仿宋_GB2312" w:cs="仿宋_GB2312" w:eastAsia="仿宋_GB2312"/>
                      <w:sz w:val="20"/>
                    </w:rPr>
                    <w:t>4.3五星脚采用钢电镀材质，焊接牢固承重力强。</w:t>
                  </w:r>
                </w:p>
                <w:p>
                  <w:pPr>
                    <w:pStyle w:val="null3"/>
                    <w:jc w:val="both"/>
                  </w:pPr>
                  <w:r>
                    <w:rPr>
                      <w:rFonts w:ascii="仿宋_GB2312" w:hAnsi="仿宋_GB2312" w:cs="仿宋_GB2312" w:eastAsia="仿宋_GB2312"/>
                      <w:sz w:val="20"/>
                    </w:rPr>
                    <w:t>5.柜机空调(1台)</w:t>
                  </w:r>
                </w:p>
                <w:p>
                  <w:pPr>
                    <w:pStyle w:val="null3"/>
                    <w:jc w:val="both"/>
                  </w:pPr>
                  <w:r>
                    <w:rPr>
                      <w:rFonts w:ascii="仿宋_GB2312" w:hAnsi="仿宋_GB2312" w:cs="仿宋_GB2312" w:eastAsia="仿宋_GB2312"/>
                      <w:sz w:val="20"/>
                    </w:rPr>
                    <w:t>2匹立柜式空调，制冷量：5110W，制热量：7110W，额定电压：220V，额定频率：50Hz，制冷输入功率：1620W，制热输入功率：2300W 能效等级：3级，制冷剂名称：R32，噪音（室内/室外）：38dB/54dB；质量（室内/室外）：34kg/36kg。</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围绕装配式建筑及传统现浇结构施工全生命周期的智能建造流程，以地面整平机器人为核心载体，模拟真实地库与厂房施工场景。学生通过实际操作该机器人，掌握</w:t>
                  </w:r>
                  <w:r>
                    <w:rPr>
                      <w:rFonts w:ascii="仿宋_GB2312" w:hAnsi="仿宋_GB2312" w:cs="仿宋_GB2312" w:eastAsia="仿宋_GB2312"/>
                      <w:sz w:val="20"/>
                    </w:rPr>
                    <w:t>GNSS高精度定位.激光雷达导航及智能运动控制算法等智能建造设备的工作原理，完成从BIM标高数据导入.施工路径虚拟规划.离线仿真到现场全自动提浆收面的完整实训任务。</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其他要求：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.售后服务</w:t>
            </w:r>
          </w:p>
          <w:p>
            <w:pPr>
              <w:pStyle w:val="null3"/>
            </w:pPr>
            <w:r>
              <w:rPr>
                <w:rFonts w:ascii="仿宋_GB2312" w:hAnsi="仿宋_GB2312" w:cs="仿宋_GB2312" w:eastAsia="仿宋_GB2312"/>
                <w:sz w:val="21"/>
              </w:rPr>
              <w:t>（一）响应时效。供应商应提供明确的售后响应时间承诺。一般要求：接到报修通知后</w:t>
            </w:r>
            <w:r>
              <w:rPr>
                <w:rFonts w:ascii="仿宋_GB2312" w:hAnsi="仿宋_GB2312" w:cs="仿宋_GB2312" w:eastAsia="仿宋_GB2312"/>
                <w:sz w:val="21"/>
              </w:rPr>
              <w:t>8小时内响应，24小时内解决问题并完成维修或更换。</w:t>
            </w:r>
          </w:p>
          <w:p>
            <w:pPr>
              <w:pStyle w:val="null3"/>
            </w:pPr>
            <w:r>
              <w:rPr>
                <w:rFonts w:ascii="仿宋_GB2312" w:hAnsi="仿宋_GB2312" w:cs="仿宋_GB2312" w:eastAsia="仿宋_GB2312"/>
                <w:sz w:val="21"/>
              </w:rPr>
              <w:t>（二）备件保障。若设备故障在约定时间内无法修复，供应商应提供性能完好的备用设备供采购人使用，确保学校教学科研工作不受影响。备用设备的规格配置及性能不得低于原设备要求。</w:t>
            </w:r>
          </w:p>
          <w:p>
            <w:pPr>
              <w:pStyle w:val="null3"/>
            </w:pPr>
            <w:r>
              <w:rPr>
                <w:rFonts w:ascii="仿宋_GB2312" w:hAnsi="仿宋_GB2312" w:cs="仿宋_GB2312" w:eastAsia="仿宋_GB2312"/>
                <w:sz w:val="21"/>
              </w:rPr>
              <w:t>（三）服务团队。供应商应配有专业维修工程师，并指派专人负责与采购人联系售后服务事宜。供应商应提供售后服务联系负责人、联系电话、地址等信息。</w:t>
            </w:r>
          </w:p>
          <w:p>
            <w:pPr>
              <w:pStyle w:val="null3"/>
            </w:pPr>
            <w:r>
              <w:rPr>
                <w:rFonts w:ascii="仿宋_GB2312" w:hAnsi="仿宋_GB2312" w:cs="仿宋_GB2312" w:eastAsia="仿宋_GB2312"/>
                <w:sz w:val="21"/>
              </w:rPr>
              <w:t>（四）定期巡检。质保期内供应商应定期上门巡检，一般每季度不少于</w:t>
            </w:r>
            <w:r>
              <w:rPr>
                <w:rFonts w:ascii="仿宋_GB2312" w:hAnsi="仿宋_GB2312" w:cs="仿宋_GB2312" w:eastAsia="仿宋_GB2312"/>
                <w:sz w:val="21"/>
              </w:rPr>
              <w:t>1次或每年不少于2次，并出具设备运行报告。</w:t>
            </w:r>
          </w:p>
          <w:p>
            <w:pPr>
              <w:pStyle w:val="null3"/>
            </w:pPr>
            <w:r>
              <w:rPr>
                <w:rFonts w:ascii="仿宋_GB2312" w:hAnsi="仿宋_GB2312" w:cs="仿宋_GB2312" w:eastAsia="仿宋_GB2312"/>
                <w:sz w:val="21"/>
              </w:rPr>
              <w:t>2</w:t>
            </w:r>
            <w:r>
              <w:rPr>
                <w:rFonts w:ascii="仿宋_GB2312" w:hAnsi="仿宋_GB2312" w:cs="仿宋_GB2312" w:eastAsia="仿宋_GB2312"/>
                <w:sz w:val="21"/>
              </w:rPr>
              <w:t>、软件升级要求</w:t>
            </w:r>
          </w:p>
          <w:p>
            <w:pPr>
              <w:pStyle w:val="null3"/>
            </w:pPr>
            <w:r>
              <w:rPr>
                <w:rFonts w:ascii="仿宋_GB2312" w:hAnsi="仿宋_GB2312" w:cs="仿宋_GB2312" w:eastAsia="仿宋_GB2312"/>
                <w:sz w:val="21"/>
              </w:rPr>
              <w:t>（一）免费升级。质保期内，供应商应免费提供软件版本升级、功能模块拓展与维护等服务。软件升级后，供应商应主动对采购设备进行免费升级。</w:t>
            </w:r>
          </w:p>
          <w:p>
            <w:pPr>
              <w:pStyle w:val="null3"/>
            </w:pPr>
            <w:r>
              <w:rPr>
                <w:rFonts w:ascii="仿宋_GB2312" w:hAnsi="仿宋_GB2312" w:cs="仿宋_GB2312" w:eastAsia="仿宋_GB2312"/>
                <w:sz w:val="21"/>
              </w:rPr>
              <w:t>（二）长期保障。涉及软件产品的，应要求供应商对系统终身负责升级。质保期满后，仍应免费提供软件升级及技术支持服务。如拟投产品软件在约定年限内有升级，应免费提供升级服务。</w:t>
            </w:r>
          </w:p>
          <w:p>
            <w:pPr>
              <w:pStyle w:val="null3"/>
            </w:pPr>
            <w:r>
              <w:rPr>
                <w:rFonts w:ascii="仿宋_GB2312" w:hAnsi="仿宋_GB2312" w:cs="仿宋_GB2312" w:eastAsia="仿宋_GB2312"/>
                <w:sz w:val="21"/>
              </w:rPr>
              <w:t>（三）升级通知。质保期内，如供应商和制造商的产品有升级，供应商应及时通知采购人；如采购人有相应要求，供应商应对采购人购买的产品进行升级服务。</w:t>
            </w:r>
          </w:p>
          <w:p>
            <w:pPr>
              <w:pStyle w:val="null3"/>
            </w:pPr>
            <w:r>
              <w:rPr>
                <w:rFonts w:ascii="仿宋_GB2312" w:hAnsi="仿宋_GB2312" w:cs="仿宋_GB2312" w:eastAsia="仿宋_GB2312"/>
                <w:sz w:val="21"/>
              </w:rPr>
              <w:t>3</w:t>
            </w:r>
            <w:r>
              <w:rPr>
                <w:rFonts w:ascii="仿宋_GB2312" w:hAnsi="仿宋_GB2312" w:cs="仿宋_GB2312" w:eastAsia="仿宋_GB2312"/>
                <w:sz w:val="21"/>
              </w:rPr>
              <w:t>、培训要求</w:t>
            </w:r>
          </w:p>
          <w:p>
            <w:pPr>
              <w:pStyle w:val="null3"/>
            </w:pPr>
            <w:r>
              <w:rPr>
                <w:rFonts w:ascii="仿宋_GB2312" w:hAnsi="仿宋_GB2312" w:cs="仿宋_GB2312" w:eastAsia="仿宋_GB2312"/>
                <w:sz w:val="21"/>
              </w:rPr>
              <w:t>（一）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pPr>
            <w:r>
              <w:rPr>
                <w:rFonts w:ascii="仿宋_GB2312" w:hAnsi="仿宋_GB2312" w:cs="仿宋_GB2312" w:eastAsia="仿宋_GB2312"/>
                <w:sz w:val="21"/>
              </w:rPr>
              <w:t>（二）培训安排。供应商应在设备安装调试完成后及时安排培训。具体培训时间、地点及人员数量由采购人决定。培训名额不限，培训期间发生的相关费用均由供应商负责。</w:t>
            </w:r>
          </w:p>
          <w:p>
            <w:pPr>
              <w:pStyle w:val="null3"/>
            </w:pPr>
            <w:r>
              <w:rPr>
                <w:rFonts w:ascii="仿宋_GB2312" w:hAnsi="仿宋_GB2312" w:cs="仿宋_GB2312" w:eastAsia="仿宋_GB2312"/>
                <w:sz w:val="21"/>
              </w:rPr>
              <w:t>（三）培训资料。供应商应为所有被培训人员提供培训用文字资料和讲义等相关材料。每台设备均应提供一套完整的中文技术资料，包括操作手册、使用说明、维修保养操作手册、安装手册、产品合格证等。</w:t>
            </w:r>
          </w:p>
          <w:p>
            <w:pPr>
              <w:pStyle w:val="null3"/>
            </w:pPr>
            <w:r>
              <w:rPr>
                <w:rFonts w:ascii="仿宋_GB2312" w:hAnsi="仿宋_GB2312" w:cs="仿宋_GB2312" w:eastAsia="仿宋_GB2312"/>
                <w:sz w:val="21"/>
              </w:rPr>
              <w:t>（四）持续培训。质保期内，供应商应根据采购人需求提供再培训或每年不少于两次的现场技术培训。在采购人使用期间视需求可提供再培训。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 30 个工作日内，乙方负责将产品运输到指定地点，并按照验收标准和验收程序完成设备的安装、调试和验收工作。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（1）产品运抵现场后，双方应及时开箱验收，并制作验收记录，以确认与本合同约定的数量、型号等是否一致。 （2） 乙方应在交货前对产品的质量、规格、数量等进行详细而全面的检验，并出具证明产品符合合同规定的文件。该文件将作为申请付款单据的一部分，但有关质量、规格、数量的检验不应视为最终检验。 （3） 乙方所供设备必须按我国现使用的标准制造，所购标准件和原材料均是国家名牌企业(或用户指定厂家)的合格产品，不会受到其它方提出的专利权、商标权或工业设计权等起诉。其余技术条件完全按照甲方要求。 （4） 开箱验收中如发现产品的数量、规格与合同约定不符，甲方有权拒收产品，乙方应及时按甲方要求免费对拒收产品采取更换或其他必要的补救措施，直至开箱验收合格，方视为乙方完成交货。 2、检验验收 （1）交货完成后，乙方应及时组装、调试、试运行，按照合同条款规定的试运行完成后，双方及时组织对产品检验验收。合同双方均须派人参加合同要求双方参加的试验、检验。 （2）在具体实施合同规定的检验验收之前，乙方需提前提交相应的测试计划(包括测试程序、测试内容和检验标准、试验时间安排等)供甲方确认。注：本条甲乙双方协商。 （3）除需甲方确认的试验验收外，乙方还应对所有检验验收测试的结果、步骤、原始数据等作妥善记录。如甲方要求，乙方应提供这些记录给甲方。 （4）检验测试出现全部或部分未达到本合同所约定的技术指标，甲方有权选择下列任一处理方式：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3、使用过程检验 （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（2） 如果合同双方对乙方提供的上述试验结果报告的解释有分歧，双方须于出现分歧后30天内给对方声明，以陈述己方的观点。声明须附有关证据。分歧应通过协商解决。 4、所有验收合格，但不能免除乙方应该承担的质保责任。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产品质量保证期为甲方硬件设备最终验收合格后3年，软件系统最终验收合格后5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中标服务费查询请联系财务部：029-89286620转808。（3）以转账方式交纳投标保证金须注明项目编号及用途(投标保证金)（4）投标单位如开具电子保函请在开标前把电子保函PDF版发送至2290417378@qq.com。 2、落实政府采购政策《国务院办公厅关于在政府采购中实施本国产品标准及相关政策的通知国办发〔2025〕34号》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提供投标文件递交截止日前一年内已缴存的至少一个月的纳税证明或完税证明。依法免税的投标单位应提供相关文件证明；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对招标文件技术参数要求部分的所有指标，投标人应逐条进行响应。完全符合、响应招标文件要求，没有负偏离的得37分； （1）“▲”号参数为重要指标，每负偏离1项扣3分； （2）非“▲”号参数每负偏离1项扣0.5分，扣完为止。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提供所投产品合法来源渠道证明文件（包括销售协议、代理协议、原厂授权等），确保生产供应的产品为全新产品,无假货、水货、翻新货且无产权纠纷。提供一份计2分，满分4分。未提供不计分。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投标人提供针对本项目的实施方案，包括但不限于：①总体实施方案；②安装调试方案；③测试、试运行方案；④验收方案；⑤进度安排及进度保障措施；⑥人员配备安排计划及工作分配情况。满分12分。 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针对本项目有具体的售后服务方案,该方案包含：①拟投入售后服务人员配置情况；②日常维护保养；③项目交付用户后出现故障响应时间及措施。满分3分。 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针对本项目有具体的培训方案，该方案包含：①培训时间、培训人数、培训方式；②投标产品的原理和技术性能；③操作维护方法及排除故障。满分3分。 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提供投标人2023年6月1日至今类似项目合同（以合同签订日期为准），每提供1个得1分，满分4分。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现场踏勘</w:t>
            </w:r>
          </w:p>
        </w:tc>
        <w:tc>
          <w:tcPr>
            <w:tcW w:type="dxa" w:w="2492"/>
          </w:tcPr>
          <w:p>
            <w:pPr>
              <w:pStyle w:val="null3"/>
            </w:pPr>
            <w:r>
              <w:rPr>
                <w:rFonts w:ascii="仿宋_GB2312" w:hAnsi="仿宋_GB2312" w:cs="仿宋_GB2312" w:eastAsia="仿宋_GB2312"/>
              </w:rPr>
              <w:t>投标人提供采购人出具的现场踏勘证明资料计1分，未提供不得分。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