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C9DF26">
      <w:pPr>
        <w:pStyle w:val="13"/>
        <w:jc w:val="center"/>
        <w:outlineLvl w:val="1"/>
        <w:rPr>
          <w:rFonts w:hint="default"/>
        </w:rPr>
      </w:pPr>
      <w:r>
        <w:rPr>
          <w:rFonts w:ascii="仿宋_GB2312" w:hAnsi="仿宋_GB2312" w:eastAsia="仿宋_GB2312" w:cs="仿宋_GB2312"/>
          <w:b/>
          <w:sz w:val="36"/>
        </w:rPr>
        <w:t>拟签订采购合同文本</w:t>
      </w:r>
    </w:p>
    <w:p w14:paraId="449D513A">
      <w:pPr>
        <w:jc w:val="cente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pP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购</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置</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合</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同</w:t>
      </w:r>
    </w:p>
    <w:p w14:paraId="5B6D294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陕西职业技术学院（甲方）与 </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乙方）就甲方购置的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设备，经双方协商达成如下合同条款：</w:t>
      </w:r>
    </w:p>
    <w:p w14:paraId="3E378D5D">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1.合同内容</w:t>
      </w:r>
    </w:p>
    <w:p w14:paraId="3E6AE00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在甲方组织的关于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23AFDD95">
      <w:pPr>
        <w:spacing w:line="36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 设备购置清单（币种：人民币）</w:t>
      </w:r>
    </w:p>
    <w:tbl>
      <w:tblPr>
        <w:tblStyle w:val="17"/>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0D10BE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03361E1E">
            <w:pPr>
              <w:jc w:val="center"/>
              <w:rPr>
                <w:rFonts w:asciiTheme="minorEastAsia" w:hAnsiTheme="minorEastAsia" w:eastAsiaTheme="minorEastAsia" w:cstheme="minorEastAsia"/>
                <w:b/>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z w:val="22"/>
                <w:szCs w:val="22"/>
                <w14:textFill>
                  <w14:solidFill>
                    <w14:schemeClr w14:val="tx1"/>
                  </w14:solidFill>
                </w14:textFill>
              </w:rPr>
              <w:t>序号</w:t>
            </w:r>
          </w:p>
        </w:tc>
        <w:tc>
          <w:tcPr>
            <w:tcW w:w="1458" w:type="dxa"/>
            <w:vAlign w:val="center"/>
          </w:tcPr>
          <w:p w14:paraId="73BE9E16">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设备名称</w:t>
            </w:r>
          </w:p>
        </w:tc>
        <w:tc>
          <w:tcPr>
            <w:tcW w:w="1776" w:type="dxa"/>
            <w:vAlign w:val="center"/>
          </w:tcPr>
          <w:p w14:paraId="0EEDB108">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品牌、规格、型号</w:t>
            </w:r>
          </w:p>
        </w:tc>
        <w:tc>
          <w:tcPr>
            <w:tcW w:w="925" w:type="dxa"/>
            <w:vAlign w:val="center"/>
          </w:tcPr>
          <w:p w14:paraId="19032BA8">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数量</w:t>
            </w:r>
          </w:p>
          <w:p w14:paraId="1E243166">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(台、套)</w:t>
            </w:r>
          </w:p>
        </w:tc>
        <w:tc>
          <w:tcPr>
            <w:tcW w:w="1130" w:type="dxa"/>
            <w:vAlign w:val="center"/>
          </w:tcPr>
          <w:p w14:paraId="6EF7F827">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单价</w:t>
            </w:r>
          </w:p>
          <w:p w14:paraId="614F3DD0">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(万元)</w:t>
            </w:r>
          </w:p>
        </w:tc>
        <w:tc>
          <w:tcPr>
            <w:tcW w:w="1090" w:type="dxa"/>
            <w:vAlign w:val="center"/>
          </w:tcPr>
          <w:p w14:paraId="5F4C764A">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合计</w:t>
            </w:r>
          </w:p>
          <w:p w14:paraId="1B9CB03C">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(万元)</w:t>
            </w:r>
          </w:p>
        </w:tc>
        <w:tc>
          <w:tcPr>
            <w:tcW w:w="1420" w:type="dxa"/>
            <w:vAlign w:val="center"/>
          </w:tcPr>
          <w:p w14:paraId="672483AE">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生产商</w:t>
            </w:r>
          </w:p>
        </w:tc>
        <w:tc>
          <w:tcPr>
            <w:tcW w:w="617" w:type="dxa"/>
            <w:vAlign w:val="center"/>
          </w:tcPr>
          <w:p w14:paraId="669536D5">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备注</w:t>
            </w:r>
          </w:p>
        </w:tc>
      </w:tr>
      <w:tr w14:paraId="0082DC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2E385C52">
            <w:pPr>
              <w:jc w:val="center"/>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1</w:t>
            </w:r>
          </w:p>
        </w:tc>
        <w:tc>
          <w:tcPr>
            <w:tcW w:w="1458" w:type="dxa"/>
            <w:vAlign w:val="center"/>
          </w:tcPr>
          <w:p w14:paraId="0A892A63">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42D10B05">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42FD46E7">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6DB702E0">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47496D73">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2E5A6151">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304449E6">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0D17F8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690E8F5D">
            <w:pPr>
              <w:jc w:val="center"/>
              <w:rPr>
                <w:rFonts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2</w:t>
            </w:r>
          </w:p>
        </w:tc>
        <w:tc>
          <w:tcPr>
            <w:tcW w:w="1458" w:type="dxa"/>
            <w:vAlign w:val="center"/>
          </w:tcPr>
          <w:p w14:paraId="19A775A0">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38FDD285">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04B2BBA2">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7458F119">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166D348A">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0C6A78A1">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0681CB6C">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43AF42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3C99BE5B">
            <w:pPr>
              <w:jc w:val="center"/>
              <w:rPr>
                <w:rFonts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w:t>
            </w:r>
          </w:p>
        </w:tc>
        <w:tc>
          <w:tcPr>
            <w:tcW w:w="1458" w:type="dxa"/>
            <w:vAlign w:val="center"/>
          </w:tcPr>
          <w:p w14:paraId="55E83738">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4CC8D5BD">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29AB4B8B">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15F1A103">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01AF4610">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2B40CD1A">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4480BF63">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2E2E59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63060453">
            <w:pPr>
              <w:rPr>
                <w:rFonts w:asciiTheme="minorEastAsia" w:hAnsiTheme="minorEastAsia" w:eastAsiaTheme="minorEastAsia" w:cstheme="minorEastAsia"/>
                <w:color w:val="000000" w:themeColor="text1"/>
                <w:sz w:val="22"/>
                <w:szCs w:val="22"/>
                <w14:textFill>
                  <w14:solidFill>
                    <w14:schemeClr w14:val="tx1"/>
                  </w14:solidFill>
                </w14:textFill>
              </w:rPr>
            </w:pPr>
          </w:p>
          <w:p w14:paraId="6E002F2C">
            <w:pPr>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合计(元)</w:t>
            </w:r>
          </w:p>
        </w:tc>
        <w:tc>
          <w:tcPr>
            <w:tcW w:w="5182" w:type="dxa"/>
            <w:gridSpan w:val="5"/>
            <w:vAlign w:val="center"/>
          </w:tcPr>
          <w:p w14:paraId="6B847160">
            <w:pPr>
              <w:jc w:val="both"/>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大写：</w:t>
            </w:r>
          </w:p>
        </w:tc>
      </w:tr>
      <w:tr w14:paraId="6810D3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004ABC74">
            <w:pP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5182" w:type="dxa"/>
            <w:gridSpan w:val="5"/>
            <w:vAlign w:val="center"/>
          </w:tcPr>
          <w:p w14:paraId="46856517">
            <w:pPr>
              <w:jc w:val="both"/>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小写：</w:t>
            </w:r>
            <w:r>
              <w:rPr>
                <w:rFonts w:hint="eastAsia" w:asciiTheme="minorEastAsia" w:hAnsiTheme="minorEastAsia" w:eastAsiaTheme="minorEastAsia" w:cstheme="minorEastAsia"/>
                <w:color w:val="000000" w:themeColor="text1"/>
                <w:sz w:val="22"/>
                <w:szCs w:val="22"/>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2"/>
                <w:szCs w:val="22"/>
                <w14:textFill>
                  <w14:solidFill>
                    <w14:schemeClr w14:val="tx1"/>
                  </w14:solidFill>
                </w14:textFill>
              </w:rPr>
              <w:t>元</w:t>
            </w:r>
          </w:p>
        </w:tc>
      </w:tr>
    </w:tbl>
    <w:p w14:paraId="617BFF03">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0021F0E7">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其中，</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不含税金额____元，增值税税额____元，适用税率____%。</w:t>
      </w:r>
    </w:p>
    <w:p w14:paraId="719674A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 合同总额为一次性包死价格，不受市场价格的变化和影响，在合同不发生变更时作为付款结算的依据。</w:t>
      </w:r>
    </w:p>
    <w:p w14:paraId="1BDC813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 设备的技术参数要求</w:t>
      </w:r>
    </w:p>
    <w:p w14:paraId="2ECC0116">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1CF261B5">
      <w:pPr>
        <w:spacing w:line="380" w:lineRule="exact"/>
        <w:ind w:firstLine="480" w:firstLineChars="200"/>
        <w:rPr>
          <w:rFonts w:hint="eastAsia" w:asciiTheme="minorEastAsia" w:hAnsiTheme="minorEastAsia" w:eastAsiaTheme="minorEastAsia" w:cstheme="minorEastAsia"/>
          <w:b/>
          <w:bCs/>
          <w:color w:val="FF0000"/>
          <w:sz w:val="24"/>
          <w:szCs w:val="24"/>
          <w:lang w:eastAsia="zh-CN"/>
        </w:rPr>
      </w:pPr>
      <w:r>
        <w:rPr>
          <w:rFonts w:hint="eastAsia" w:asciiTheme="minorEastAsia" w:hAnsiTheme="minorEastAsia" w:eastAsiaTheme="minorEastAsia" w:cstheme="minorEastAsia"/>
          <w:b w:val="0"/>
          <w:bCs w:val="0"/>
          <w:color w:val="FF0000"/>
          <w:sz w:val="24"/>
          <w:szCs w:val="24"/>
          <w:lang w:eastAsia="zh-CN"/>
        </w:rPr>
        <w:t xml:space="preserve">1.4.2 </w:t>
      </w:r>
      <w:r>
        <w:rPr>
          <w:rFonts w:hint="eastAsia" w:asciiTheme="minorEastAsia" w:hAnsiTheme="minorEastAsia" w:eastAsiaTheme="minorEastAsia" w:cstheme="minorEastAsia"/>
          <w:b w:val="0"/>
          <w:bCs w:val="0"/>
          <w:color w:val="FF0000"/>
          <w:sz w:val="24"/>
          <w:szCs w:val="24"/>
          <w:lang w:val="en-US" w:eastAsia="zh-CN"/>
        </w:rPr>
        <w:t>所有设备和参数要与招标文件、投标文件保持一致，若关键参数不一致，以其中最优最高标准为执行标准。</w:t>
      </w:r>
    </w:p>
    <w:p w14:paraId="6F35BC0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乙方应向甲方提供有关标准的中文文本。</w:t>
      </w:r>
    </w:p>
    <w:p w14:paraId="3335C91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除非技术规范中另有规定，计量单位均采用中华人民共和国法定计量单位。</w:t>
      </w:r>
    </w:p>
    <w:p w14:paraId="19FAF8B8">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2.包装运输要求</w:t>
      </w:r>
    </w:p>
    <w:p w14:paraId="02C8583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08237D10">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3.交货时间及交货地点</w:t>
      </w:r>
    </w:p>
    <w:p w14:paraId="0B0778C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0A0C782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3.2 合同签订后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个工作日内，乙方负责将产品运输到指定地点，并按照验收标准和验收程序完成设备的安装、调试和验收工作。乙方保证运输过程中产品包装完好，在安装调试及验收时设备外观无划痕，设备质量完好。</w:t>
      </w:r>
    </w:p>
    <w:p w14:paraId="29290BE7">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4.产品质量保证</w:t>
      </w:r>
    </w:p>
    <w:p w14:paraId="6D46888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4.1 乙方提供的设备及配套产品，必须是合同规定厂家制造的合格、全新、未曾使用的产品，产品内部无损坏，外表无磨损，内部包装无破损。</w:t>
      </w:r>
    </w:p>
    <w:p w14:paraId="66FD2D8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4.2 乙方提供的设备及配套产品必须等同于或优于合同技术指标要求，并能按国家标准供应、检测、调试，确保产品技术指标满足合同约定及使用要求。</w:t>
      </w:r>
    </w:p>
    <w:p w14:paraId="7253BBE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3F0A3A6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3463B26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20E09F4B">
      <w:pPr>
        <w:spacing w:line="380" w:lineRule="exact"/>
        <w:ind w:firstLine="480" w:firstLineChars="200"/>
        <w:rPr>
          <w:rFonts w:asciiTheme="minorEastAsia" w:hAnsiTheme="minorEastAsia" w:eastAsiaTheme="minorEastAsia" w:cstheme="minorEastAsia"/>
          <w:color w:val="FF0000"/>
          <w:sz w:val="24"/>
          <w:szCs w:val="24"/>
          <w:lang w:eastAsia="zh-CN"/>
        </w:rPr>
      </w:pPr>
      <w:r>
        <w:rPr>
          <w:rFonts w:hint="eastAsia" w:asciiTheme="minorEastAsia" w:hAnsiTheme="minorEastAsia" w:eastAsiaTheme="minorEastAsia" w:cstheme="minorEastAsia"/>
          <w:color w:val="FF0000"/>
          <w:sz w:val="24"/>
          <w:szCs w:val="24"/>
          <w:lang w:eastAsia="zh-CN"/>
        </w:rPr>
        <w:t>4.6 产品质量保证期为甲方硬件设备最终验收合格后</w:t>
      </w:r>
      <w:r>
        <w:rPr>
          <w:rFonts w:hint="eastAsia" w:asciiTheme="minorEastAsia" w:hAnsiTheme="minorEastAsia" w:eastAsiaTheme="minorEastAsia" w:cstheme="minorEastAsia"/>
          <w:color w:val="FF0000"/>
          <w:sz w:val="24"/>
          <w:szCs w:val="24"/>
          <w:u w:val="single"/>
          <w:lang w:eastAsia="zh-CN"/>
        </w:rPr>
        <w:t xml:space="preserve">     </w:t>
      </w:r>
      <w:r>
        <w:rPr>
          <w:rFonts w:hint="eastAsia" w:asciiTheme="minorEastAsia" w:hAnsiTheme="minorEastAsia" w:eastAsiaTheme="minorEastAsia" w:cstheme="minorEastAsia"/>
          <w:color w:val="FF0000"/>
          <w:sz w:val="24"/>
          <w:szCs w:val="24"/>
          <w:lang w:eastAsia="zh-CN"/>
        </w:rPr>
        <w:t>年，软件系统最终验收合格后</w:t>
      </w:r>
      <w:r>
        <w:rPr>
          <w:rFonts w:hint="eastAsia" w:asciiTheme="minorEastAsia" w:hAnsiTheme="minorEastAsia" w:eastAsiaTheme="minorEastAsia" w:cstheme="minorEastAsia"/>
          <w:color w:val="FF0000"/>
          <w:sz w:val="24"/>
          <w:szCs w:val="24"/>
          <w:u w:val="single"/>
          <w:lang w:eastAsia="zh-CN"/>
        </w:rPr>
        <w:t xml:space="preserve">     </w:t>
      </w:r>
      <w:r>
        <w:rPr>
          <w:rFonts w:hint="eastAsia" w:asciiTheme="minorEastAsia" w:hAnsiTheme="minorEastAsia" w:eastAsiaTheme="minorEastAsia" w:cstheme="minorEastAsia"/>
          <w:color w:val="FF0000"/>
          <w:sz w:val="24"/>
          <w:szCs w:val="24"/>
          <w:lang w:eastAsia="zh-CN"/>
        </w:rPr>
        <w:t>年。质保期内，乙方应免费提供所有硬件设备维修及软件系统的升级服务，需更换的零配件应保证为原厂原装。质保期满后，乙方应提供软件终身免费升级，负责设备的终身维修。甲方如需更换设备的零配件，乙方应保证更换的零配件为原厂原装，并只收取零配件的成本费，同时由乙方负责更换并调试合格。</w:t>
      </w:r>
    </w:p>
    <w:p w14:paraId="2C1E93F5">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5.技术服务承诺</w:t>
      </w:r>
    </w:p>
    <w:p w14:paraId="4594D1A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5.1 乙方应严格按照供货时间，及时给甲方供货。</w:t>
      </w:r>
    </w:p>
    <w:p w14:paraId="4DD540E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5.2 乙方负责提供设备相应的技术资料，包括产品合格证、产品保修单、安装使用及维护说明书以及运输装箱清单等，并对所有技术材料的真实性、准确性、先进性、完整性负责。</w:t>
      </w:r>
    </w:p>
    <w:p w14:paraId="108415F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FF0000"/>
          <w:sz w:val="24"/>
          <w:szCs w:val="24"/>
          <w:lang w:eastAsia="zh-CN"/>
        </w:rPr>
        <w:t>5.3 人员培训：乙方免费为甲方培训设备使用人员，培训内容包括设备操作、维护、简单维修等（培训内容与标准、培训安排等要求详见附件）。</w:t>
      </w:r>
    </w:p>
    <w:p w14:paraId="3B72223A">
      <w:pPr>
        <w:spacing w:line="380" w:lineRule="exact"/>
        <w:ind w:firstLine="480" w:firstLineChars="200"/>
        <w:rPr>
          <w:rFonts w:asciiTheme="minorEastAsia" w:hAnsiTheme="minorEastAsia" w:eastAsiaTheme="minorEastAsia" w:cstheme="minorEastAsia"/>
          <w:color w:val="FF0000"/>
          <w:sz w:val="24"/>
          <w:szCs w:val="24"/>
          <w:lang w:eastAsia="zh-CN"/>
        </w:rPr>
      </w:pPr>
      <w:r>
        <w:rPr>
          <w:rFonts w:hint="eastAsia" w:asciiTheme="minorEastAsia" w:hAnsiTheme="minorEastAsia" w:eastAsiaTheme="minorEastAsia" w:cstheme="minorEastAsia"/>
          <w:color w:val="FF0000"/>
          <w:sz w:val="24"/>
          <w:szCs w:val="24"/>
          <w:lang w:eastAsia="zh-CN"/>
        </w:rPr>
        <w:t>5.4 售后服务：质保期内，乙方对甲方提出的服务响应不得超过</w:t>
      </w:r>
      <w:r>
        <w:rPr>
          <w:rFonts w:hint="eastAsia" w:asciiTheme="minorEastAsia" w:hAnsiTheme="minorEastAsia" w:eastAsiaTheme="minorEastAsia" w:cstheme="minorEastAsia"/>
          <w:color w:val="FF0000"/>
          <w:sz w:val="24"/>
          <w:szCs w:val="24"/>
          <w:u w:val="single"/>
          <w:lang w:eastAsia="zh-CN"/>
        </w:rPr>
        <w:t xml:space="preserve"> </w:t>
      </w:r>
      <w:r>
        <w:rPr>
          <w:rFonts w:hint="eastAsia" w:asciiTheme="minorEastAsia" w:hAnsiTheme="minorEastAsia" w:eastAsiaTheme="minorEastAsia" w:cstheme="minorEastAsia"/>
          <w:color w:val="FF0000"/>
          <w:sz w:val="24"/>
          <w:szCs w:val="24"/>
          <w:u w:val="single"/>
          <w:lang w:val="en-US" w:eastAsia="zh-CN"/>
        </w:rPr>
        <w:t xml:space="preserve">    </w:t>
      </w:r>
      <w:r>
        <w:rPr>
          <w:rFonts w:hint="eastAsia" w:asciiTheme="minorEastAsia" w:hAnsiTheme="minorEastAsia" w:eastAsiaTheme="minorEastAsia" w:cstheme="minorEastAsia"/>
          <w:color w:val="FF0000"/>
          <w:sz w:val="24"/>
          <w:szCs w:val="24"/>
          <w:lang w:eastAsia="zh-CN"/>
        </w:rPr>
        <w:t>小时，并在</w:t>
      </w:r>
      <w:r>
        <w:rPr>
          <w:rFonts w:hint="eastAsia" w:asciiTheme="minorEastAsia" w:hAnsiTheme="minorEastAsia" w:eastAsiaTheme="minorEastAsia" w:cstheme="minorEastAsia"/>
          <w:color w:val="FF0000"/>
          <w:sz w:val="24"/>
          <w:szCs w:val="24"/>
          <w:u w:val="single"/>
          <w:lang w:val="en-US" w:eastAsia="zh-CN"/>
        </w:rPr>
        <w:t xml:space="preserve">  </w:t>
      </w:r>
      <w:r>
        <w:rPr>
          <w:rFonts w:hint="eastAsia" w:asciiTheme="minorEastAsia" w:hAnsiTheme="minorEastAsia" w:eastAsiaTheme="minorEastAsia" w:cstheme="minorEastAsia"/>
          <w:color w:val="FF0000"/>
          <w:sz w:val="24"/>
          <w:szCs w:val="24"/>
          <w:u w:val="none"/>
          <w:lang w:val="en-US" w:eastAsia="zh-CN"/>
        </w:rPr>
        <w:t>小时内</w:t>
      </w:r>
      <w:r>
        <w:rPr>
          <w:rFonts w:hint="eastAsia" w:asciiTheme="minorEastAsia" w:hAnsiTheme="minorEastAsia" w:eastAsiaTheme="minorEastAsia" w:cstheme="minorEastAsia"/>
          <w:color w:val="FF0000"/>
          <w:sz w:val="24"/>
          <w:szCs w:val="24"/>
          <w:lang w:eastAsia="zh-CN"/>
        </w:rPr>
        <w:t>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Theme="minorEastAsia" w:hAnsiTheme="minorEastAsia" w:eastAsiaTheme="minorEastAsia" w:cstheme="minorEastAsia"/>
          <w:color w:val="FF0000"/>
          <w:sz w:val="24"/>
          <w:szCs w:val="24"/>
          <w:u w:val="single"/>
          <w:lang w:eastAsia="zh-CN"/>
        </w:rPr>
        <w:t xml:space="preserve">                     </w:t>
      </w:r>
      <w:r>
        <w:rPr>
          <w:rFonts w:hint="eastAsia" w:asciiTheme="minorEastAsia" w:hAnsiTheme="minorEastAsia" w:eastAsiaTheme="minorEastAsia" w:cstheme="minorEastAsia"/>
          <w:color w:val="FF0000"/>
          <w:sz w:val="24"/>
          <w:szCs w:val="24"/>
          <w:lang w:eastAsia="zh-CN"/>
        </w:rPr>
        <w:t>。质保期内乙方应每季度上门巡检不少于</w:t>
      </w:r>
      <w:r>
        <w:rPr>
          <w:rFonts w:hint="eastAsia" w:asciiTheme="minorEastAsia" w:hAnsiTheme="minorEastAsia" w:eastAsiaTheme="minorEastAsia" w:cstheme="minorEastAsia"/>
          <w:color w:val="FF0000"/>
          <w:sz w:val="24"/>
          <w:szCs w:val="24"/>
          <w:u w:val="single"/>
          <w:lang w:val="en-US" w:eastAsia="zh-CN"/>
        </w:rPr>
        <w:t xml:space="preserve">     </w:t>
      </w:r>
      <w:r>
        <w:rPr>
          <w:rFonts w:hint="eastAsia" w:asciiTheme="minorEastAsia" w:hAnsiTheme="minorEastAsia" w:eastAsiaTheme="minorEastAsia" w:cstheme="minorEastAsia"/>
          <w:color w:val="FF0000"/>
          <w:sz w:val="24"/>
          <w:szCs w:val="24"/>
          <w:lang w:eastAsia="zh-CN"/>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0D7D603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5.5 具体服务详见乙方投标文件中乙方的承诺书。</w:t>
      </w:r>
    </w:p>
    <w:p w14:paraId="777DB075">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6.验收方法及标准</w:t>
      </w:r>
    </w:p>
    <w:p w14:paraId="3C1C348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 开箱验收</w:t>
      </w:r>
    </w:p>
    <w:p w14:paraId="2A86882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6.1.1 产品运抵现场后，双方应及时开箱验收，并制作验收记录，以确认与本合同约定的数量、型号等是否一致。</w:t>
      </w:r>
    </w:p>
    <w:p w14:paraId="70CD770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6.1.2 乙方应在交货前对产品的质量、规格、数量等进行详细而全面的检验，并出具证明产品符合合同规定的文件。该文件将作为申请付款单据的一部分，但有关质量、规格、数量的检验不应视为最终检验。</w:t>
      </w:r>
    </w:p>
    <w:p w14:paraId="126231C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432F8D1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6.1.4 开箱验收中如发现产品的数量、规格与合同约定不符，甲方有权拒收产品，乙方应及时按甲方要求免费对拒收产品采取更换或其他必要的补救措施，直至开箱验收合格，方视为乙方完成交货。</w:t>
      </w:r>
    </w:p>
    <w:p w14:paraId="53BB4E8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 检验验收</w:t>
      </w:r>
    </w:p>
    <w:p w14:paraId="0C8E342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6.2.1 交货完成后，乙方应及时组装、调试、试运行，按照合同条款规定的试运行完成后，双方及时组织对产品进行检验验收。合同双方均须派人参加合同要求双方参加的试验、检验。</w:t>
      </w:r>
    </w:p>
    <w:p w14:paraId="456D66C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6.2.2 在具体实施合同规定的检验验收之前，乙方需提前提交相应的测试计划(包括测试程序、测试内容和检验标准、试验时间安排等)供甲方确认。注：本条甲乙双方协商。</w:t>
      </w:r>
    </w:p>
    <w:p w14:paraId="387A55C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6.2.3 除需甲方确认的试验验收外，乙方还应对所有检验验收测试的结果、步骤、原始数据等做妥善记录。如甲方要求，乙方应提供这些记录给甲方。</w:t>
      </w:r>
    </w:p>
    <w:p w14:paraId="3BFC2AA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6.2.4 检验测试出现全部或部分未达到本合同所约定的技术指标，甲方有权选择下列任一处理方式：</w:t>
      </w:r>
    </w:p>
    <w:p w14:paraId="7FD140B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a.重新测试直至合格为止；</w:t>
      </w:r>
    </w:p>
    <w:p w14:paraId="60186CB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b.要求乙方对货物进行免费更换，然后重新测试直至合格为止；无论选择何种方式，甲方因此而发生的、因乙方原因引起的所有费用均由乙方负担，并承担造成延迟交付的违约责任。</w:t>
      </w:r>
    </w:p>
    <w:p w14:paraId="3176905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 使用过程检验</w:t>
      </w:r>
    </w:p>
    <w:p w14:paraId="4725F6E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610D5A8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6.3.2 如果合同双方对乙方提供的上述试验结果报告的解释有分歧，双方须于出现分歧后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天内给对方声明，以陈述己方的观点。声明须附有关证据。分歧应通过协商解决。</w:t>
      </w:r>
    </w:p>
    <w:p w14:paraId="2DBEA91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6.4 所有验收合格，但不能免除乙方应该承担的质保责任。</w:t>
      </w:r>
    </w:p>
    <w:p w14:paraId="626FABD4">
      <w:pPr>
        <w:spacing w:beforeLines="50" w:afterLines="50" w:line="360" w:lineRule="exact"/>
        <w:ind w:firstLine="482" w:firstLineChars="200"/>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7.合同款项支付方式</w:t>
      </w:r>
    </w:p>
    <w:p w14:paraId="6F404264">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 履约保证金</w:t>
      </w:r>
    </w:p>
    <w:p w14:paraId="7A890110">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7.1.1 乙方应在收到中标(成交)通知书后、合同签订前</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5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个工作日内，向甲方提交合同总价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5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%的履约保证金（投标人可自主选择以银行转账、支票、汇票、本票或银行保函等非现金形式缴纳履约保证金，乙方应于提交前就所选缴纳方式的具体要求与甲方财务部门确认）。</w:t>
      </w:r>
    </w:p>
    <w:p w14:paraId="2E7245F4">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7.1.2 设备到货并由甲方验收合格后，采购人在收到供应商书面申请，经采购人确认供应商履行了合同约定的义务，无违约情形一次性予以无息退还。</w:t>
      </w:r>
    </w:p>
    <w:p w14:paraId="2C007662">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7.2 合同款支付</w:t>
      </w:r>
    </w:p>
    <w:p w14:paraId="36C6877A">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签订合同后，设备到达指定地点，安装调试完成并验收合格后，并完成甲方所有内部付款审批程序，甲方向乙方付款前，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达到付款条件起10个工作日内支付合同总价的100%。</w:t>
      </w:r>
    </w:p>
    <w:p w14:paraId="3D0E0AC0">
      <w:pPr>
        <w:spacing w:beforeLines="50" w:afterLines="50" w:line="360" w:lineRule="exact"/>
        <w:ind w:firstLine="482" w:firstLineChars="200"/>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8.安全生产和文明施工</w:t>
      </w:r>
    </w:p>
    <w:p w14:paraId="458F514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8.1 现场安全文明施工由乙方编制专项详细方案并严格执行。</w:t>
      </w:r>
    </w:p>
    <w:p w14:paraId="43A00FD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0039BBF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8.3 在设备安装施工全过程中，乙方应服从甲方的各项管理，并对乙方施工人员进行安全管理。</w:t>
      </w:r>
    </w:p>
    <w:p w14:paraId="553C22A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8.4 确保现场建筑物及相关设施设备完好无损，如施工过程中出现损坏，乙方负责修复赔偿。</w:t>
      </w:r>
    </w:p>
    <w:p w14:paraId="70EF8FD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8.5 乙方应对安装施工人员相关岗位上岗资格进行审查，并对相关后果负责。</w:t>
      </w:r>
    </w:p>
    <w:p w14:paraId="7A71FF16">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9.索赔</w:t>
      </w:r>
    </w:p>
    <w:p w14:paraId="4127ABA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3447CBA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 在验收合格前，乙方对甲方提出的索赔负有责任，乙方应按照甲方同意的下列一种或多种方式解决索赔事宜：</w:t>
      </w:r>
    </w:p>
    <w:p w14:paraId="4CE3C9F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9.2.1 在法定的退货期内，乙方应按合同规定将货款全额退还给甲方，并承担由此发生的一切损失和费用，包括利息、银行手续费、运费、保险费、检验费、仓储费、装卸费以及为保护退回货物所需的其他必要费用。如已超过退货期，但乙方同意退货，可比照上述办法办理，或由双方协商处理。</w:t>
      </w:r>
    </w:p>
    <w:p w14:paraId="1AAF67A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9.2.2 根据货物低劣程度、损坏程度以及甲方所遭受损失的数额，经甲乙双方商定降低货物的价格，或由有资质的中介机构评估，以降低后的价格或评估价格为准。</w:t>
      </w:r>
    </w:p>
    <w:p w14:paraId="51BEF4E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3A388C9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9.3 乙方收到甲方发出的索赔通知之日起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个工作日内未作答复的，甲方可从合同款或履约保证金中扣回索赔金额，如金额不足以补偿索赔金额，乙方应补足差额部分。</w:t>
      </w:r>
    </w:p>
    <w:p w14:paraId="156725A7">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10.违约责任</w:t>
      </w:r>
    </w:p>
    <w:p w14:paraId="3C3C7E7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10.1 合同生效后，甲乙双方应按合同规定认真全面履约。合同履约责任只涉及合同甲乙双方，不考虑第三方因素。</w:t>
      </w:r>
    </w:p>
    <w:p w14:paraId="3E9B869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6053C30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10.3 如乙方产品质量不符合国家标准、行业内控标准或本合同技术附件要求的，甲方有权退货，乙方应退还全部货款，并承担合同总价款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%的违约金及其他损失。</w:t>
      </w:r>
    </w:p>
    <w:p w14:paraId="2B84C84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10.4 在合同规定的供货期内乙方未全部交货，除应如数补齐外，还应承担合同总款的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%违约金。</w:t>
      </w:r>
    </w:p>
    <w:p w14:paraId="403E8FBC">
      <w:pPr>
        <w:spacing w:line="380" w:lineRule="exact"/>
        <w:ind w:firstLine="480" w:firstLineChars="200"/>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10.5 乙方对货物不按招标文件要求，擅自更换，除恢复原招标产品外，应承担更换部分价款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%的违约金；乙方如对产品材质、随机配品以次充好，除全部按要求恢复外，应承担此部分价款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w:t>
      </w:r>
    </w:p>
    <w:p w14:paraId="17D27F96">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10.6 除不可抗力因素外，乙方没有按照合同规定的时间交货，甲方可要求乙方支付违约金，违约金每日按合同总价款的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‰计收。</w:t>
      </w:r>
    </w:p>
    <w:p w14:paraId="63007FB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10.7 乙方</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对所供产品出现的问题推诿、拖延，</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24</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小时未作出服务响应和提供服务，甲方可要求乙方支付违约金，违约金每日按合同总价款的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auto"/>
          <w:sz w:val="24"/>
          <w:szCs w:val="24"/>
          <w:u w:val="single"/>
          <w:lang w:val="en-US" w:eastAsia="zh-CN"/>
        </w:rPr>
        <w:t>0.5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‰计收。否则，甲方有权拒绝乙方以后参加学校竞标。</w:t>
      </w:r>
    </w:p>
    <w:p w14:paraId="6429B6A4">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11.合同争议的解决</w:t>
      </w:r>
    </w:p>
    <w:p w14:paraId="1A151D2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11.1 甲乙双方由于本合同的履行而发生任何争议时，双方可先通过协商解决。</w:t>
      </w:r>
    </w:p>
    <w:p w14:paraId="574CE9C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11.2 任何一方不愿通过协商或通过协商仍不能解决争议，则双方中任何一方均应向甲方所在地人民法院起诉。</w:t>
      </w:r>
    </w:p>
    <w:p w14:paraId="27C63E8C">
      <w:pPr>
        <w:spacing w:line="380" w:lineRule="exact"/>
        <w:ind w:firstLine="482" w:firstLineChars="200"/>
        <w:rPr>
          <w:rFonts w:asciiTheme="minorEastAsia" w:hAnsiTheme="minorEastAsia" w:eastAsiaTheme="minorEastAsia" w:cstheme="minorEastAsia"/>
          <w:b/>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4"/>
          <w:szCs w:val="24"/>
          <w:lang w:eastAsia="zh-CN"/>
          <w14:textFill>
            <w14:solidFill>
              <w14:schemeClr w14:val="tx1"/>
            </w14:solidFill>
          </w14:textFill>
        </w:rPr>
        <w:t>12.违约解除合同</w:t>
      </w:r>
    </w:p>
    <w:p w14:paraId="40C110B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 出现下列情形之一的，视为乙方违约。甲方可向乙方发出书面通知，部分或全部终止合同，同时保留向乙方索赔及追究其违约责任的权利。</w:t>
      </w:r>
    </w:p>
    <w:p w14:paraId="25DA910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12.1.1 乙方未能在合同规定的限期或甲方同意延长的限期内，提供全部或部分货物的；</w:t>
      </w:r>
    </w:p>
    <w:p w14:paraId="66EB039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12.1.2 乙方未能履行合同规定的其他主要义务的；</w:t>
      </w:r>
    </w:p>
    <w:p w14:paraId="1173A71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12.1.3 乙方在本合同履行过程中有欺诈行为的。</w:t>
      </w:r>
    </w:p>
    <w:p w14:paraId="411F72E2">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12.2 甲方全部或部分解除合同之后，乙方应承担甲方再次购买类似货物或服务而产生的支出。部分解除合同的，乙方应继续履行合同中未解除的部分。</w:t>
      </w:r>
    </w:p>
    <w:p w14:paraId="2AD738C4">
      <w:pPr>
        <w:shd w:val="clear" w:color="auto" w:fill="auto"/>
        <w:spacing w:line="380" w:lineRule="exact"/>
        <w:ind w:firstLine="480" w:firstLineChars="200"/>
        <w:outlineLvl w:val="9"/>
        <w:rPr>
          <w:rFonts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w:t>
      </w:r>
      <w:bookmarkStart w:id="0" w:name="_Toc495505745"/>
      <w:bookmarkStart w:id="1" w:name="_Toc23280"/>
      <w:bookmarkStart w:id="2" w:name="_Toc14186"/>
      <w:bookmarkStart w:id="3" w:name="_Toc26328"/>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不可抗力</w:t>
      </w:r>
      <w:bookmarkEnd w:id="0"/>
      <w:bookmarkEnd w:id="1"/>
      <w:bookmarkEnd w:id="2"/>
      <w:bookmarkEnd w:id="3"/>
    </w:p>
    <w:p w14:paraId="31ADCDE7">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本合同项下的“不可抗力”是指不能预见，不能避免且不能克服的客观情况，使得本合同一方当事人无法履行合同义务，如战争、严重火灾、水灾、风灾和地震属于不可抗力的事故。</w:t>
      </w:r>
    </w:p>
    <w:p w14:paraId="4733FC6B">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13.2</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310C39A3">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如不可抗力事件延续120天以上的，各方通过协商达成在合理的时间内继续履行合同，或部分履行合同，或终止合同的履行。</w:t>
      </w:r>
    </w:p>
    <w:p w14:paraId="11FED19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一方迟延履行后发生不可抗力的，不能免除责任。</w:t>
      </w:r>
    </w:p>
    <w:p w14:paraId="29A14D46">
      <w:pPr>
        <w:spacing w:beforeLines="-2147483648" w:afterLines="-2147483648" w:line="380" w:lineRule="exact"/>
        <w:ind w:firstLine="480" w:firstLineChars="200"/>
        <w:rPr>
          <w:rFonts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14.其他事项</w:t>
      </w:r>
    </w:p>
    <w:p w14:paraId="503B2B2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14.1 合同经双方签字盖章后生效。本合同一式六份，甲方执五份，乙方执一份，执行完毕后自行失效。</w:t>
      </w:r>
    </w:p>
    <w:p w14:paraId="549C8FE2">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5C77E809">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a.合同附件（设备和软件的具体配置及技术参数，</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培训内容、标准和安排</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p>
    <w:p w14:paraId="78408930">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b.招标文件；</w:t>
      </w:r>
    </w:p>
    <w:p w14:paraId="21057B66">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c.投标文件；</w:t>
      </w:r>
    </w:p>
    <w:p w14:paraId="6873CABD">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d.进出口代理协议；</w:t>
      </w:r>
    </w:p>
    <w:p w14:paraId="16BBEDA3">
      <w:pPr>
        <w:spacing w:line="380" w:lineRule="exact"/>
        <w:ind w:firstLine="480" w:firstLineChars="200"/>
        <w:rPr>
          <w:rFonts w:hint="default"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d.中标通知书。</w:t>
      </w:r>
    </w:p>
    <w:p w14:paraId="5F86EABA">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14.3 通知和合同修改；在本合同执行过程中，一方给另一方的通知，都应以书面形式（信函、传真）发送至对方，对本合同条款进行任何改动或补充，均须由甲乙双方签署书面合同修改签证，方为有效。</w:t>
      </w:r>
    </w:p>
    <w:p w14:paraId="58AA553B">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bookmarkStart w:id="4" w:name="_Toc1081"/>
      <w:bookmarkStart w:id="5" w:name="_Toc11939"/>
      <w:bookmarkStart w:id="6" w:name="_Toc18101"/>
      <w:bookmarkStart w:id="7" w:name="_Toc495505746"/>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w:t>
      </w: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.4</w:t>
      </w:r>
      <w:bookmarkEnd w:id="4"/>
      <w:bookmarkEnd w:id="5"/>
      <w:bookmarkEnd w:id="6"/>
      <w:bookmarkEnd w:id="7"/>
      <w:r>
        <w:rPr>
          <w:rFonts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本合同未尽事宜由双方协商，另行订立补充协议，补充协议与本协议具有同样的法律效力。如果本合同之附件与本合同规定不符, 以本合同规定为准。</w:t>
      </w:r>
    </w:p>
    <w:p w14:paraId="3D88D5E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日（以邮戳为准）视为送达，即使发生拒收、退回等情形。电子邮件自进入收件方指定电子邮箱系统时视为送达（发送成功即视为进入，无论是否阅读）。若采用多种方式，以最早到达时间为准。任何一方变更地址，应提前</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个工作日书面通知对方；否则，原地址仍有效，依此发出的通知一经发出即视为送达，由此产生的后果由未通知方自行承担。</w:t>
      </w:r>
    </w:p>
    <w:p w14:paraId="5EC5C70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p>
    <w:p w14:paraId="30DDD26A">
      <w:pPr>
        <w:spacing w:beforeLines="50" w:afterLines="5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合同签订地点：陕西职业技术学院</w:t>
      </w:r>
    </w:p>
    <w:p w14:paraId="6658E995">
      <w:pPr>
        <w:spacing w:beforeLines="50" w:afterLines="5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合同签订时间：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日</w:t>
      </w:r>
    </w:p>
    <w:tbl>
      <w:tblPr>
        <w:tblStyle w:val="17"/>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690ECA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4DDA6F59">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甲方(盖章):陕西职业技术学院</w:t>
            </w:r>
          </w:p>
        </w:tc>
        <w:tc>
          <w:tcPr>
            <w:tcW w:w="4485" w:type="dxa"/>
            <w:vAlign w:val="center"/>
          </w:tcPr>
          <w:p w14:paraId="32A5D9F9">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乙方(盖章):</w:t>
            </w:r>
          </w:p>
        </w:tc>
      </w:tr>
      <w:tr w14:paraId="6475D7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5767AE87">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地址：西安市灞桥区狄寨路2028号</w:t>
            </w:r>
          </w:p>
        </w:tc>
        <w:tc>
          <w:tcPr>
            <w:tcW w:w="4485" w:type="dxa"/>
            <w:vAlign w:val="center"/>
          </w:tcPr>
          <w:p w14:paraId="570FE0F5">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地址：</w:t>
            </w:r>
          </w:p>
        </w:tc>
      </w:tr>
      <w:tr w14:paraId="2BB5A9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054B299C">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c>
          <w:tcPr>
            <w:tcW w:w="4485" w:type="dxa"/>
            <w:vAlign w:val="center"/>
          </w:tcPr>
          <w:p w14:paraId="5BF5A2E7">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r>
      <w:tr w14:paraId="64F1BC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74877B1F">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c>
          <w:tcPr>
            <w:tcW w:w="4485" w:type="dxa"/>
            <w:vAlign w:val="center"/>
          </w:tcPr>
          <w:p w14:paraId="164DDA84">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r>
      <w:tr w14:paraId="0D5574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2EAFFDE0">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c>
          <w:tcPr>
            <w:tcW w:w="4485" w:type="dxa"/>
            <w:vAlign w:val="center"/>
          </w:tcPr>
          <w:p w14:paraId="2AEF107E">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r>
      <w:tr w14:paraId="0936D4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32CAD266">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c>
          <w:tcPr>
            <w:tcW w:w="4485" w:type="dxa"/>
            <w:vAlign w:val="center"/>
          </w:tcPr>
          <w:p w14:paraId="44A25F27">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r>
      <w:tr w14:paraId="6A452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4C6F46BE">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c>
          <w:tcPr>
            <w:tcW w:w="4485" w:type="dxa"/>
            <w:vAlign w:val="center"/>
          </w:tcPr>
          <w:p w14:paraId="6BE0C033">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r>
    </w:tbl>
    <w:p w14:paraId="0A302A28">
      <w:pPr>
        <w:rPr>
          <w:rFonts w:hint="eastAsia" w:asciiTheme="minorEastAsia" w:hAnsiTheme="minorEastAsia" w:eastAsiaTheme="minorEastAsia" w:cstheme="minorEastAsia"/>
          <w:color w:val="000000" w:themeColor="text1"/>
          <w:lang w:eastAsia="zh-CN"/>
          <w14:textFill>
            <w14:solidFill>
              <w14:schemeClr w14:val="tx1"/>
            </w14:solidFill>
          </w14:textFill>
        </w:rPr>
      </w:pPr>
    </w:p>
    <w:p w14:paraId="2177EC93">
      <w:pPr>
        <w:pStyle w:val="13"/>
        <w:rPr>
          <w:rFonts w:hint="default"/>
        </w:rPr>
      </w:pPr>
    </w:p>
    <w:p w14:paraId="5135B3D2">
      <w:bookmarkStart w:id="8" w:name="_GoBack"/>
      <w:bookmarkEnd w:id="8"/>
    </w:p>
    <w:sectPr>
      <w:headerReference r:id="rId3" w:type="default"/>
      <w:footerReference r:id="rId4" w:type="default"/>
      <w:pgSz w:w="11906" w:h="16838"/>
      <w:pgMar w:top="1440" w:right="1797" w:bottom="1440" w:left="179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00" w:usb3="00000000" w:csb0="00040000" w:csb1="00000000"/>
  </w:font>
  <w:font w:name="Garamond">
    <w:altName w:val="PMingLiU-ExtB"/>
    <w:panose1 w:val="02020502050306020203"/>
    <w:charset w:val="00"/>
    <w:family w:val="roman"/>
    <w:pitch w:val="default"/>
    <w:sig w:usb0="00000000" w:usb1="00000000" w:usb2="00000000" w:usb3="00000000" w:csb0="00000093" w:csb1="00000000"/>
  </w:font>
  <w:font w:name="PMingLiU-ExtB">
    <w:panose1 w:val="02020500000000000000"/>
    <w:charset w:val="88"/>
    <w:family w:val="auto"/>
    <w:pitch w:val="default"/>
    <w:sig w:usb0="8000002F" w:usb1="02000008" w:usb2="00000000" w:usb3="00000000" w:csb0="00100001" w:csb1="00000000"/>
  </w:font>
  <w:font w:name="KSOF439EEF50">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方正公文小标宋">
    <w:altName w:val="宋体"/>
    <w:panose1 w:val="00000000000000000000"/>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DBD23">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0855E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- 3 -</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90855E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- 3 -</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6716C">
    <w:pPr>
      <w:pStyle w:val="7"/>
      <w:pBdr>
        <w:bottom w:val="single" w:color="auto" w:sz="6" w:space="2"/>
      </w:pBdr>
      <w:jc w:val="left"/>
      <w:rPr>
        <w:rFonts w:hint="eastAsia"/>
        <w:color w:val="FF0000"/>
      </w:rPr>
    </w:pPr>
    <w:r>
      <w:rPr>
        <w:rFonts w:hint="eastAsia"/>
        <w:color w:val="FF0000"/>
      </w:rPr>
      <w:t xml:space="preserve">  </w:t>
    </w:r>
    <w:r>
      <w:rPr>
        <w:color w:val="FF0000"/>
      </w:rPr>
      <w:t xml:space="preserve"> </w:t>
    </w:r>
    <w:r>
      <w:rPr>
        <w:rFonts w:hint="eastAsia"/>
        <w:color w:val="FF000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B044A14"/>
    <w:rsid w:val="271A31B8"/>
    <w:rsid w:val="46A32A9E"/>
    <w:rsid w:val="47C2344D"/>
    <w:rsid w:val="519B5A52"/>
    <w:rsid w:val="636869CC"/>
    <w:rsid w:val="6C152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unhideWhenUsed/>
    <w:qFormat/>
    <w:uiPriority w:val="99"/>
    <w:pPr>
      <w:jc w:val="left"/>
    </w:pPr>
    <w:rPr>
      <w:rFonts w:ascii="Arial" w:hAnsi="Arial" w:eastAsia="黑体"/>
      <w:b/>
      <w:sz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9">
    <w:name w:val="Body Text First Indent"/>
    <w:basedOn w:val="4"/>
    <w:next w:val="1"/>
    <w:qFormat/>
    <w:uiPriority w:val="99"/>
    <w:pPr>
      <w:spacing w:beforeLines="50" w:afterLines="50" w:line="360" w:lineRule="auto"/>
      <w:ind w:firstLine="200" w:firstLineChars="200"/>
    </w:pPr>
    <w:rPr>
      <w:color w:val="auto"/>
      <w:kern w:val="0"/>
      <w:sz w:val="30"/>
      <w:szCs w:val="20"/>
    </w:rPr>
  </w:style>
  <w:style w:type="table" w:styleId="11">
    <w:name w:val="Table Grid"/>
    <w:basedOn w:val="10"/>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15">
    <w:name w:val="列出段落2"/>
    <w:basedOn w:val="1"/>
    <w:qFormat/>
    <w:uiPriority w:val="0"/>
    <w:pPr>
      <w:spacing w:line="240" w:lineRule="auto"/>
      <w:ind w:firstLine="420" w:firstLineChars="200"/>
    </w:pPr>
  </w:style>
  <w:style w:type="paragraph" w:styleId="16">
    <w:name w:val="List Paragraph"/>
    <w:basedOn w:val="1"/>
    <w:qFormat/>
    <w:uiPriority w:val="34"/>
    <w:pPr>
      <w:ind w:firstLine="420" w:firstLineChars="200"/>
    </w:pPr>
  </w:style>
  <w:style w:type="table" w:customStyle="1" w:styleId="17">
    <w:name w:val="Table Normal"/>
    <w:semiHidden/>
    <w:unhideWhenUsed/>
    <w:qFormat/>
    <w:uiPriority w:val="0"/>
    <w:rPr>
      <w:rFonts w:ascii="Arial" w:hAnsi="Arial" w:cs="Arial"/>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3616</Words>
  <Characters>3686</Characters>
  <Lines>0</Lines>
  <Paragraphs>0</Paragraphs>
  <TotalTime>0</TotalTime>
  <ScaleCrop>false</ScaleCrop>
  <LinksUpToDate>false</LinksUpToDate>
  <CharactersWithSpaces>3823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2024-09-10T03:01:00Z</dcterms:created>
  <dc:creator>Administrator</dc:creator>
  <cp:lastModifiedBy>国创招标</cp:lastModifiedBy>
  <dcterms:modified xsi:type="dcterms:W3CDTF">2026-07-21T11:11:02Z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25B0ED1896A1426882AFAC9C21B5A880_12</vt:lpwstr>
  </property>
  <property fmtid="{D5CDD505-2E9C-101B-9397-08002B2CF9AE}" pid="4" name="KSOTemplateDocerSaveRecord">
    <vt:lpwstr>eyJoZGlkIjoiNzFmZTUzNTgxYzEzYTRhMWM4ODc2MTE5ZjVmNzIzNDEiLCJ1c2VySWQiOiIxMTQ2NDU0OTA0In0=</vt:lpwstr>
  </property>
</Properties>
</file>