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版本号：JJX-2026-021.1B120260528001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2026年度“戏曲进乡村”惠民演出服务采购项目(二次)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JJX-2026-021.1B1</w:t>
      </w:r>
      <w:r>
        <w:br/>
      </w:r>
      <w:r>
        <w:br/>
      </w:r>
      <w:r>
        <w:br/>
      </w:r>
    </w:p>
    <w:p>
      <w:pPr>
        <w:pStyle w:val="null3"/>
        <w:jc w:val="center"/>
        <w:outlineLvl w:val="2"/>
      </w:pPr>
      <w:r>
        <w:rPr>
          <w:rFonts w:ascii="仿宋_GB2312" w:hAnsi="仿宋_GB2312" w:cs="仿宋_GB2312" w:eastAsia="仿宋_GB2312"/>
          <w:sz w:val="28"/>
          <w:b/>
        </w:rPr>
        <w:t>渭南市临渭区文化和旅游局</w:t>
      </w:r>
    </w:p>
    <w:p>
      <w:pPr>
        <w:pStyle w:val="null3"/>
        <w:jc w:val="center"/>
        <w:outlineLvl w:val="2"/>
      </w:pPr>
      <w:r>
        <w:rPr>
          <w:rFonts w:ascii="仿宋_GB2312" w:hAnsi="仿宋_GB2312" w:cs="仿宋_GB2312" w:eastAsia="仿宋_GB2312"/>
          <w:sz w:val="28"/>
          <w:b/>
        </w:rPr>
        <w:t>陕西金吉翔项目管理有限公司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陕西金吉翔项目管理有限公司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渭南市临渭区文化和旅游局</w:t>
      </w:r>
      <w:r>
        <w:rPr>
          <w:rFonts w:ascii="仿宋_GB2312" w:hAnsi="仿宋_GB2312" w:cs="仿宋_GB2312" w:eastAsia="仿宋_GB2312"/>
        </w:rPr>
        <w:t>委托，拟对</w:t>
      </w:r>
      <w:r>
        <w:rPr>
          <w:rFonts w:ascii="仿宋_GB2312" w:hAnsi="仿宋_GB2312" w:cs="仿宋_GB2312" w:eastAsia="仿宋_GB2312"/>
        </w:rPr>
        <w:t>2026年度“戏曲进乡村”惠民演出服务采购项目(二次)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JJX-2026-021.1B1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2026年度“戏曲进乡村”惠民演出服务采购项目(二次)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2026年度“戏曲进乡村”惠民演出服务采购项目，详见磋商文件采购内容。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采购包1（2026年度“戏曲进乡村”惠民演出服务采购项目）：属于专门面向中小企业采购。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1、法人证明或法人授权委托书：法定代表人资格证明或法定代表人授权委托书原件、授权代表身份证复印件。</w:t>
      </w:r>
    </w:p>
    <w:p>
      <w:pPr>
        <w:pStyle w:val="null3"/>
      </w:pPr>
      <w:r>
        <w:rPr>
          <w:rFonts w:ascii="仿宋_GB2312" w:hAnsi="仿宋_GB2312" w:cs="仿宋_GB2312" w:eastAsia="仿宋_GB2312"/>
        </w:rPr>
        <w:t>2、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3、供应商资质：须具备文化主管部门颁发的有效期内的《营业性演出许可证》。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渭南市临渭区民主南路22号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陈睿智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0913-3109935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陕西金吉翔项目管理有限公司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渭南市临渭区玉德路豪庭佳苑南门东临四层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0913-2529777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国家计委关于印发《招标代理服务收费管理暂行办法》的通知（计价格〔2002〕1980号）以成交价为基数，按照服务类费率收取代理服务费。由成交供应商在成交结果发布后一次性向采购代理机构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渭南市临渭区文化和旅游局</w:t>
      </w:r>
      <w:r>
        <w:rPr>
          <w:rFonts w:ascii="仿宋_GB2312" w:hAnsi="仿宋_GB2312" w:cs="仿宋_GB2312" w:eastAsia="仿宋_GB2312"/>
        </w:rPr>
        <w:t>和</w:t>
      </w:r>
      <w:r>
        <w:rPr>
          <w:rFonts w:ascii="仿宋_GB2312" w:hAnsi="仿宋_GB2312" w:cs="仿宋_GB2312" w:eastAsia="仿宋_GB2312"/>
        </w:rPr>
        <w:t>陕西金吉翔项目管理有限公司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陕西金吉翔项目管理有限公司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陕西金吉翔项目管理有限公司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陕西金吉翔项目管理有限公司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联系人：郭晨</w:t>
      </w:r>
    </w:p>
    <w:p>
      <w:pPr>
        <w:pStyle w:val="null3"/>
      </w:pPr>
      <w:r>
        <w:rPr>
          <w:rFonts w:ascii="仿宋_GB2312" w:hAnsi="仿宋_GB2312" w:cs="仿宋_GB2312" w:eastAsia="仿宋_GB2312"/>
        </w:rPr>
        <w:t>联系电话：0913-2529777</w:t>
      </w:r>
    </w:p>
    <w:p>
      <w:pPr>
        <w:pStyle w:val="null3"/>
      </w:pPr>
      <w:r>
        <w:rPr>
          <w:rFonts w:ascii="仿宋_GB2312" w:hAnsi="仿宋_GB2312" w:cs="仿宋_GB2312" w:eastAsia="仿宋_GB2312"/>
        </w:rPr>
        <w:t>地址：渭南市临渭区玉德路豪庭佳苑南门东临四层</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2026年度“戏曲进乡村”惠民演出服务采购项目，详见磋商文件采购内容。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惠民演出服务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标的名称：惠民演出服务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4"/>
                <w:b/>
              </w:rPr>
              <w:t>一、服务内容</w:t>
            </w:r>
          </w:p>
          <w:p>
            <w:pPr>
              <w:pStyle w:val="null3"/>
              <w:ind w:firstLine="400"/>
              <w:jc w:val="both"/>
            </w:pPr>
            <w:r>
              <w:rPr>
                <w:rFonts w:ascii="仿宋_GB2312" w:hAnsi="仿宋_GB2312" w:cs="仿宋_GB2312" w:eastAsia="仿宋_GB2312"/>
                <w:sz w:val="24"/>
              </w:rPr>
              <w:t>本项目拟对渭南市临渭区</w:t>
            </w:r>
            <w:r>
              <w:rPr>
                <w:rFonts w:ascii="仿宋_GB2312" w:hAnsi="仿宋_GB2312" w:cs="仿宋_GB2312" w:eastAsia="仿宋_GB2312"/>
                <w:sz w:val="24"/>
              </w:rPr>
              <w:t>6个街道办及14个街镇开展戏曲进乡村演出活动，演出节目为优秀舞台戏曲剧目、本戏（传统戏、现代戏）、综合节目。</w:t>
            </w:r>
          </w:p>
          <w:p>
            <w:pPr>
              <w:pStyle w:val="null3"/>
              <w:ind w:firstLine="400"/>
              <w:jc w:val="both"/>
            </w:pPr>
            <w:r>
              <w:rPr>
                <w:rFonts w:ascii="仿宋_GB2312" w:hAnsi="仿宋_GB2312" w:cs="仿宋_GB2312" w:eastAsia="仿宋_GB2312"/>
                <w:sz w:val="24"/>
                <w:b/>
              </w:rPr>
              <w:t>二、服务具体要求</w:t>
            </w:r>
          </w:p>
          <w:p>
            <w:pPr>
              <w:pStyle w:val="null3"/>
              <w:ind w:firstLine="400"/>
              <w:jc w:val="both"/>
            </w:pPr>
            <w:r>
              <w:rPr>
                <w:rFonts w:ascii="仿宋_GB2312" w:hAnsi="仿宋_GB2312" w:cs="仿宋_GB2312" w:eastAsia="仿宋_GB2312"/>
                <w:sz w:val="24"/>
              </w:rPr>
              <w:t>1.演出戏曲剧本要求</w:t>
            </w:r>
          </w:p>
          <w:p>
            <w:pPr>
              <w:pStyle w:val="null3"/>
              <w:ind w:firstLine="400"/>
              <w:jc w:val="both"/>
            </w:pPr>
            <w:r>
              <w:rPr>
                <w:rFonts w:ascii="仿宋_GB2312" w:hAnsi="仿宋_GB2312" w:cs="仿宋_GB2312" w:eastAsia="仿宋_GB2312"/>
                <w:sz w:val="24"/>
              </w:rPr>
              <w:t>坚持保本微利的原则，根据演出阵容、演出单位舞台设备水平、剧目获奖情况、社会影响力等因素，最终以演出单位整体实力和剧目的社会效果确定演出团体的类别。</w:t>
            </w:r>
          </w:p>
          <w:p>
            <w:pPr>
              <w:pStyle w:val="null3"/>
              <w:ind w:firstLine="400"/>
              <w:jc w:val="both"/>
            </w:pPr>
            <w:r>
              <w:rPr>
                <w:rFonts w:ascii="仿宋_GB2312" w:hAnsi="仿宋_GB2312" w:cs="仿宋_GB2312" w:eastAsia="仿宋_GB2312"/>
                <w:sz w:val="24"/>
              </w:rPr>
              <w:t>演出戏曲包括：优秀舞台戏曲剧目、本戏（传统戏、现代戏）、综合节目。</w:t>
            </w:r>
          </w:p>
          <w:p>
            <w:pPr>
              <w:pStyle w:val="null3"/>
              <w:ind w:firstLine="400"/>
              <w:jc w:val="both"/>
            </w:pPr>
            <w:r>
              <w:rPr>
                <w:rFonts w:ascii="仿宋_GB2312" w:hAnsi="仿宋_GB2312" w:cs="仿宋_GB2312" w:eastAsia="仿宋_GB2312"/>
                <w:sz w:val="24"/>
              </w:rPr>
              <w:t>优秀剧目指：我市各类文艺院团创作排练的反映时代精神、弘扬社会主义核心价值观、以爱国主义、红色革命文化、乡村振兴等为主题并获得国家、省、市奖项的剧目。</w:t>
            </w:r>
          </w:p>
          <w:p>
            <w:pPr>
              <w:pStyle w:val="null3"/>
              <w:ind w:firstLine="400"/>
              <w:jc w:val="both"/>
            </w:pPr>
            <w:r>
              <w:rPr>
                <w:rFonts w:ascii="仿宋_GB2312" w:hAnsi="仿宋_GB2312" w:cs="仿宋_GB2312" w:eastAsia="仿宋_GB2312"/>
                <w:sz w:val="24"/>
              </w:rPr>
              <w:t>2.演出场次要求</w:t>
            </w:r>
          </w:p>
          <w:p>
            <w:pPr>
              <w:pStyle w:val="null3"/>
              <w:ind w:firstLine="400"/>
              <w:jc w:val="both"/>
            </w:pPr>
            <w:r>
              <w:rPr>
                <w:rFonts w:ascii="仿宋_GB2312" w:hAnsi="仿宋_GB2312" w:cs="仿宋_GB2312" w:eastAsia="仿宋_GB2312"/>
                <w:sz w:val="24"/>
              </w:rPr>
              <w:t>该项目共演出</w:t>
            </w:r>
            <w:r>
              <w:rPr>
                <w:rFonts w:ascii="仿宋_GB2312" w:hAnsi="仿宋_GB2312" w:cs="仿宋_GB2312" w:eastAsia="仿宋_GB2312"/>
                <w:sz w:val="24"/>
              </w:rPr>
              <w:t>120场次，每个街镇（街道办不少于）6场，每场演出时间不低于90分钟。</w:t>
            </w:r>
          </w:p>
          <w:p>
            <w:pPr>
              <w:pStyle w:val="null3"/>
              <w:ind w:firstLine="400"/>
              <w:jc w:val="both"/>
            </w:pPr>
            <w:r>
              <w:rPr>
                <w:rFonts w:ascii="仿宋_GB2312" w:hAnsi="仿宋_GB2312" w:cs="仿宋_GB2312" w:eastAsia="仿宋_GB2312"/>
                <w:sz w:val="24"/>
              </w:rPr>
              <w:t>3.演出时间及形式要求</w:t>
            </w:r>
          </w:p>
          <w:p>
            <w:pPr>
              <w:pStyle w:val="null3"/>
              <w:ind w:firstLine="400"/>
              <w:jc w:val="both"/>
            </w:pPr>
            <w:r>
              <w:rPr>
                <w:rFonts w:ascii="仿宋_GB2312" w:hAnsi="仿宋_GB2312" w:cs="仿宋_GB2312" w:eastAsia="仿宋_GB2312"/>
                <w:sz w:val="24"/>
              </w:rPr>
              <w:t>根据全市基层公益性演出活动的整体安排和农民的观赏习惯，演出时间错开农忙时节，一般安排在重要传统节日、节假日和重大节庆活动期间，组织戏曲艺术表演团体进乡村演出。村落密集的县</w:t>
            </w:r>
            <w:r>
              <w:rPr>
                <w:rFonts w:ascii="仿宋_GB2312" w:hAnsi="仿宋_GB2312" w:cs="仿宋_GB2312" w:eastAsia="仿宋_GB2312"/>
                <w:sz w:val="24"/>
              </w:rPr>
              <w:t>(市、区)鼓励联村演出；偏远分散的小型村落，可采取小分队的形式灵活安排。要优先向贫困村开展送戏进乡村服务，确保群众免费观赏戏曲演出。演出过程中要利用电子屏或悬挂横幅的方式进行宣传，活动名称统一为：2026年陕西省渭南市XX县（市、区）戏曲进乡村（社区）惠民演出（红底白字，字体为黑色）。</w:t>
            </w:r>
          </w:p>
          <w:p>
            <w:pPr>
              <w:pStyle w:val="null3"/>
              <w:ind w:firstLine="400"/>
              <w:jc w:val="both"/>
            </w:pPr>
            <w:r>
              <w:rPr>
                <w:rFonts w:ascii="仿宋_GB2312" w:hAnsi="仿宋_GB2312" w:cs="仿宋_GB2312" w:eastAsia="仿宋_GB2312"/>
                <w:sz w:val="24"/>
              </w:rPr>
              <w:t>4.演出地点</w:t>
            </w:r>
          </w:p>
          <w:p>
            <w:pPr>
              <w:pStyle w:val="null3"/>
              <w:ind w:firstLine="400"/>
              <w:jc w:val="both"/>
            </w:pPr>
            <w:r>
              <w:rPr>
                <w:rFonts w:ascii="仿宋_GB2312" w:hAnsi="仿宋_GB2312" w:cs="仿宋_GB2312" w:eastAsia="仿宋_GB2312"/>
                <w:sz w:val="24"/>
              </w:rPr>
              <w:t>本项目演出地点为</w:t>
            </w:r>
            <w:r>
              <w:rPr>
                <w:rFonts w:ascii="仿宋_GB2312" w:hAnsi="仿宋_GB2312" w:cs="仿宋_GB2312" w:eastAsia="仿宋_GB2312"/>
                <w:sz w:val="24"/>
              </w:rPr>
              <w:t>6个街道办及14个街镇</w:t>
            </w:r>
          </w:p>
          <w:p>
            <w:pPr>
              <w:pStyle w:val="null3"/>
              <w:ind w:firstLine="400"/>
              <w:jc w:val="both"/>
            </w:pPr>
            <w:r>
              <w:rPr>
                <w:rFonts w:ascii="仿宋_GB2312" w:hAnsi="仿宋_GB2312" w:cs="仿宋_GB2312" w:eastAsia="仿宋_GB2312"/>
                <w:sz w:val="24"/>
              </w:rPr>
              <w:t>6个街道办：向阳街道办、杜桥街道办、人民街道办、解放街道办、站南街道办、双王街道办。</w:t>
            </w:r>
          </w:p>
          <w:p>
            <w:pPr>
              <w:pStyle w:val="null3"/>
              <w:ind w:firstLine="400"/>
              <w:jc w:val="both"/>
            </w:pPr>
            <w:r>
              <w:rPr>
                <w:rFonts w:ascii="仿宋_GB2312" w:hAnsi="仿宋_GB2312" w:cs="仿宋_GB2312" w:eastAsia="仿宋_GB2312"/>
                <w:sz w:val="24"/>
              </w:rPr>
              <w:t>14个街镇：临渭区蔺店镇、官路镇、下邦镇、官底镇、故市镇、崇凝镇、阎村镇、丰原镇、三张镇、阳郭镇、交斜镇、孝义镇、桥南镇、官道镇。</w:t>
            </w:r>
          </w:p>
          <w:p>
            <w:pPr>
              <w:pStyle w:val="null3"/>
              <w:ind w:firstLine="400"/>
              <w:jc w:val="both"/>
            </w:pPr>
            <w:r>
              <w:rPr>
                <w:rFonts w:ascii="仿宋_GB2312" w:hAnsi="仿宋_GB2312" w:cs="仿宋_GB2312" w:eastAsia="仿宋_GB2312"/>
                <w:sz w:val="24"/>
                <w:b/>
              </w:rPr>
              <w:t>三、服务质量要求</w:t>
            </w:r>
          </w:p>
          <w:p>
            <w:pPr>
              <w:pStyle w:val="null3"/>
              <w:ind w:firstLine="400"/>
              <w:jc w:val="both"/>
            </w:pPr>
            <w:r>
              <w:rPr>
                <w:rFonts w:ascii="仿宋_GB2312" w:hAnsi="仿宋_GB2312" w:cs="仿宋_GB2312" w:eastAsia="仿宋_GB2312"/>
                <w:sz w:val="24"/>
              </w:rPr>
              <w:t>1.区文化和旅游局将对戏曲进乡村演出进行常态化抽查，如发现有不服从演出安排，进行演出转包、降低质量、弄虚作假等现象，演出单位将被纳入“黑名单”，并向社会公布，限制其三年内不得参与演出服务。</w:t>
            </w:r>
          </w:p>
          <w:p>
            <w:pPr>
              <w:pStyle w:val="null3"/>
              <w:ind w:firstLine="400"/>
              <w:jc w:val="both"/>
            </w:pPr>
            <w:r>
              <w:rPr>
                <w:rFonts w:ascii="仿宋_GB2312" w:hAnsi="仿宋_GB2312" w:cs="仿宋_GB2312" w:eastAsia="仿宋_GB2312"/>
                <w:sz w:val="24"/>
              </w:rPr>
              <w:t>2.剧目质量：供应商需提供申报剧（节）目的上级文化和旅游部门审核意见，确保申报剧（节）目有精神高度、文化内涵和艺术价值。</w:t>
            </w:r>
          </w:p>
          <w:p>
            <w:pPr>
              <w:pStyle w:val="null3"/>
              <w:ind w:firstLine="400"/>
              <w:jc w:val="both"/>
            </w:pPr>
            <w:r>
              <w:rPr>
                <w:rFonts w:ascii="仿宋_GB2312" w:hAnsi="仿宋_GB2312" w:cs="仿宋_GB2312" w:eastAsia="仿宋_GB2312"/>
                <w:sz w:val="24"/>
              </w:rPr>
              <w:t>3.演出团体按合同规定进行演出，每场演出须按省厅要求实时上传秦岭视云APP平台。演出结束后，逐场建立《送戏下乡工作日志》（日志需用文字、照片等翔实记录每场演出的时间、地点、节目、观众等基本情况），《陕西省“戏曲进乡村”惠民演出回执单》，《陕西省“戏曲进乡村”惠民演出满意度调查表》进行申报。区文旅局将通过实地观看、走访群众、查验记录等方式，不定期对演出情况进行抽查确认。</w:t>
            </w:r>
          </w:p>
          <w:p>
            <w:pPr>
              <w:pStyle w:val="null3"/>
              <w:ind w:firstLine="400"/>
              <w:jc w:val="both"/>
            </w:pPr>
            <w:r>
              <w:rPr>
                <w:rFonts w:ascii="仿宋_GB2312" w:hAnsi="仿宋_GB2312" w:cs="仿宋_GB2312" w:eastAsia="仿宋_GB2312"/>
                <w:sz w:val="24"/>
                <w:b/>
              </w:rPr>
              <w:t>四、活动实施保障要求</w:t>
            </w:r>
          </w:p>
          <w:p>
            <w:pPr>
              <w:pStyle w:val="null3"/>
              <w:ind w:firstLine="400"/>
              <w:jc w:val="both"/>
            </w:pPr>
            <w:r>
              <w:rPr>
                <w:rFonts w:ascii="仿宋_GB2312" w:hAnsi="仿宋_GB2312" w:cs="仿宋_GB2312" w:eastAsia="仿宋_GB2312"/>
                <w:sz w:val="24"/>
              </w:rPr>
              <w:t>1.供应商在活动演出过程中，需要确保活动安全，确保活动顺利实施和观众安全参演。</w:t>
            </w:r>
          </w:p>
          <w:p>
            <w:pPr>
              <w:pStyle w:val="null3"/>
              <w:ind w:firstLine="400"/>
              <w:jc w:val="both"/>
            </w:pPr>
            <w:r>
              <w:rPr>
                <w:rFonts w:ascii="仿宋_GB2312" w:hAnsi="仿宋_GB2312" w:cs="仿宋_GB2312" w:eastAsia="仿宋_GB2312"/>
                <w:sz w:val="24"/>
              </w:rPr>
              <w:t>2.丰富演出形式。依托“秦岭视云”APP，扎实做好“戏曲进乡村”演出直录播工作，不定期向群众宣传介绍，提高群众知晓率和参与度。</w:t>
            </w:r>
          </w:p>
          <w:p>
            <w:pPr>
              <w:pStyle w:val="null3"/>
              <w:ind w:firstLine="400"/>
              <w:jc w:val="both"/>
            </w:pPr>
            <w:r>
              <w:rPr>
                <w:rFonts w:ascii="仿宋_GB2312" w:hAnsi="仿宋_GB2312" w:cs="仿宋_GB2312" w:eastAsia="仿宋_GB2312"/>
                <w:sz w:val="24"/>
                <w:b/>
              </w:rPr>
              <w:t>五、成果形式及内容</w:t>
            </w:r>
          </w:p>
          <w:p>
            <w:pPr>
              <w:pStyle w:val="null3"/>
              <w:ind w:firstLine="400"/>
              <w:jc w:val="both"/>
            </w:pPr>
            <w:r>
              <w:rPr>
                <w:rFonts w:ascii="仿宋_GB2312" w:hAnsi="仿宋_GB2312" w:cs="仿宋_GB2312" w:eastAsia="仿宋_GB2312"/>
                <w:sz w:val="24"/>
              </w:rPr>
              <w:t>根据采购人要求的时间以及形式撰写</w:t>
            </w:r>
            <w:r>
              <w:rPr>
                <w:rFonts w:ascii="仿宋_GB2312" w:hAnsi="仿宋_GB2312" w:cs="仿宋_GB2312" w:eastAsia="仿宋_GB2312"/>
                <w:sz w:val="24"/>
              </w:rPr>
              <w:t>2026年度“戏曲进乡村”惠民演出服务总结报告，全面反映活动策划、组织、实施、宣传的工作内容、演出档案、经验总结及优秀成果。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供应商应组建专业的服务团队，负责对项目实施过程的控制及管理，明确项目负责人及技术人员。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合同签订之日起至2026年11月30日完成服务内容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符合磋商文件要求。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预付款，根据项目进度向供应商拨付服务费。采购人根据供应商活动演出分阶段支付服务费，供应商签订合同后，达到付款条件起10个工作日内，支付合同总金额的50.0%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进度款，供应商完成60场次演出活动，采购人向供应商支付剩余50%服务费。采购人可以向供应商增加服务内容，但费用不再增加。(无息)，达到付款条件起10个工作日内，支付合同总金额的50.0%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合同生效后，甲、乙双方须严格执行本合同条款的规定，全面履行合同，违者按《中华人民共和国民法典》的有关规定承担相应责任。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1.最高限价：人民币陆拾万元整（¥600000.00 元） 说明：为贯彻落实《关于支持戏曲传承发展的若干政策》有关精神，充分发挥戏曲在传承中华优秀传统文化、丰富群众精神文化生活、提升基层公共文化服务水平中的积极作用，本项目为政府补贴项目，采用固定总价格采购，采购人最终结算价格为本项目最高限价。供应商报价超过最高限价为无效报价。 2.本项目服务场次为120场，每场演出时间不低于90分钟，演出总时长不低于10800分钟，每分钟约55.5元。供应商根据自身情况对每场次时长进行响应；对每分钟演出进行价格报价。 说明：若供应商每场演出时长低于90分钟，为无效磋商。 3.成交供应商在结果公示结束后，需提供系统签章后的磋商响应文件，双面打印两套，封皮加盖单位鲜章，送至采购代理机构。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具有独立承担民事责任能力的法人，并出具合法有效的营业执照；2、提供2025年5月1日至磋商截止日任意一个月的纳税证明或完税证明（任意税种），凭据应有税务机关或代收机关的公章或业务专用章。依法免税或无须缴纳税收的单位，以及无实际缴税记录但依法申报的单位，可提供主管税务机关出具的无欠税证明等相关证明材料；3、提供2025年5月1日至磋商截止日任意一个月的社会保障资金缴存单据或社保机构开具的社会保险参保缴费情况证明，依法不需要缴纳社会保障资金的单位应提供相关证明材料；4、具备履行合同所必需的设备和专业技术能力的证明材料：提供承诺书；5、提供参加政府采购活动前三年内在经营活动中没有重大违法记录的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报告（含附表附注），（成立时间至磋商时间不足一年的可提供成立后任意时段的资产负债表）或磋商前半年内至今基本账户银行出具的资信证明（附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法定代表人资格证明或法定代表人授权委托书原件、授权代表身份证复印件。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须具备文化主管部门颁发的有效期内的《营业性演出许可证》。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2.供应商通过项目电子化交易系统在磋商小组要求的合理时间内提交说明，否则无效。3.异常低价判断依据：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供应商名称和公章、营业执照、资质证书的相关资料一致。</w:t>
            </w:r>
          </w:p>
        </w:tc>
        <w:tc>
          <w:tcPr>
            <w:tcW w:type="dxa" w:w="1661"/>
          </w:tcPr>
          <w:p>
            <w:pPr>
              <w:pStyle w:val="null3"/>
            </w:pPr>
            <w:r>
              <w:rPr>
                <w:rFonts w:ascii="仿宋_GB2312" w:hAnsi="仿宋_GB2312" w:cs="仿宋_GB2312" w:eastAsia="仿宋_GB2312"/>
              </w:rPr>
              <w:t>响应文件封面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符合磋商文件规定签署盖章要求。</w:t>
            </w:r>
          </w:p>
        </w:tc>
        <w:tc>
          <w:tcPr>
            <w:tcW w:type="dxa" w:w="1661"/>
          </w:tcPr>
          <w:p>
            <w:pPr>
              <w:pStyle w:val="null3"/>
            </w:pPr>
            <w:r>
              <w:rPr>
                <w:rFonts w:ascii="仿宋_GB2312" w:hAnsi="仿宋_GB2312" w:cs="仿宋_GB2312" w:eastAsia="仿宋_GB2312"/>
              </w:rPr>
              <w:t>演出剧目.docx 中小企业声明函 企业业绩.docx 商务要求响应表.docx 报价表 响应文件封面 分项报价表.docx 供应商应提交的相关资格证明材料.docx 残疾人福利性单位声明函 标的清单 响应函 服务方案.docx 监狱企业的证明文件 项目人员配置.docx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唯一报价，并未超出最高限价。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分项报价表.docx 商务要求响应表.docx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合同签订之日起至2026年11月30日完成服务内容。</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对磋商文件的响应程度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商务要求响应表.docx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针对本项目提供具体可行的服务方案，包括但不限于：①服务工作程序；②服务标准；③节目策划及演出方案；④舞台搭建安装及拆除方案；⑤演出现场管控及秩序维护方案等。二、评审标准： 根据完整性：内容必须全面，对评审内容中的各项要求有详细描述；可实施性：切合本项目实际情况，提出清晰、合理的内容；针对性：内容能够紧扣项目实际情况，内容科学合理提供相应方案，以上5项，内容无缺项、无漏项且无缺陷的得25分，其中每有一项内容存在缺项或漏项的扣5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一、评审内容： 针对本项目提供具体可行的项目管理方案，包括但不限于：①演出档案管理方案；②演出曲目管理方案；③演出形式管理方案；④演出进度管理方案等。二、评审标准：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12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一、评审内容： 针对本项目提供具体可行的设备配备方案，包括但不限于：①演出所配备车辆②灯光相关设备、舞台音响设备③专业戏服、道具、乐器等。二、评审标准： 根据完整性：内容必须全面，对评审内容中的各项要求有详细描述；可实施性：切合本项目实际情况，提出清晰、合理的内容；针对性：内容能够紧扣项目实际情况，内容科学合理提供相应方案，以上3项，内容无缺项、无漏项且无缺陷的得9分，其中每有一项内容存在缺项或漏项的扣3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本项目提供具体可行的应急预案，包括但不限于：①详细应急保障措施及应急处理团队；②针对突发事件及紧急情况（如停电、灯光、节目、人员等有针对性的预防及实施措施）以及不可预见的应急预案；③演出人员安全保障措施；④消防措施方案。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一、评审内容： 针对本项目提供具体可行的服务质量保证，包括但不限于：①服务质量保证②服务时限保证③完成项目保障能力④服务保障承诺等。二、评审标准： 根据完整性：内容必须全面，对评审内容中的各项要求有详细描述；可实施性：切合本项目实际情况，提出清晰、合理的内容；针对性：内容能够紧扣项目实际情况，内容科学合理提供相应方案，以上4项，内容无缺项、无漏项且无缺陷的得8分，其中每有一项内容存在缺项或漏项的扣2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针对本项目提供具体可行的服务团队管理方案，包括但不限于：①导演、演员、舞美、音乐、行政、后勤等人员岗位分配计划②后备力量有保障方案、有职责划分方案、分工安排等。二、评审标准： 根据完整性：内容必须全面，对评审内容中的各项要求有详细描述；可实施性：切合本项目实际情况，提出清晰、合理的内容；针对性：内容能够紧扣项目实际情况，内容科学合理提供相应方案，以上2项，内容无缺项、无漏项且无缺陷的得8分，其中每有一项内容存在缺项或漏项的扣4分，每项内容中每有一处存在缺陷的扣1分，该项分值扣完为止，未提供不得分。 三、赋分说明： “缺陷”是指编制内容与项目不吻合、层次未细化；套用其他项目方案内容；或引用的法律法规、标准（方法）或其他规范性文件错误；或前后逻辑错误；或存在与本项目特点、采购需求无关内容的任一情形。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项目人员配置.docx</w:t>
            </w:r>
          </w:p>
        </w:tc>
      </w:tr>
      <w:tr>
        <w:tc>
          <w:tcPr>
            <w:tcW w:type="dxa" w:w="831"/>
            <w:vMerge/>
          </w:tcPr>
          <w:p/>
        </w:tc>
        <w:tc>
          <w:tcPr>
            <w:tcW w:type="dxa" w:w="1661"/>
          </w:tcPr>
          <w:p>
            <w:pPr>
              <w:pStyle w:val="null3"/>
            </w:pPr>
            <w:r>
              <w:rPr>
                <w:rFonts w:ascii="仿宋_GB2312" w:hAnsi="仿宋_GB2312" w:cs="仿宋_GB2312" w:eastAsia="仿宋_GB2312"/>
              </w:rPr>
              <w:t>演出剧目</w:t>
            </w:r>
          </w:p>
        </w:tc>
        <w:tc>
          <w:tcPr>
            <w:tcW w:type="dxa" w:w="2492"/>
          </w:tcPr>
          <w:p>
            <w:pPr>
              <w:pStyle w:val="null3"/>
            </w:pPr>
            <w:r>
              <w:rPr>
                <w:rFonts w:ascii="仿宋_GB2312" w:hAnsi="仿宋_GB2312" w:cs="仿宋_GB2312" w:eastAsia="仿宋_GB2312"/>
              </w:rPr>
              <w:t>每提供1本全本戏剧目得1分，最高得2分；每提供一台折子戏剧目得1分，最高2分；本项最高得4分。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演出剧目.docx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供应商提供2021年5月至今具有类似项目业绩，磋商文件中需附合同复印件并加盖公章，以合同签订时间为准。每提供1个得2分，满分6分。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单价报价最低的供应商的价格为磋商基准价，其价格分为满分20分。2.磋商报价得分=（磋商基准价/最终磋商报价）×20的公式计算得分。3.磋商报价不完整的，不进入评标标准价的计算，本项得0分。4.经磋商小组一致认定，超过预算金额,其响应将被拒绝。</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详见附件：商务要求响应表.docx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详见附件：演出剧目.docx</w:t>
      </w:r>
    </w:p>
    <w:p>
      <w:pPr>
        <w:pStyle w:val="null3"/>
        <w:ind w:firstLine="960"/>
      </w:pPr>
      <w:r>
        <w:rPr>
          <w:rFonts w:ascii="仿宋_GB2312" w:hAnsi="仿宋_GB2312" w:cs="仿宋_GB2312" w:eastAsia="仿宋_GB2312"/>
        </w:rPr>
        <w:t>详见附件：项目人员配置.docx</w:t>
      </w:r>
    </w:p>
    <w:p>
      <w:pPr>
        <w:pStyle w:val="null3"/>
        <w:ind w:firstLine="960"/>
      </w:pPr>
      <w:r>
        <w:rPr>
          <w:rFonts w:ascii="仿宋_GB2312" w:hAnsi="仿宋_GB2312" w:cs="仿宋_GB2312" w:eastAsia="仿宋_GB2312"/>
        </w:rPr>
        <w:t>详见附件：企业业绩.docx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