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51DF96">
      <w:pPr>
        <w:jc w:val="center"/>
        <w:rPr>
          <w:rFonts w:hint="eastAsia" w:asciiTheme="majorEastAsia" w:hAnsiTheme="majorEastAsia" w:eastAsiaTheme="majorEastAsia" w:cstheme="majorEastAsia"/>
          <w:b/>
          <w:bCs/>
          <w:sz w:val="44"/>
          <w:szCs w:val="44"/>
          <w:lang w:eastAsia="zh-CN"/>
        </w:rPr>
      </w:pPr>
      <w:r>
        <w:rPr>
          <w:rFonts w:hint="eastAsia" w:asciiTheme="majorEastAsia" w:hAnsiTheme="majorEastAsia" w:eastAsiaTheme="majorEastAsia" w:cstheme="majorEastAsia"/>
          <w:b/>
          <w:bCs/>
          <w:sz w:val="44"/>
          <w:szCs w:val="44"/>
          <w:lang w:eastAsia="zh-CN"/>
        </w:rPr>
        <w:t>澄城县实验学校</w:t>
      </w:r>
    </w:p>
    <w:p w14:paraId="07FC9FCD">
      <w:pPr>
        <w:jc w:val="center"/>
        <w:rPr>
          <w:rFonts w:hint="eastAsia" w:asciiTheme="majorEastAsia" w:hAnsiTheme="majorEastAsia" w:eastAsiaTheme="majorEastAsia" w:cstheme="majorEastAsia"/>
          <w:b/>
          <w:bCs/>
          <w:sz w:val="44"/>
          <w:szCs w:val="44"/>
          <w:lang w:eastAsia="zh-CN"/>
        </w:rPr>
      </w:pPr>
      <w:r>
        <w:rPr>
          <w:rFonts w:hint="eastAsia" w:asciiTheme="majorEastAsia" w:hAnsiTheme="majorEastAsia" w:eastAsiaTheme="majorEastAsia" w:cstheme="majorEastAsia"/>
          <w:b/>
          <w:bCs/>
          <w:sz w:val="44"/>
          <w:szCs w:val="44"/>
          <w:lang w:eastAsia="zh-CN"/>
        </w:rPr>
        <w:t>营养餐加工服务项目采购需求</w:t>
      </w:r>
    </w:p>
    <w:p w14:paraId="36CDE93B">
      <w:pPr>
        <w:keepNext w:val="0"/>
        <w:keepLines w:val="0"/>
        <w:pageBreakBefore w:val="0"/>
        <w:kinsoku/>
        <w:wordWrap/>
        <w:overflowPunct/>
        <w:topLinePunct w:val="0"/>
        <w:autoSpaceDE/>
        <w:autoSpaceDN/>
        <w:bidi w:val="0"/>
        <w:adjustRightInd/>
        <w:snapToGrid/>
        <w:spacing w:line="440" w:lineRule="exact"/>
        <w:ind w:firstLine="602" w:firstLineChars="200"/>
        <w:rPr>
          <w:rFonts w:hint="eastAsia" w:ascii="黑体" w:hAnsi="黑体" w:eastAsia="黑体" w:cs="宋体"/>
          <w:sz w:val="32"/>
          <w:szCs w:val="32"/>
        </w:rPr>
      </w:pPr>
      <w:r>
        <w:rPr>
          <w:rFonts w:hint="eastAsia" w:asciiTheme="minorEastAsia" w:hAnsiTheme="minorEastAsia" w:cstheme="minorEastAsia"/>
          <w:b/>
          <w:bCs/>
          <w:sz w:val="30"/>
          <w:szCs w:val="30"/>
          <w:lang w:eastAsia="zh-CN"/>
        </w:rPr>
        <w:t>一、</w:t>
      </w:r>
      <w:r>
        <w:rPr>
          <w:rFonts w:hint="eastAsia" w:ascii="黑体" w:hAnsi="黑体" w:eastAsia="黑体" w:cs="宋体"/>
          <w:sz w:val="32"/>
          <w:szCs w:val="32"/>
        </w:rPr>
        <w:t>基本要求</w:t>
      </w:r>
    </w:p>
    <w:p w14:paraId="3FE0ACC6">
      <w:pPr>
        <w:keepNext w:val="0"/>
        <w:keepLines w:val="0"/>
        <w:pageBreakBefore w:val="0"/>
        <w:kinsoku/>
        <w:wordWrap/>
        <w:overflowPunct/>
        <w:topLinePunct w:val="0"/>
        <w:autoSpaceDE/>
        <w:autoSpaceDN/>
        <w:bidi w:val="0"/>
        <w:adjustRightInd/>
        <w:snapToGrid/>
        <w:spacing w:line="440" w:lineRule="exact"/>
        <w:ind w:firstLine="640" w:firstLineChars="200"/>
        <w:rPr>
          <w:rFonts w:hint="eastAsia" w:ascii="仿宋" w:hAnsi="仿宋" w:eastAsia="仿宋" w:cs="宋体"/>
          <w:sz w:val="32"/>
          <w:szCs w:val="32"/>
          <w:lang w:eastAsia="zh-CN"/>
        </w:rPr>
      </w:pPr>
      <w:r>
        <w:rPr>
          <w:rFonts w:hint="eastAsia" w:ascii="仿宋" w:hAnsi="仿宋" w:eastAsia="仿宋" w:cs="宋体"/>
          <w:sz w:val="32"/>
          <w:szCs w:val="32"/>
        </w:rPr>
        <w:t>1、功能要求：</w:t>
      </w:r>
      <w:r>
        <w:rPr>
          <w:rFonts w:hint="eastAsia" w:ascii="仿宋" w:hAnsi="仿宋" w:eastAsia="仿宋" w:cs="宋体"/>
          <w:sz w:val="32"/>
          <w:szCs w:val="32"/>
          <w:lang w:eastAsia="zh-CN"/>
        </w:rPr>
        <w:t>完成澄城县实验学校营养餐加工服务工作。</w:t>
      </w:r>
    </w:p>
    <w:p w14:paraId="459507C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right="-195" w:firstLine="640" w:firstLineChars="200"/>
        <w:jc w:val="left"/>
        <w:textAlignment w:val="baseline"/>
        <w:rPr>
          <w:rFonts w:hint="eastAsia" w:ascii="仿宋" w:hAnsi="仿宋" w:eastAsia="仿宋" w:cs="宋体"/>
          <w:color w:val="000000"/>
          <w:sz w:val="32"/>
          <w:szCs w:val="32"/>
        </w:rPr>
      </w:pPr>
      <w:r>
        <w:rPr>
          <w:rFonts w:hint="eastAsia" w:ascii="仿宋" w:hAnsi="仿宋" w:eastAsia="仿宋" w:cs="宋体"/>
          <w:color w:val="000000"/>
          <w:sz w:val="32"/>
          <w:szCs w:val="32"/>
        </w:rPr>
        <w:t>2、采购项目需要落实的政府采购政策：</w:t>
      </w:r>
    </w:p>
    <w:p w14:paraId="4751E27A">
      <w:pPr>
        <w:pStyle w:val="5"/>
        <w:keepNext w:val="0"/>
        <w:keepLines w:val="0"/>
        <w:pageBreakBefore w:val="0"/>
        <w:widowControl/>
        <w:shd w:val="clear" w:color="auto" w:fill="FFFFFF"/>
        <w:kinsoku/>
        <w:wordWrap/>
        <w:overflowPunct/>
        <w:topLinePunct w:val="0"/>
        <w:autoSpaceDE/>
        <w:autoSpaceDN/>
        <w:bidi w:val="0"/>
        <w:adjustRightInd/>
        <w:snapToGrid/>
        <w:spacing w:line="440" w:lineRule="exact"/>
        <w:ind w:right="-195" w:firstLine="640" w:firstLineChars="200"/>
        <w:jc w:val="left"/>
        <w:textAlignment w:val="baseline"/>
        <w:rPr>
          <w:rFonts w:hint="eastAsia" w:ascii="仿宋" w:hAnsi="仿宋" w:eastAsia="仿宋" w:cs="仿宋"/>
          <w:color w:val="000000"/>
          <w:sz w:val="32"/>
          <w:szCs w:val="32"/>
        </w:rPr>
      </w:pPr>
      <w:r>
        <w:rPr>
          <w:rFonts w:hint="eastAsia" w:ascii="仿宋" w:hAnsi="仿宋" w:eastAsia="仿宋" w:cs="仿宋"/>
          <w:color w:val="000000"/>
          <w:sz w:val="32"/>
          <w:szCs w:val="32"/>
          <w:shd w:val="clear" w:color="auto" w:fill="FFFFFF"/>
        </w:rPr>
        <w:t>1.1《关于进一步加大政府采购支持中小企业力度的通知》（财库〔2022〕19号）、《政府采购促进中小企业发展管理办法》（财库〔2020〕46号）、《关于政府采购支持监狱企业发展有关问题的通知》（财库〔2014〕68号）、《关于促进残疾人就业政府采购政策的通知》（财库〔2017〕141号）。</w:t>
      </w:r>
    </w:p>
    <w:p w14:paraId="4ED393A4">
      <w:pPr>
        <w:pStyle w:val="5"/>
        <w:keepNext w:val="0"/>
        <w:keepLines w:val="0"/>
        <w:pageBreakBefore w:val="0"/>
        <w:widowControl/>
        <w:shd w:val="clear" w:color="auto" w:fill="FFFFFF"/>
        <w:kinsoku/>
        <w:wordWrap/>
        <w:overflowPunct/>
        <w:topLinePunct w:val="0"/>
        <w:autoSpaceDE/>
        <w:autoSpaceDN/>
        <w:bidi w:val="0"/>
        <w:adjustRightInd/>
        <w:snapToGrid/>
        <w:spacing w:line="440" w:lineRule="exact"/>
        <w:ind w:right="-195" w:firstLine="640" w:firstLineChars="200"/>
        <w:jc w:val="left"/>
        <w:textAlignment w:val="baseline"/>
        <w:rPr>
          <w:rFonts w:hint="eastAsia" w:ascii="仿宋" w:hAnsi="仿宋" w:eastAsia="仿宋" w:cs="仿宋"/>
          <w:color w:val="000000"/>
          <w:sz w:val="32"/>
          <w:szCs w:val="32"/>
        </w:rPr>
      </w:pPr>
      <w:r>
        <w:rPr>
          <w:rFonts w:hint="eastAsia" w:ascii="仿宋" w:hAnsi="仿宋" w:eastAsia="仿宋" w:cs="仿宋"/>
          <w:color w:val="000000"/>
          <w:sz w:val="32"/>
          <w:szCs w:val="32"/>
          <w:shd w:val="clear" w:color="auto" w:fill="FFFFFF"/>
        </w:rPr>
        <w:t>1.2国务院办公厅《关于建立政府强制采购节能产品制度的通知》（国办发〔2007〕51号）、财政部、国家发改委、生态环境部、市场监督总局联合印发《关于调整优化节能产品、环境标志产品政府采购执行机制的通知》（财库〔2019〕9号）、《关于印发环境标志产品政府采购品目清单的通知》（财库〔2019〕18号）、《关于印发节能产品政府采购品目清单的通知》（财库〔2019〕19号）。</w:t>
      </w:r>
    </w:p>
    <w:p w14:paraId="78BE28E7">
      <w:pPr>
        <w:pStyle w:val="5"/>
        <w:keepNext w:val="0"/>
        <w:keepLines w:val="0"/>
        <w:pageBreakBefore w:val="0"/>
        <w:widowControl/>
        <w:shd w:val="clear" w:color="auto" w:fill="FFFFFF"/>
        <w:kinsoku/>
        <w:wordWrap/>
        <w:overflowPunct/>
        <w:topLinePunct w:val="0"/>
        <w:autoSpaceDE/>
        <w:autoSpaceDN/>
        <w:bidi w:val="0"/>
        <w:adjustRightInd/>
        <w:snapToGrid/>
        <w:spacing w:line="440" w:lineRule="exact"/>
        <w:ind w:right="-195" w:firstLine="640" w:firstLineChars="200"/>
        <w:jc w:val="left"/>
        <w:textAlignment w:val="baseline"/>
        <w:rPr>
          <w:rFonts w:hint="eastAsia" w:ascii="仿宋" w:hAnsi="仿宋" w:eastAsia="仿宋" w:cs="仿宋"/>
          <w:color w:val="000000"/>
          <w:sz w:val="32"/>
          <w:szCs w:val="32"/>
        </w:rPr>
      </w:pPr>
      <w:r>
        <w:rPr>
          <w:rFonts w:hint="eastAsia" w:ascii="仿宋" w:hAnsi="仿宋" w:eastAsia="仿宋" w:cs="仿宋"/>
          <w:color w:val="000000"/>
          <w:sz w:val="32"/>
          <w:szCs w:val="32"/>
          <w:shd w:val="clear" w:color="auto" w:fill="FFFFFF"/>
        </w:rPr>
        <w:t>1.3《财政部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368150DE">
      <w:pPr>
        <w:pStyle w:val="5"/>
        <w:keepNext w:val="0"/>
        <w:keepLines w:val="0"/>
        <w:pageBreakBefore w:val="0"/>
        <w:widowControl/>
        <w:shd w:val="clear" w:color="auto" w:fill="FFFFFF"/>
        <w:kinsoku/>
        <w:wordWrap/>
        <w:overflowPunct/>
        <w:topLinePunct w:val="0"/>
        <w:autoSpaceDE/>
        <w:autoSpaceDN/>
        <w:bidi w:val="0"/>
        <w:adjustRightInd/>
        <w:snapToGrid/>
        <w:spacing w:line="440" w:lineRule="exact"/>
        <w:ind w:right="-195" w:firstLine="800" w:firstLineChars="250"/>
        <w:jc w:val="left"/>
        <w:textAlignment w:val="baseline"/>
        <w:rPr>
          <w:rFonts w:hint="eastAsia" w:ascii="仿宋" w:hAnsi="仿宋" w:eastAsia="仿宋" w:cs="仿宋"/>
          <w:color w:val="000000"/>
          <w:sz w:val="32"/>
          <w:szCs w:val="32"/>
        </w:rPr>
      </w:pPr>
      <w:r>
        <w:rPr>
          <w:rFonts w:hint="eastAsia" w:ascii="仿宋" w:hAnsi="仿宋" w:eastAsia="仿宋" w:cs="仿宋"/>
          <w:color w:val="000000"/>
          <w:sz w:val="32"/>
          <w:szCs w:val="32"/>
          <w:shd w:val="clear" w:color="auto" w:fill="FFFFFF"/>
        </w:rPr>
        <w:t>1.4《国家互联网信息办公室 工业和信息化部 公安部 财政部 国家认证认可监督管理委员会关于调整网络安全专用产品安全管理有关事项的公告》（2023年第1号）。</w:t>
      </w:r>
    </w:p>
    <w:p w14:paraId="58A9810E">
      <w:pPr>
        <w:pStyle w:val="5"/>
        <w:keepNext w:val="0"/>
        <w:keepLines w:val="0"/>
        <w:pageBreakBefore w:val="0"/>
        <w:widowControl/>
        <w:shd w:val="clear" w:color="auto" w:fill="FFFFFF"/>
        <w:kinsoku/>
        <w:wordWrap/>
        <w:overflowPunct/>
        <w:topLinePunct w:val="0"/>
        <w:autoSpaceDE/>
        <w:autoSpaceDN/>
        <w:bidi w:val="0"/>
        <w:adjustRightInd/>
        <w:snapToGrid/>
        <w:spacing w:line="440" w:lineRule="exact"/>
        <w:ind w:right="-195" w:firstLine="800" w:firstLineChars="250"/>
        <w:jc w:val="left"/>
        <w:textAlignment w:val="baseline"/>
        <w:rPr>
          <w:rFonts w:hint="eastAsia" w:ascii="仿宋" w:hAnsi="仿宋" w:eastAsia="仿宋" w:cs="仿宋"/>
          <w:color w:val="000000"/>
          <w:sz w:val="32"/>
          <w:szCs w:val="32"/>
        </w:rPr>
      </w:pPr>
      <w:r>
        <w:rPr>
          <w:rFonts w:hint="eastAsia" w:ascii="仿宋" w:hAnsi="仿宋" w:eastAsia="仿宋" w:cs="仿宋"/>
          <w:color w:val="000000"/>
          <w:sz w:val="32"/>
          <w:szCs w:val="32"/>
          <w:shd w:val="clear" w:color="auto" w:fill="FFFFFF"/>
        </w:rPr>
        <w:t>1.5《陕西省财政厅关于加快推进我省中小企业政府采购信用融资工作的通知》（陕财办采〔2020〕15 号）、陕西省财政厅关于印发《陕西省中小企业政府采购信用融资办法》（陕财办采〔2018〕23 号）。</w:t>
      </w:r>
    </w:p>
    <w:p w14:paraId="30C00D36">
      <w:pPr>
        <w:pStyle w:val="5"/>
        <w:keepNext w:val="0"/>
        <w:keepLines w:val="0"/>
        <w:pageBreakBefore w:val="0"/>
        <w:widowControl/>
        <w:shd w:val="clear" w:color="auto" w:fill="FFFFFF"/>
        <w:kinsoku/>
        <w:wordWrap/>
        <w:overflowPunct/>
        <w:topLinePunct w:val="0"/>
        <w:autoSpaceDE/>
        <w:autoSpaceDN/>
        <w:bidi w:val="0"/>
        <w:adjustRightInd/>
        <w:snapToGrid/>
        <w:spacing w:line="440" w:lineRule="exact"/>
        <w:ind w:right="-195" w:firstLine="800" w:firstLineChars="250"/>
        <w:jc w:val="left"/>
        <w:textAlignment w:val="baseline"/>
        <w:rPr>
          <w:rFonts w:hint="eastAsia" w:ascii="仿宋" w:hAnsi="仿宋" w:eastAsia="仿宋" w:cs="仿宋"/>
          <w:color w:val="000000"/>
          <w:sz w:val="32"/>
          <w:szCs w:val="32"/>
        </w:rPr>
      </w:pPr>
      <w:r>
        <w:rPr>
          <w:rFonts w:hint="eastAsia" w:ascii="仿宋" w:hAnsi="仿宋" w:eastAsia="仿宋" w:cs="仿宋"/>
          <w:color w:val="000000"/>
          <w:sz w:val="32"/>
          <w:szCs w:val="32"/>
          <w:shd w:val="clear" w:color="auto" w:fill="FFFFFF"/>
        </w:rPr>
        <w:t>1.6《关于扩大政府采购支持绿色建材促进建筑品质提升政策实施范围的通知》（财库〔2022〕35号）、《财政部办公厅住房城乡建设部办公厅 工业和信息化部办公厅关于印发&lt;政府采购支持绿色建材促进建筑品质提升政策项目实施指南&gt;的通知》（财办库〔2023〕52号）。</w:t>
      </w:r>
    </w:p>
    <w:p w14:paraId="60712C7F">
      <w:pPr>
        <w:pStyle w:val="5"/>
        <w:keepNext w:val="0"/>
        <w:keepLines w:val="0"/>
        <w:pageBreakBefore w:val="0"/>
        <w:widowControl/>
        <w:shd w:val="clear" w:color="auto" w:fill="FFFFFF"/>
        <w:kinsoku/>
        <w:wordWrap/>
        <w:overflowPunct/>
        <w:topLinePunct w:val="0"/>
        <w:autoSpaceDE/>
        <w:autoSpaceDN/>
        <w:bidi w:val="0"/>
        <w:adjustRightInd/>
        <w:snapToGrid/>
        <w:spacing w:line="440" w:lineRule="exact"/>
        <w:ind w:right="-195" w:firstLine="640" w:firstLineChars="200"/>
        <w:jc w:val="left"/>
        <w:textAlignment w:val="baseline"/>
        <w:rPr>
          <w:rFonts w:ascii="仿宋" w:hAnsi="仿宋" w:eastAsia="仿宋" w:cs="仿宋"/>
          <w:color w:val="000000"/>
          <w:sz w:val="32"/>
          <w:szCs w:val="32"/>
        </w:rPr>
      </w:pPr>
      <w:r>
        <w:rPr>
          <w:rFonts w:hint="eastAsia" w:ascii="仿宋" w:hAnsi="仿宋" w:eastAsia="仿宋" w:cs="仿宋"/>
          <w:color w:val="000000"/>
          <w:sz w:val="32"/>
          <w:szCs w:val="32"/>
          <w:shd w:val="clear" w:color="auto" w:fill="FFFFFF"/>
        </w:rPr>
        <w:t>若享受以上政策优惠的企业，提供相应声明函或品目清单范围内产品的有效认证证书。</w:t>
      </w:r>
    </w:p>
    <w:p w14:paraId="7EB02BB4">
      <w:pPr>
        <w:keepNext w:val="0"/>
        <w:keepLines w:val="0"/>
        <w:pageBreakBefore w:val="0"/>
        <w:numPr>
          <w:ilvl w:val="0"/>
          <w:numId w:val="0"/>
        </w:numPr>
        <w:kinsoku/>
        <w:wordWrap/>
        <w:overflowPunct/>
        <w:topLinePunct w:val="0"/>
        <w:autoSpaceDE/>
        <w:autoSpaceDN/>
        <w:bidi w:val="0"/>
        <w:adjustRightInd/>
        <w:snapToGrid/>
        <w:spacing w:line="440" w:lineRule="exact"/>
        <w:ind w:firstLine="600" w:firstLineChars="200"/>
        <w:jc w:val="left"/>
        <w:rPr>
          <w:rFonts w:hint="default" w:ascii="仿宋" w:hAnsi="仿宋" w:eastAsia="仿宋" w:cs="宋体"/>
          <w:color w:val="000000"/>
          <w:kern w:val="2"/>
          <w:sz w:val="32"/>
          <w:szCs w:val="32"/>
          <w:lang w:val="en-US" w:eastAsia="zh-CN" w:bidi="ar-SA"/>
        </w:rPr>
      </w:pPr>
      <w:r>
        <w:rPr>
          <w:rFonts w:hint="default" w:asciiTheme="minorEastAsia" w:hAnsiTheme="minorEastAsia" w:cstheme="minorEastAsia"/>
          <w:b w:val="0"/>
          <w:bCs w:val="0"/>
          <w:sz w:val="30"/>
          <w:szCs w:val="30"/>
          <w:lang w:val="en-US" w:eastAsia="zh-CN"/>
        </w:rPr>
        <w:t>3、服务期要求:</w:t>
      </w:r>
      <w:r>
        <w:rPr>
          <w:rFonts w:hint="eastAsia" w:ascii="方正仿宋_GB2312" w:hAnsi="方正仿宋_GB2312" w:eastAsia="方正仿宋_GB2312" w:cs="方正仿宋_GB2312"/>
          <w:b w:val="0"/>
          <w:bCs w:val="0"/>
          <w:sz w:val="32"/>
          <w:szCs w:val="32"/>
          <w:lang w:val="en-US" w:eastAsia="zh-CN"/>
        </w:rPr>
        <w:t>自</w:t>
      </w:r>
      <w:r>
        <w:rPr>
          <w:rFonts w:hint="eastAsia" w:ascii="方正仿宋_GB2312" w:hAnsi="方正仿宋_GB2312" w:eastAsia="方正仿宋_GB2312" w:cs="方正仿宋_GB2312"/>
          <w:sz w:val="32"/>
          <w:szCs w:val="32"/>
          <w:lang w:val="en-US" w:eastAsia="zh-CN"/>
        </w:rPr>
        <w:t>合同签订之日</w:t>
      </w:r>
      <w:r>
        <w:rPr>
          <w:rFonts w:hint="eastAsia" w:ascii="方正仿宋_GB2312" w:hAnsi="方正仿宋_GB2312" w:eastAsia="方正仿宋_GB2312" w:cs="方正仿宋_GB2312"/>
          <w:sz w:val="32"/>
          <w:szCs w:val="32"/>
          <w:highlight w:val="none"/>
          <w:lang w:val="en-US" w:eastAsia="zh-CN"/>
        </w:rPr>
        <w:t>起</w:t>
      </w:r>
      <w:r>
        <w:rPr>
          <w:rFonts w:hint="eastAsia" w:ascii="方正仿宋_GB2312" w:hAnsi="方正仿宋_GB2312" w:eastAsia="方正仿宋_GB2312" w:cs="方正仿宋_GB2312"/>
          <w:b w:val="0"/>
          <w:bCs w:val="0"/>
          <w:sz w:val="32"/>
          <w:szCs w:val="32"/>
          <w:lang w:val="en-US" w:eastAsia="zh-CN"/>
        </w:rPr>
        <w:t>10个月</w:t>
      </w:r>
    </w:p>
    <w:p w14:paraId="37B86946">
      <w:pPr>
        <w:keepNext w:val="0"/>
        <w:keepLines w:val="0"/>
        <w:pageBreakBefore w:val="0"/>
        <w:numPr>
          <w:ilvl w:val="0"/>
          <w:numId w:val="0"/>
        </w:numPr>
        <w:kinsoku/>
        <w:wordWrap/>
        <w:overflowPunct/>
        <w:topLinePunct w:val="0"/>
        <w:autoSpaceDE/>
        <w:autoSpaceDN/>
        <w:bidi w:val="0"/>
        <w:adjustRightInd/>
        <w:snapToGrid/>
        <w:spacing w:line="440" w:lineRule="exact"/>
        <w:ind w:firstLine="600" w:firstLineChars="200"/>
        <w:jc w:val="left"/>
        <w:rPr>
          <w:rFonts w:hint="eastAsia" w:ascii="仿宋" w:hAnsi="仿宋" w:eastAsia="仿宋" w:cs="宋体"/>
          <w:color w:val="000000"/>
          <w:kern w:val="2"/>
          <w:sz w:val="32"/>
          <w:szCs w:val="32"/>
          <w:lang w:val="en-US" w:eastAsia="zh-CN" w:bidi="ar-SA"/>
        </w:rPr>
      </w:pPr>
      <w:r>
        <w:rPr>
          <w:rFonts w:hint="default" w:asciiTheme="minorEastAsia" w:hAnsiTheme="minorEastAsia" w:cstheme="minorEastAsia"/>
          <w:b w:val="0"/>
          <w:bCs w:val="0"/>
          <w:sz w:val="30"/>
          <w:szCs w:val="30"/>
          <w:lang w:val="en-US" w:eastAsia="zh-CN"/>
        </w:rPr>
        <w:t>4、服务地点:</w:t>
      </w:r>
      <w:r>
        <w:rPr>
          <w:rFonts w:hint="default" w:ascii="仿宋" w:hAnsi="仿宋" w:eastAsia="仿宋" w:cs="宋体"/>
          <w:color w:val="000000"/>
          <w:kern w:val="2"/>
          <w:sz w:val="32"/>
          <w:szCs w:val="32"/>
          <w:lang w:val="en-US" w:eastAsia="zh-CN" w:bidi="ar-SA"/>
        </w:rPr>
        <w:t>澄城县</w:t>
      </w:r>
      <w:r>
        <w:rPr>
          <w:rFonts w:hint="eastAsia" w:ascii="仿宋" w:hAnsi="仿宋" w:eastAsia="仿宋" w:cs="宋体"/>
          <w:color w:val="000000"/>
          <w:kern w:val="2"/>
          <w:sz w:val="32"/>
          <w:szCs w:val="32"/>
          <w:lang w:val="en-US" w:eastAsia="zh-CN" w:bidi="ar-SA"/>
        </w:rPr>
        <w:t>实验学校校内</w:t>
      </w:r>
    </w:p>
    <w:p w14:paraId="37E5D08B">
      <w:pPr>
        <w:keepNext w:val="0"/>
        <w:keepLines w:val="0"/>
        <w:pageBreakBefore w:val="0"/>
        <w:numPr>
          <w:ilvl w:val="0"/>
          <w:numId w:val="0"/>
        </w:numPr>
        <w:kinsoku/>
        <w:wordWrap/>
        <w:overflowPunct/>
        <w:topLinePunct w:val="0"/>
        <w:autoSpaceDE/>
        <w:autoSpaceDN/>
        <w:bidi w:val="0"/>
        <w:adjustRightInd/>
        <w:snapToGrid/>
        <w:spacing w:line="440" w:lineRule="exact"/>
        <w:ind w:firstLine="602" w:firstLineChars="200"/>
        <w:jc w:val="left"/>
        <w:rPr>
          <w:rFonts w:hint="eastAsia" w:asciiTheme="minorEastAsia" w:hAnsiTheme="minorEastAsia" w:cstheme="minorEastAsia"/>
          <w:b/>
          <w:bCs/>
          <w:sz w:val="30"/>
          <w:szCs w:val="30"/>
          <w:lang w:val="en-US" w:eastAsia="zh-CN"/>
        </w:rPr>
      </w:pPr>
      <w:r>
        <w:rPr>
          <w:rFonts w:hint="eastAsia" w:asciiTheme="minorEastAsia" w:hAnsiTheme="minorEastAsia" w:cstheme="minorEastAsia"/>
          <w:b/>
          <w:bCs/>
          <w:sz w:val="30"/>
          <w:szCs w:val="30"/>
          <w:lang w:val="en-US" w:eastAsia="zh-CN"/>
        </w:rPr>
        <w:t>二、需执行的国家相关标准、行业标准、地方标准或者其他标准、规范标准</w:t>
      </w:r>
    </w:p>
    <w:p w14:paraId="79F49F33">
      <w:pPr>
        <w:pStyle w:val="2"/>
        <w:rPr>
          <w:rFonts w:hint="default" w:ascii="仿宋" w:hAnsi="仿宋" w:eastAsia="仿宋" w:cs="宋体"/>
          <w:color w:val="000000"/>
          <w:kern w:val="2"/>
          <w:sz w:val="32"/>
          <w:szCs w:val="32"/>
          <w:lang w:val="en-US" w:eastAsia="zh-CN" w:bidi="ar-SA"/>
        </w:rPr>
      </w:pPr>
      <w:r>
        <w:rPr>
          <w:rFonts w:hint="eastAsia" w:asciiTheme="minorEastAsia" w:hAnsiTheme="minorEastAsia" w:cstheme="minorEastAsia"/>
          <w:b/>
          <w:bCs/>
          <w:sz w:val="30"/>
          <w:szCs w:val="30"/>
          <w:lang w:val="en-US" w:eastAsia="zh-CN"/>
        </w:rPr>
        <w:t xml:space="preserve">    </w:t>
      </w:r>
      <w:r>
        <w:rPr>
          <w:rFonts w:hint="eastAsia" w:ascii="仿宋" w:hAnsi="仿宋" w:eastAsia="仿宋" w:cs="宋体"/>
          <w:color w:val="000000"/>
          <w:kern w:val="2"/>
          <w:sz w:val="32"/>
          <w:szCs w:val="32"/>
          <w:lang w:val="en-US" w:eastAsia="zh-CN" w:bidi="ar-SA"/>
        </w:rPr>
        <w:t>执行最新标准和规范</w:t>
      </w:r>
    </w:p>
    <w:p w14:paraId="3A748B85">
      <w:pPr>
        <w:pStyle w:val="2"/>
        <w:keepNext w:val="0"/>
        <w:keepLines w:val="0"/>
        <w:pageBreakBefore w:val="0"/>
        <w:numPr>
          <w:ilvl w:val="0"/>
          <w:numId w:val="1"/>
        </w:numPr>
        <w:kinsoku/>
        <w:wordWrap/>
        <w:overflowPunct/>
        <w:topLinePunct w:val="0"/>
        <w:autoSpaceDE/>
        <w:autoSpaceDN/>
        <w:bidi w:val="0"/>
        <w:adjustRightInd/>
        <w:snapToGrid/>
        <w:spacing w:line="440" w:lineRule="exact"/>
        <w:ind w:firstLine="640" w:firstLineChars="200"/>
        <w:rPr>
          <w:rFonts w:hint="eastAsia" w:ascii="黑体" w:hAnsi="黑体" w:eastAsia="黑体" w:cs="宋体"/>
          <w:sz w:val="32"/>
          <w:szCs w:val="32"/>
        </w:rPr>
      </w:pPr>
      <w:r>
        <w:rPr>
          <w:rFonts w:hint="eastAsia" w:ascii="黑体" w:hAnsi="黑体" w:eastAsia="黑体" w:cs="宋体"/>
          <w:sz w:val="32"/>
          <w:szCs w:val="32"/>
        </w:rPr>
        <w:t>服务指标的具体要求</w:t>
      </w:r>
    </w:p>
    <w:tbl>
      <w:tblPr>
        <w:tblStyle w:val="6"/>
        <w:tblW w:w="9027" w:type="dxa"/>
        <w:jc w:val="center"/>
        <w:tblLayout w:type="autofit"/>
        <w:tblCellMar>
          <w:top w:w="0" w:type="dxa"/>
          <w:left w:w="108" w:type="dxa"/>
          <w:bottom w:w="0" w:type="dxa"/>
          <w:right w:w="108" w:type="dxa"/>
        </w:tblCellMar>
      </w:tblPr>
      <w:tblGrid>
        <w:gridCol w:w="2117"/>
        <w:gridCol w:w="931"/>
        <w:gridCol w:w="2129"/>
        <w:gridCol w:w="1925"/>
        <w:gridCol w:w="1925"/>
      </w:tblGrid>
      <w:tr w14:paraId="467BFB0C">
        <w:tblPrEx>
          <w:tblCellMar>
            <w:top w:w="0" w:type="dxa"/>
            <w:left w:w="108" w:type="dxa"/>
            <w:bottom w:w="0" w:type="dxa"/>
            <w:right w:w="108" w:type="dxa"/>
          </w:tblCellMar>
        </w:tblPrEx>
        <w:trPr>
          <w:trHeight w:val="741" w:hRule="atLeast"/>
          <w:jc w:val="center"/>
        </w:trPr>
        <w:tc>
          <w:tcPr>
            <w:tcW w:w="2117" w:type="dxa"/>
            <w:tcBorders>
              <w:top w:val="single" w:color="auto" w:sz="4" w:space="0"/>
              <w:left w:val="single" w:color="auto" w:sz="4" w:space="0"/>
              <w:bottom w:val="single" w:color="auto" w:sz="4" w:space="0"/>
              <w:right w:val="single" w:color="auto" w:sz="4" w:space="0"/>
            </w:tcBorders>
            <w:noWrap w:val="0"/>
            <w:vAlign w:val="center"/>
          </w:tcPr>
          <w:p w14:paraId="659C187B">
            <w:pPr>
              <w:widowControl/>
              <w:jc w:val="center"/>
              <w:rPr>
                <w:rFonts w:hint="eastAsia" w:ascii="仿宋" w:hAnsi="仿宋" w:eastAsia="仿宋" w:cs="仿宋"/>
                <w:b/>
                <w:bCs/>
                <w:color w:val="000000"/>
                <w:kern w:val="0"/>
                <w:sz w:val="24"/>
                <w:szCs w:val="24"/>
                <w:highlight w:val="none"/>
              </w:rPr>
            </w:pPr>
            <w:r>
              <w:rPr>
                <w:rFonts w:hint="eastAsia" w:ascii="仿宋" w:hAnsi="仿宋" w:eastAsia="仿宋" w:cs="仿宋"/>
                <w:b/>
                <w:bCs/>
                <w:color w:val="000000"/>
                <w:kern w:val="0"/>
                <w:sz w:val="24"/>
                <w:szCs w:val="24"/>
                <w:highlight w:val="none"/>
              </w:rPr>
              <w:t>名称</w:t>
            </w:r>
          </w:p>
        </w:tc>
        <w:tc>
          <w:tcPr>
            <w:tcW w:w="931" w:type="dxa"/>
            <w:tcBorders>
              <w:top w:val="single" w:color="auto" w:sz="4" w:space="0"/>
              <w:left w:val="nil"/>
              <w:bottom w:val="single" w:color="auto" w:sz="4" w:space="0"/>
              <w:right w:val="single" w:color="auto" w:sz="4" w:space="0"/>
            </w:tcBorders>
            <w:noWrap w:val="0"/>
            <w:vAlign w:val="center"/>
          </w:tcPr>
          <w:p w14:paraId="37DF63D5">
            <w:pPr>
              <w:widowControl/>
              <w:jc w:val="center"/>
              <w:rPr>
                <w:rFonts w:hint="eastAsia" w:ascii="仿宋" w:hAnsi="仿宋" w:eastAsia="仿宋" w:cs="仿宋"/>
                <w:b/>
                <w:bCs/>
                <w:color w:val="000000"/>
                <w:kern w:val="0"/>
                <w:sz w:val="24"/>
                <w:szCs w:val="24"/>
                <w:highlight w:val="none"/>
              </w:rPr>
            </w:pPr>
            <w:r>
              <w:rPr>
                <w:rFonts w:hint="eastAsia" w:ascii="仿宋" w:hAnsi="仿宋" w:eastAsia="仿宋" w:cs="仿宋"/>
                <w:b/>
                <w:bCs/>
                <w:color w:val="000000"/>
                <w:kern w:val="0"/>
                <w:sz w:val="24"/>
                <w:szCs w:val="24"/>
                <w:highlight w:val="none"/>
              </w:rPr>
              <w:t>人数</w:t>
            </w:r>
          </w:p>
        </w:tc>
        <w:tc>
          <w:tcPr>
            <w:tcW w:w="2129" w:type="dxa"/>
            <w:tcBorders>
              <w:top w:val="single" w:color="auto" w:sz="4" w:space="0"/>
              <w:left w:val="nil"/>
              <w:bottom w:val="single" w:color="auto" w:sz="4" w:space="0"/>
              <w:right w:val="single" w:color="auto" w:sz="4" w:space="0"/>
            </w:tcBorders>
            <w:noWrap w:val="0"/>
            <w:vAlign w:val="center"/>
          </w:tcPr>
          <w:p w14:paraId="21EE54E1">
            <w:pPr>
              <w:widowControl/>
              <w:jc w:val="center"/>
              <w:rPr>
                <w:rFonts w:hint="eastAsia" w:ascii="仿宋" w:hAnsi="仿宋" w:eastAsia="仿宋" w:cs="仿宋"/>
                <w:b/>
                <w:bCs/>
                <w:color w:val="000000"/>
                <w:kern w:val="0"/>
                <w:sz w:val="24"/>
                <w:szCs w:val="24"/>
                <w:highlight w:val="none"/>
                <w:lang w:eastAsia="zh-CN"/>
              </w:rPr>
            </w:pPr>
            <w:r>
              <w:rPr>
                <w:rFonts w:hint="eastAsia" w:ascii="仿宋" w:hAnsi="仿宋" w:eastAsia="仿宋" w:cs="仿宋"/>
                <w:b/>
                <w:bCs/>
                <w:color w:val="000000"/>
                <w:kern w:val="0"/>
                <w:sz w:val="24"/>
                <w:szCs w:val="24"/>
                <w:highlight w:val="none"/>
                <w:lang w:eastAsia="zh-CN"/>
              </w:rPr>
              <w:t>年龄</w:t>
            </w:r>
          </w:p>
        </w:tc>
        <w:tc>
          <w:tcPr>
            <w:tcW w:w="1925" w:type="dxa"/>
            <w:tcBorders>
              <w:top w:val="single" w:color="auto" w:sz="4" w:space="0"/>
              <w:left w:val="nil"/>
              <w:bottom w:val="single" w:color="auto" w:sz="4" w:space="0"/>
              <w:right w:val="single" w:color="auto" w:sz="4" w:space="0"/>
            </w:tcBorders>
            <w:noWrap w:val="0"/>
            <w:vAlign w:val="center"/>
          </w:tcPr>
          <w:p w14:paraId="55A4224F">
            <w:pPr>
              <w:widowControl/>
              <w:jc w:val="center"/>
              <w:rPr>
                <w:rFonts w:hint="eastAsia" w:ascii="仿宋" w:hAnsi="仿宋" w:eastAsia="仿宋" w:cs="仿宋"/>
                <w:b/>
                <w:bCs/>
                <w:color w:val="000000"/>
                <w:kern w:val="0"/>
                <w:sz w:val="24"/>
                <w:szCs w:val="24"/>
                <w:highlight w:val="none"/>
                <w:lang w:val="en-US" w:eastAsia="zh-CN"/>
              </w:rPr>
            </w:pPr>
            <w:r>
              <w:rPr>
                <w:rFonts w:hint="eastAsia" w:ascii="仿宋" w:hAnsi="仿宋" w:eastAsia="仿宋" w:cs="仿宋"/>
                <w:b/>
                <w:bCs/>
                <w:color w:val="000000"/>
                <w:kern w:val="0"/>
                <w:sz w:val="24"/>
                <w:szCs w:val="24"/>
                <w:highlight w:val="none"/>
                <w:lang w:val="en-US" w:eastAsia="zh-CN"/>
              </w:rPr>
              <w:t>资格</w:t>
            </w:r>
          </w:p>
        </w:tc>
        <w:tc>
          <w:tcPr>
            <w:tcW w:w="1925" w:type="dxa"/>
            <w:tcBorders>
              <w:top w:val="single" w:color="auto" w:sz="4" w:space="0"/>
              <w:left w:val="nil"/>
              <w:bottom w:val="single" w:color="auto" w:sz="4" w:space="0"/>
              <w:right w:val="single" w:color="auto" w:sz="4" w:space="0"/>
            </w:tcBorders>
            <w:noWrap w:val="0"/>
            <w:vAlign w:val="center"/>
          </w:tcPr>
          <w:p w14:paraId="1F787622">
            <w:pPr>
              <w:widowControl/>
              <w:jc w:val="center"/>
              <w:rPr>
                <w:rFonts w:hint="eastAsia" w:ascii="仿宋" w:hAnsi="仿宋" w:eastAsia="仿宋" w:cs="仿宋"/>
                <w:b/>
                <w:bCs/>
                <w:color w:val="000000"/>
                <w:kern w:val="0"/>
                <w:sz w:val="24"/>
                <w:szCs w:val="24"/>
                <w:highlight w:val="none"/>
                <w:lang w:eastAsia="zh-CN"/>
              </w:rPr>
            </w:pPr>
            <w:r>
              <w:rPr>
                <w:rFonts w:hint="eastAsia" w:ascii="仿宋" w:hAnsi="仿宋" w:eastAsia="仿宋" w:cs="仿宋"/>
                <w:b/>
                <w:bCs/>
                <w:color w:val="000000"/>
                <w:kern w:val="0"/>
                <w:sz w:val="24"/>
                <w:szCs w:val="24"/>
                <w:highlight w:val="none"/>
                <w:lang w:eastAsia="zh-CN"/>
              </w:rPr>
              <w:t>服务时间</w:t>
            </w:r>
          </w:p>
        </w:tc>
      </w:tr>
      <w:tr w14:paraId="03CD8427">
        <w:tblPrEx>
          <w:tblCellMar>
            <w:top w:w="0" w:type="dxa"/>
            <w:left w:w="108" w:type="dxa"/>
            <w:bottom w:w="0" w:type="dxa"/>
            <w:right w:w="108" w:type="dxa"/>
          </w:tblCellMar>
        </w:tblPrEx>
        <w:trPr>
          <w:trHeight w:val="464" w:hRule="atLeast"/>
          <w:jc w:val="center"/>
        </w:trPr>
        <w:tc>
          <w:tcPr>
            <w:tcW w:w="2117" w:type="dxa"/>
            <w:tcBorders>
              <w:top w:val="nil"/>
              <w:left w:val="single" w:color="auto" w:sz="4" w:space="0"/>
              <w:bottom w:val="single" w:color="auto" w:sz="4" w:space="0"/>
              <w:right w:val="single" w:color="auto" w:sz="4" w:space="0"/>
            </w:tcBorders>
            <w:noWrap w:val="0"/>
            <w:vAlign w:val="center"/>
          </w:tcPr>
          <w:p w14:paraId="5607C704">
            <w:pPr>
              <w:widowControl/>
              <w:jc w:val="center"/>
              <w:rPr>
                <w:rFonts w:hint="eastAsia" w:ascii="仿宋" w:hAnsi="仿宋" w:eastAsia="仿宋" w:cs="仿宋"/>
                <w:color w:val="000000"/>
                <w:kern w:val="0"/>
                <w:sz w:val="24"/>
                <w:szCs w:val="24"/>
                <w:highlight w:val="none"/>
                <w:lang w:eastAsia="zh-CN"/>
              </w:rPr>
            </w:pPr>
            <w:bookmarkStart w:id="0" w:name="OLE_LINK1"/>
            <w:r>
              <w:rPr>
                <w:rFonts w:hint="eastAsia" w:ascii="仿宋" w:hAnsi="仿宋" w:eastAsia="仿宋" w:cs="仿宋"/>
                <w:color w:val="000000"/>
                <w:kern w:val="0"/>
                <w:sz w:val="24"/>
                <w:szCs w:val="24"/>
                <w:highlight w:val="none"/>
                <w:lang w:val="en-US" w:eastAsia="zh-CN"/>
              </w:rPr>
              <w:t>营养餐加工服务项目</w:t>
            </w:r>
            <w:bookmarkEnd w:id="0"/>
          </w:p>
        </w:tc>
        <w:tc>
          <w:tcPr>
            <w:tcW w:w="931" w:type="dxa"/>
            <w:tcBorders>
              <w:top w:val="nil"/>
              <w:left w:val="nil"/>
              <w:bottom w:val="single" w:color="auto" w:sz="4" w:space="0"/>
              <w:right w:val="single" w:color="auto" w:sz="4" w:space="0"/>
            </w:tcBorders>
            <w:noWrap w:val="0"/>
            <w:vAlign w:val="center"/>
          </w:tcPr>
          <w:p w14:paraId="2E2554C2">
            <w:pPr>
              <w:widowControl/>
              <w:jc w:val="center"/>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18名</w:t>
            </w:r>
          </w:p>
        </w:tc>
        <w:tc>
          <w:tcPr>
            <w:tcW w:w="2129" w:type="dxa"/>
            <w:tcBorders>
              <w:top w:val="nil"/>
              <w:left w:val="nil"/>
              <w:bottom w:val="single" w:color="auto" w:sz="4" w:space="0"/>
              <w:right w:val="single" w:color="auto" w:sz="4" w:space="0"/>
            </w:tcBorders>
            <w:noWrap w:val="0"/>
            <w:vAlign w:val="center"/>
          </w:tcPr>
          <w:p w14:paraId="6FD59DE7">
            <w:pPr>
              <w:widowControl/>
              <w:jc w:val="center"/>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≤50周岁</w:t>
            </w:r>
          </w:p>
        </w:tc>
        <w:tc>
          <w:tcPr>
            <w:tcW w:w="1925" w:type="dxa"/>
            <w:tcBorders>
              <w:top w:val="nil"/>
              <w:left w:val="nil"/>
              <w:bottom w:val="single" w:color="auto" w:sz="4" w:space="0"/>
              <w:right w:val="single" w:color="auto" w:sz="4" w:space="0"/>
            </w:tcBorders>
            <w:noWrap w:val="0"/>
            <w:vAlign w:val="center"/>
          </w:tcPr>
          <w:p w14:paraId="52639BDC">
            <w:pPr>
              <w:widowControl/>
              <w:jc w:val="center"/>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有健康证、无犯罪证明</w:t>
            </w:r>
          </w:p>
        </w:tc>
        <w:tc>
          <w:tcPr>
            <w:tcW w:w="1925" w:type="dxa"/>
            <w:tcBorders>
              <w:top w:val="nil"/>
              <w:left w:val="nil"/>
              <w:bottom w:val="single" w:color="auto" w:sz="4" w:space="0"/>
              <w:right w:val="single" w:color="auto" w:sz="4" w:space="0"/>
            </w:tcBorders>
            <w:noWrap w:val="0"/>
            <w:vAlign w:val="center"/>
          </w:tcPr>
          <w:p w14:paraId="4475A2E8">
            <w:pPr>
              <w:widowControl/>
              <w:jc w:val="center"/>
              <w:rPr>
                <w:rFonts w:hint="default"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10个月</w:t>
            </w:r>
          </w:p>
        </w:tc>
      </w:tr>
    </w:tbl>
    <w:p w14:paraId="083F4CAE">
      <w:pPr>
        <w:keepNext w:val="0"/>
        <w:keepLines w:val="0"/>
        <w:pageBreakBefore w:val="0"/>
        <w:numPr>
          <w:ilvl w:val="0"/>
          <w:numId w:val="0"/>
        </w:numPr>
        <w:kinsoku/>
        <w:wordWrap/>
        <w:overflowPunct/>
        <w:topLinePunct w:val="0"/>
        <w:autoSpaceDE/>
        <w:autoSpaceDN/>
        <w:bidi w:val="0"/>
        <w:adjustRightInd/>
        <w:snapToGrid/>
        <w:spacing w:line="440" w:lineRule="exact"/>
        <w:ind w:firstLine="640" w:firstLineChars="200"/>
        <w:jc w:val="left"/>
        <w:rPr>
          <w:rFonts w:hint="eastAsia" w:ascii="仿宋" w:hAnsi="仿宋" w:eastAsia="仿宋" w:cs="宋体"/>
          <w:color w:val="000000"/>
          <w:kern w:val="2"/>
          <w:sz w:val="32"/>
          <w:szCs w:val="32"/>
          <w:lang w:val="en-US" w:eastAsia="zh-CN" w:bidi="ar-SA"/>
        </w:rPr>
      </w:pPr>
      <w:bookmarkStart w:id="1" w:name="_GoBack"/>
      <w:bookmarkEnd w:id="1"/>
      <w:r>
        <w:rPr>
          <w:rFonts w:hint="eastAsia" w:ascii="仿宋" w:hAnsi="仿宋" w:eastAsia="仿宋" w:cs="宋体"/>
          <w:color w:val="000000"/>
          <w:kern w:val="2"/>
          <w:sz w:val="32"/>
          <w:szCs w:val="32"/>
          <w:lang w:val="en-US" w:eastAsia="zh-CN" w:bidi="ar-SA"/>
        </w:rPr>
        <w:t>（一）校园营养餐的加工服务的范围</w:t>
      </w:r>
    </w:p>
    <w:p w14:paraId="3AAD5FB7">
      <w:pPr>
        <w:keepNext w:val="0"/>
        <w:keepLines w:val="0"/>
        <w:pageBreakBefore w:val="0"/>
        <w:numPr>
          <w:ilvl w:val="0"/>
          <w:numId w:val="0"/>
        </w:numPr>
        <w:kinsoku/>
        <w:wordWrap/>
        <w:overflowPunct/>
        <w:topLinePunct w:val="0"/>
        <w:autoSpaceDE/>
        <w:autoSpaceDN/>
        <w:bidi w:val="0"/>
        <w:adjustRightInd/>
        <w:snapToGrid/>
        <w:spacing w:line="440" w:lineRule="exact"/>
        <w:ind w:firstLine="640" w:firstLineChars="200"/>
        <w:jc w:val="left"/>
        <w:rPr>
          <w:rFonts w:hint="eastAsia" w:ascii="仿宋" w:hAnsi="仿宋" w:eastAsia="仿宋" w:cs="宋体"/>
          <w:color w:val="000000"/>
          <w:kern w:val="2"/>
          <w:sz w:val="32"/>
          <w:szCs w:val="32"/>
          <w:lang w:val="en-US" w:eastAsia="zh-CN" w:bidi="ar-SA"/>
        </w:rPr>
      </w:pPr>
      <w:r>
        <w:rPr>
          <w:rFonts w:hint="eastAsia" w:ascii="仿宋" w:hAnsi="仿宋" w:eastAsia="仿宋" w:cs="宋体"/>
          <w:color w:val="000000"/>
          <w:kern w:val="2"/>
          <w:sz w:val="32"/>
          <w:szCs w:val="32"/>
          <w:lang w:val="en-US" w:eastAsia="zh-CN" w:bidi="ar-SA"/>
        </w:rPr>
        <w:t>1、根据学生年龄、性别、身体状况等因素，制定营养餐食谱。</w:t>
      </w:r>
    </w:p>
    <w:p w14:paraId="1AE3E3DE">
      <w:pPr>
        <w:keepNext w:val="0"/>
        <w:keepLines w:val="0"/>
        <w:pageBreakBefore w:val="0"/>
        <w:numPr>
          <w:ilvl w:val="0"/>
          <w:numId w:val="0"/>
        </w:numPr>
        <w:kinsoku/>
        <w:wordWrap/>
        <w:overflowPunct/>
        <w:topLinePunct w:val="0"/>
        <w:autoSpaceDE/>
        <w:autoSpaceDN/>
        <w:bidi w:val="0"/>
        <w:adjustRightInd/>
        <w:snapToGrid/>
        <w:spacing w:line="440" w:lineRule="exact"/>
        <w:ind w:firstLine="640" w:firstLineChars="200"/>
        <w:jc w:val="left"/>
        <w:rPr>
          <w:rFonts w:hint="eastAsia" w:ascii="仿宋" w:hAnsi="仿宋" w:eastAsia="仿宋" w:cs="宋体"/>
          <w:color w:val="000000"/>
          <w:kern w:val="2"/>
          <w:sz w:val="32"/>
          <w:szCs w:val="32"/>
          <w:lang w:val="en-US" w:eastAsia="zh-CN" w:bidi="ar-SA"/>
        </w:rPr>
      </w:pPr>
      <w:r>
        <w:rPr>
          <w:rFonts w:hint="eastAsia" w:ascii="仿宋" w:hAnsi="仿宋" w:eastAsia="仿宋" w:cs="宋体"/>
          <w:color w:val="000000"/>
          <w:kern w:val="2"/>
          <w:sz w:val="32"/>
          <w:szCs w:val="32"/>
          <w:lang w:val="en-US" w:eastAsia="zh-CN" w:bidi="ar-SA"/>
        </w:rPr>
        <w:t>2、合理搭配主食、蔬菜、水果、肉类等食材，确保营养均衡。</w:t>
      </w:r>
    </w:p>
    <w:p w14:paraId="5ACAB75B">
      <w:pPr>
        <w:keepNext w:val="0"/>
        <w:keepLines w:val="0"/>
        <w:pageBreakBefore w:val="0"/>
        <w:numPr>
          <w:ilvl w:val="0"/>
          <w:numId w:val="0"/>
        </w:numPr>
        <w:kinsoku/>
        <w:wordWrap/>
        <w:overflowPunct/>
        <w:topLinePunct w:val="0"/>
        <w:autoSpaceDE/>
        <w:autoSpaceDN/>
        <w:bidi w:val="0"/>
        <w:adjustRightInd/>
        <w:snapToGrid/>
        <w:spacing w:line="440" w:lineRule="exact"/>
        <w:ind w:firstLine="640" w:firstLineChars="200"/>
        <w:jc w:val="left"/>
        <w:rPr>
          <w:rFonts w:hint="default" w:ascii="仿宋" w:hAnsi="仿宋" w:eastAsia="仿宋" w:cs="宋体"/>
          <w:color w:val="000000"/>
          <w:kern w:val="2"/>
          <w:sz w:val="32"/>
          <w:szCs w:val="32"/>
          <w:lang w:val="en-US" w:eastAsia="zh-CN" w:bidi="ar-SA"/>
        </w:rPr>
      </w:pPr>
      <w:r>
        <w:rPr>
          <w:rFonts w:hint="eastAsia" w:ascii="仿宋" w:hAnsi="仿宋" w:eastAsia="仿宋" w:cs="宋体"/>
          <w:color w:val="000000"/>
          <w:kern w:val="2"/>
          <w:sz w:val="32"/>
          <w:szCs w:val="32"/>
          <w:lang w:val="en-US" w:eastAsia="zh-CN" w:bidi="ar-SA"/>
        </w:rPr>
        <w:t>3、严格控制食品烹饪时间和温度，保证食品口感和营养价值。</w:t>
      </w:r>
    </w:p>
    <w:p w14:paraId="20520584">
      <w:pPr>
        <w:keepNext w:val="0"/>
        <w:keepLines w:val="0"/>
        <w:pageBreakBefore w:val="0"/>
        <w:numPr>
          <w:ilvl w:val="0"/>
          <w:numId w:val="0"/>
        </w:numPr>
        <w:kinsoku/>
        <w:wordWrap/>
        <w:overflowPunct/>
        <w:topLinePunct w:val="0"/>
        <w:autoSpaceDE/>
        <w:autoSpaceDN/>
        <w:bidi w:val="0"/>
        <w:adjustRightInd/>
        <w:snapToGrid/>
        <w:spacing w:line="440" w:lineRule="exact"/>
        <w:ind w:firstLine="640" w:firstLineChars="200"/>
        <w:jc w:val="left"/>
        <w:rPr>
          <w:rFonts w:hint="eastAsia" w:ascii="仿宋" w:hAnsi="仿宋" w:eastAsia="仿宋" w:cs="宋体"/>
          <w:color w:val="000000"/>
          <w:kern w:val="2"/>
          <w:sz w:val="32"/>
          <w:szCs w:val="32"/>
          <w:lang w:val="en-US" w:eastAsia="zh-CN" w:bidi="ar-SA"/>
        </w:rPr>
      </w:pPr>
      <w:r>
        <w:rPr>
          <w:rFonts w:hint="eastAsia" w:ascii="仿宋" w:hAnsi="仿宋" w:eastAsia="仿宋" w:cs="宋体"/>
          <w:color w:val="000000"/>
          <w:kern w:val="2"/>
          <w:sz w:val="32"/>
          <w:szCs w:val="32"/>
          <w:lang w:val="en-US" w:eastAsia="zh-CN" w:bidi="ar-SA"/>
        </w:rPr>
        <w:t>（二）人员服务的具体要求</w:t>
      </w:r>
    </w:p>
    <w:p w14:paraId="419A5370">
      <w:pPr>
        <w:keepNext w:val="0"/>
        <w:keepLines w:val="0"/>
        <w:pageBreakBefore w:val="0"/>
        <w:numPr>
          <w:ilvl w:val="0"/>
          <w:numId w:val="0"/>
        </w:numPr>
        <w:kinsoku/>
        <w:wordWrap/>
        <w:overflowPunct/>
        <w:topLinePunct w:val="0"/>
        <w:autoSpaceDE/>
        <w:autoSpaceDN/>
        <w:bidi w:val="0"/>
        <w:adjustRightInd/>
        <w:snapToGrid/>
        <w:spacing w:line="440" w:lineRule="exact"/>
        <w:ind w:firstLine="640" w:firstLineChars="200"/>
        <w:jc w:val="left"/>
        <w:rPr>
          <w:rFonts w:hint="eastAsia" w:ascii="仿宋" w:hAnsi="仿宋" w:eastAsia="仿宋" w:cs="宋体"/>
          <w:color w:val="000000"/>
          <w:kern w:val="2"/>
          <w:sz w:val="32"/>
          <w:szCs w:val="32"/>
          <w:lang w:val="en-US" w:eastAsia="zh-CN" w:bidi="ar-SA"/>
        </w:rPr>
      </w:pPr>
      <w:r>
        <w:rPr>
          <w:rFonts w:hint="eastAsia" w:ascii="仿宋" w:hAnsi="仿宋" w:eastAsia="仿宋" w:cs="宋体"/>
          <w:color w:val="000000"/>
          <w:kern w:val="2"/>
          <w:sz w:val="32"/>
          <w:szCs w:val="32"/>
          <w:lang w:val="en-US" w:eastAsia="zh-CN" w:bidi="ar-SA"/>
        </w:rPr>
        <w:t>1、所有人员必须按时按点上班签到，严格遵守学校的各项规章制度，按章规定执行，服从学校管理。制定详细的食品加工流程，确保食品在加工过程中不受污染。</w:t>
      </w:r>
    </w:p>
    <w:p w14:paraId="029CB85A">
      <w:pPr>
        <w:keepNext w:val="0"/>
        <w:keepLines w:val="0"/>
        <w:pageBreakBefore w:val="0"/>
        <w:numPr>
          <w:ilvl w:val="0"/>
          <w:numId w:val="0"/>
        </w:numPr>
        <w:kinsoku/>
        <w:wordWrap/>
        <w:overflowPunct/>
        <w:topLinePunct w:val="0"/>
        <w:autoSpaceDE/>
        <w:autoSpaceDN/>
        <w:bidi w:val="0"/>
        <w:adjustRightInd/>
        <w:snapToGrid/>
        <w:spacing w:line="440" w:lineRule="exact"/>
        <w:ind w:firstLine="640" w:firstLineChars="200"/>
        <w:jc w:val="left"/>
        <w:rPr>
          <w:rFonts w:hint="eastAsia" w:ascii="仿宋" w:hAnsi="仿宋" w:eastAsia="仿宋" w:cs="宋体"/>
          <w:color w:val="000000"/>
          <w:kern w:val="2"/>
          <w:sz w:val="32"/>
          <w:szCs w:val="32"/>
          <w:lang w:val="en-US" w:eastAsia="zh-CN" w:bidi="ar-SA"/>
        </w:rPr>
      </w:pPr>
      <w:r>
        <w:rPr>
          <w:rFonts w:hint="eastAsia" w:ascii="仿宋" w:hAnsi="仿宋" w:eastAsia="仿宋" w:cs="宋体"/>
          <w:color w:val="000000"/>
          <w:kern w:val="2"/>
          <w:sz w:val="32"/>
          <w:szCs w:val="32"/>
          <w:lang w:val="en-US" w:eastAsia="zh-CN" w:bidi="ar-SA"/>
        </w:rPr>
        <w:t>2、必须按照学校的要求配备人员，保证学生食堂工作正常开展。</w:t>
      </w:r>
    </w:p>
    <w:p w14:paraId="493420C6">
      <w:pPr>
        <w:keepNext w:val="0"/>
        <w:keepLines w:val="0"/>
        <w:pageBreakBefore w:val="0"/>
        <w:numPr>
          <w:ilvl w:val="0"/>
          <w:numId w:val="0"/>
        </w:numPr>
        <w:kinsoku/>
        <w:wordWrap/>
        <w:overflowPunct/>
        <w:topLinePunct w:val="0"/>
        <w:autoSpaceDE/>
        <w:autoSpaceDN/>
        <w:bidi w:val="0"/>
        <w:adjustRightInd/>
        <w:snapToGrid/>
        <w:spacing w:line="440" w:lineRule="exact"/>
        <w:ind w:firstLine="640" w:firstLineChars="200"/>
        <w:jc w:val="left"/>
        <w:rPr>
          <w:rFonts w:hint="eastAsia" w:ascii="仿宋" w:hAnsi="仿宋" w:eastAsia="仿宋" w:cs="宋体"/>
          <w:color w:val="000000"/>
          <w:kern w:val="2"/>
          <w:sz w:val="32"/>
          <w:szCs w:val="32"/>
          <w:lang w:val="en-US" w:eastAsia="zh-CN" w:bidi="ar-SA"/>
        </w:rPr>
      </w:pPr>
      <w:r>
        <w:rPr>
          <w:rFonts w:hint="eastAsia" w:ascii="仿宋" w:hAnsi="仿宋" w:eastAsia="仿宋" w:cs="宋体"/>
          <w:color w:val="000000"/>
          <w:kern w:val="2"/>
          <w:sz w:val="32"/>
          <w:szCs w:val="32"/>
          <w:lang w:val="en-US" w:eastAsia="zh-CN" w:bidi="ar-SA"/>
        </w:rPr>
        <w:t>3、定期对食堂加工人员进行专业培训，确保操作规范，提高食品加工质量。</w:t>
      </w:r>
    </w:p>
    <w:p w14:paraId="69F3521B">
      <w:pPr>
        <w:keepNext w:val="0"/>
        <w:keepLines w:val="0"/>
        <w:pageBreakBefore w:val="0"/>
        <w:numPr>
          <w:ilvl w:val="0"/>
          <w:numId w:val="0"/>
        </w:numPr>
        <w:kinsoku/>
        <w:wordWrap/>
        <w:overflowPunct/>
        <w:topLinePunct w:val="0"/>
        <w:autoSpaceDE/>
        <w:autoSpaceDN/>
        <w:bidi w:val="0"/>
        <w:adjustRightInd/>
        <w:snapToGrid/>
        <w:spacing w:line="440" w:lineRule="exact"/>
        <w:ind w:firstLine="640" w:firstLineChars="200"/>
        <w:jc w:val="left"/>
        <w:rPr>
          <w:rFonts w:hint="eastAsia" w:ascii="仿宋" w:hAnsi="仿宋" w:eastAsia="仿宋" w:cs="宋体"/>
          <w:color w:val="000000"/>
          <w:kern w:val="2"/>
          <w:sz w:val="32"/>
          <w:szCs w:val="32"/>
          <w:lang w:val="en-US" w:eastAsia="zh-CN" w:bidi="ar-SA"/>
        </w:rPr>
      </w:pPr>
      <w:r>
        <w:rPr>
          <w:rFonts w:hint="eastAsia" w:ascii="仿宋" w:hAnsi="仿宋" w:eastAsia="仿宋" w:cs="宋体"/>
          <w:color w:val="000000"/>
          <w:kern w:val="2"/>
          <w:sz w:val="32"/>
          <w:szCs w:val="32"/>
          <w:lang w:val="en-US" w:eastAsia="zh-CN" w:bidi="ar-SA"/>
        </w:rPr>
        <w:t>4、对食品加工设备进行定期维护和清洁，保证设备正常运行。</w:t>
      </w:r>
    </w:p>
    <w:p w14:paraId="624AA183">
      <w:pPr>
        <w:keepNext w:val="0"/>
        <w:keepLines w:val="0"/>
        <w:pageBreakBefore w:val="0"/>
        <w:numPr>
          <w:ilvl w:val="0"/>
          <w:numId w:val="0"/>
        </w:numPr>
        <w:kinsoku/>
        <w:wordWrap/>
        <w:overflowPunct/>
        <w:topLinePunct w:val="0"/>
        <w:autoSpaceDE/>
        <w:autoSpaceDN/>
        <w:bidi w:val="0"/>
        <w:adjustRightInd/>
        <w:snapToGrid/>
        <w:spacing w:line="440" w:lineRule="exact"/>
        <w:ind w:firstLine="640" w:firstLineChars="200"/>
        <w:jc w:val="left"/>
        <w:rPr>
          <w:rFonts w:hint="eastAsia" w:ascii="仿宋" w:hAnsi="仿宋" w:eastAsia="仿宋" w:cs="宋体"/>
          <w:color w:val="000000"/>
          <w:kern w:val="2"/>
          <w:sz w:val="32"/>
          <w:szCs w:val="32"/>
          <w:lang w:val="en-US" w:eastAsia="zh-CN" w:bidi="ar-SA"/>
        </w:rPr>
      </w:pPr>
      <w:r>
        <w:rPr>
          <w:rFonts w:hint="eastAsia" w:ascii="仿宋" w:hAnsi="仿宋" w:eastAsia="仿宋" w:cs="宋体"/>
          <w:color w:val="000000"/>
          <w:kern w:val="2"/>
          <w:sz w:val="32"/>
          <w:szCs w:val="32"/>
          <w:lang w:val="en-US" w:eastAsia="zh-CN" w:bidi="ar-SA"/>
        </w:rPr>
        <w:t>5、食堂工作人员按照上级要求，对营养餐做到保质保量及食品安全卫生。</w:t>
      </w:r>
    </w:p>
    <w:p w14:paraId="22B66E2A">
      <w:pPr>
        <w:keepNext w:val="0"/>
        <w:keepLines w:val="0"/>
        <w:pageBreakBefore w:val="0"/>
        <w:kinsoku/>
        <w:wordWrap/>
        <w:overflowPunct/>
        <w:topLinePunct w:val="0"/>
        <w:autoSpaceDE/>
        <w:autoSpaceDN/>
        <w:bidi w:val="0"/>
        <w:adjustRightInd/>
        <w:snapToGrid/>
        <w:spacing w:line="440" w:lineRule="exact"/>
        <w:ind w:firstLine="640" w:firstLineChars="200"/>
        <w:rPr>
          <w:rFonts w:hint="eastAsia" w:ascii="黑体" w:hAnsi="黑体" w:eastAsia="黑体" w:cs="宋体"/>
          <w:sz w:val="32"/>
          <w:szCs w:val="32"/>
        </w:rPr>
      </w:pPr>
      <w:r>
        <w:rPr>
          <w:rFonts w:hint="eastAsia" w:ascii="黑体" w:hAnsi="黑体" w:eastAsia="黑体" w:cs="宋体"/>
          <w:sz w:val="32"/>
          <w:szCs w:val="32"/>
          <w:lang w:eastAsia="zh-CN"/>
        </w:rPr>
        <w:t>四、</w:t>
      </w:r>
      <w:r>
        <w:rPr>
          <w:rFonts w:hint="eastAsia" w:ascii="黑体" w:hAnsi="黑体" w:eastAsia="黑体" w:cs="宋体"/>
          <w:sz w:val="32"/>
          <w:szCs w:val="32"/>
        </w:rPr>
        <w:t>服务质量、标准、期限、效率等要求</w:t>
      </w:r>
    </w:p>
    <w:p w14:paraId="0DF1567F">
      <w:pPr>
        <w:keepNext w:val="0"/>
        <w:keepLines w:val="0"/>
        <w:pageBreakBefore w:val="0"/>
        <w:numPr>
          <w:ilvl w:val="0"/>
          <w:numId w:val="0"/>
        </w:numPr>
        <w:kinsoku/>
        <w:wordWrap/>
        <w:overflowPunct/>
        <w:topLinePunct w:val="0"/>
        <w:autoSpaceDE/>
        <w:autoSpaceDN/>
        <w:bidi w:val="0"/>
        <w:adjustRightInd/>
        <w:snapToGrid/>
        <w:spacing w:line="440" w:lineRule="exact"/>
        <w:ind w:firstLine="640" w:firstLineChars="200"/>
        <w:jc w:val="left"/>
        <w:rPr>
          <w:rFonts w:hint="default" w:ascii="仿宋" w:hAnsi="仿宋" w:eastAsia="仿宋" w:cs="宋体"/>
          <w:color w:val="000000"/>
          <w:kern w:val="2"/>
          <w:sz w:val="32"/>
          <w:szCs w:val="32"/>
          <w:lang w:val="en-US" w:eastAsia="zh-CN" w:bidi="ar-SA"/>
        </w:rPr>
      </w:pPr>
      <w:r>
        <w:rPr>
          <w:rFonts w:hint="default" w:ascii="仿宋" w:hAnsi="仿宋" w:eastAsia="仿宋" w:cs="宋体"/>
          <w:color w:val="000000"/>
          <w:kern w:val="2"/>
          <w:sz w:val="32"/>
          <w:szCs w:val="32"/>
          <w:lang w:val="en-US" w:eastAsia="zh-CN" w:bidi="ar-SA"/>
        </w:rPr>
        <w:t>1、服务企业需要提供实施方案，</w:t>
      </w:r>
      <w:r>
        <w:rPr>
          <w:rFonts w:hint="eastAsia" w:ascii="仿宋" w:hAnsi="仿宋" w:eastAsia="仿宋" w:cs="宋体"/>
          <w:color w:val="000000"/>
          <w:kern w:val="2"/>
          <w:sz w:val="32"/>
          <w:szCs w:val="32"/>
          <w:lang w:val="en-US" w:eastAsia="zh-CN" w:bidi="ar-SA"/>
        </w:rPr>
        <w:t>对</w:t>
      </w:r>
      <w:r>
        <w:rPr>
          <w:rFonts w:hint="default" w:ascii="仿宋" w:hAnsi="仿宋" w:eastAsia="仿宋" w:cs="宋体"/>
          <w:color w:val="000000"/>
          <w:kern w:val="2"/>
          <w:sz w:val="32"/>
          <w:szCs w:val="32"/>
          <w:lang w:val="en-US" w:eastAsia="zh-CN" w:bidi="ar-SA"/>
        </w:rPr>
        <w:t>在规定的时间内确保学生人身安全，</w:t>
      </w:r>
      <w:r>
        <w:rPr>
          <w:rFonts w:hint="eastAsia" w:ascii="仿宋" w:hAnsi="仿宋" w:eastAsia="仿宋" w:cs="宋体"/>
          <w:color w:val="000000"/>
          <w:kern w:val="2"/>
          <w:sz w:val="32"/>
          <w:szCs w:val="32"/>
          <w:lang w:val="en-US" w:eastAsia="zh-CN" w:bidi="ar-SA"/>
        </w:rPr>
        <w:t>完成营养餐加工服务工作</w:t>
      </w:r>
      <w:r>
        <w:rPr>
          <w:rFonts w:hint="default" w:ascii="仿宋" w:hAnsi="仿宋" w:eastAsia="仿宋" w:cs="宋体"/>
          <w:color w:val="000000"/>
          <w:kern w:val="2"/>
          <w:sz w:val="32"/>
          <w:szCs w:val="32"/>
          <w:lang w:val="en-US" w:eastAsia="zh-CN" w:bidi="ar-SA"/>
        </w:rPr>
        <w:t>，有计划的完成服务需求中所包含的所有服务项目。</w:t>
      </w:r>
    </w:p>
    <w:p w14:paraId="5878C399">
      <w:pPr>
        <w:keepNext w:val="0"/>
        <w:keepLines w:val="0"/>
        <w:pageBreakBefore w:val="0"/>
        <w:numPr>
          <w:ilvl w:val="0"/>
          <w:numId w:val="0"/>
        </w:numPr>
        <w:kinsoku/>
        <w:wordWrap/>
        <w:overflowPunct/>
        <w:topLinePunct w:val="0"/>
        <w:autoSpaceDE/>
        <w:autoSpaceDN/>
        <w:bidi w:val="0"/>
        <w:adjustRightInd/>
        <w:snapToGrid/>
        <w:spacing w:line="440" w:lineRule="exact"/>
        <w:ind w:firstLine="640" w:firstLineChars="200"/>
        <w:jc w:val="left"/>
        <w:rPr>
          <w:rFonts w:hint="default" w:ascii="仿宋" w:hAnsi="仿宋" w:eastAsia="仿宋" w:cs="宋体"/>
          <w:color w:val="000000"/>
          <w:kern w:val="2"/>
          <w:sz w:val="32"/>
          <w:szCs w:val="32"/>
          <w:lang w:val="en-US" w:eastAsia="zh-CN" w:bidi="ar-SA"/>
        </w:rPr>
      </w:pPr>
      <w:r>
        <w:rPr>
          <w:rFonts w:hint="default" w:ascii="仿宋" w:hAnsi="仿宋" w:eastAsia="仿宋" w:cs="宋体"/>
          <w:color w:val="000000"/>
          <w:kern w:val="2"/>
          <w:sz w:val="32"/>
          <w:szCs w:val="32"/>
          <w:lang w:val="en-US" w:eastAsia="zh-CN" w:bidi="ar-SA"/>
        </w:rPr>
        <w:t>2、服务企业需要</w:t>
      </w:r>
      <w:r>
        <w:rPr>
          <w:rFonts w:hint="eastAsia" w:ascii="仿宋" w:hAnsi="仿宋" w:eastAsia="仿宋" w:cs="仿宋"/>
          <w:i w:val="0"/>
          <w:iCs w:val="0"/>
          <w:caps w:val="0"/>
          <w:color w:val="auto"/>
          <w:spacing w:val="0"/>
          <w:sz w:val="32"/>
          <w:szCs w:val="32"/>
          <w:shd w:val="clear" w:color="auto" w:fill="FFFFFF"/>
          <w:lang w:val="en-US" w:eastAsia="zh-CN"/>
        </w:rPr>
        <w:t>提供健康证且年龄不能超过50周岁、有县级公安机关开具的无犯罪证明营养餐加工人员（</w:t>
      </w:r>
      <w:r>
        <w:rPr>
          <w:rFonts w:hint="eastAsia" w:ascii="仿宋" w:hAnsi="仿宋" w:eastAsia="仿宋" w:cs="宋体"/>
          <w:color w:val="000000"/>
          <w:kern w:val="2"/>
          <w:sz w:val="32"/>
          <w:szCs w:val="32"/>
          <w:lang w:val="en-US" w:eastAsia="zh-CN" w:bidi="ar-SA"/>
        </w:rPr>
        <w:t>2名大厨，16名帮厨</w:t>
      </w:r>
      <w:r>
        <w:rPr>
          <w:rFonts w:hint="eastAsia" w:ascii="仿宋" w:hAnsi="仿宋" w:eastAsia="仿宋" w:cs="仿宋"/>
          <w:i w:val="0"/>
          <w:iCs w:val="0"/>
          <w:caps w:val="0"/>
          <w:color w:val="auto"/>
          <w:spacing w:val="0"/>
          <w:sz w:val="32"/>
          <w:szCs w:val="32"/>
          <w:shd w:val="clear" w:color="auto" w:fill="FFFFFF"/>
          <w:lang w:val="en-US" w:eastAsia="zh-CN"/>
        </w:rPr>
        <w:t>）</w:t>
      </w:r>
      <w:r>
        <w:rPr>
          <w:rFonts w:hint="default" w:ascii="仿宋" w:hAnsi="仿宋" w:eastAsia="仿宋" w:cs="宋体"/>
          <w:color w:val="000000"/>
          <w:kern w:val="2"/>
          <w:sz w:val="32"/>
          <w:szCs w:val="32"/>
          <w:lang w:val="en-US" w:eastAsia="zh-CN" w:bidi="ar-SA"/>
        </w:rPr>
        <w:t>根据管理时间节点，落实管理活动和人员安排，确保管理高效实施。</w:t>
      </w:r>
    </w:p>
    <w:p w14:paraId="26A9B2B2">
      <w:pPr>
        <w:keepNext w:val="0"/>
        <w:keepLines w:val="0"/>
        <w:pageBreakBefore w:val="0"/>
        <w:numPr>
          <w:ilvl w:val="0"/>
          <w:numId w:val="0"/>
        </w:numPr>
        <w:kinsoku/>
        <w:wordWrap/>
        <w:overflowPunct/>
        <w:topLinePunct w:val="0"/>
        <w:autoSpaceDE/>
        <w:autoSpaceDN/>
        <w:bidi w:val="0"/>
        <w:adjustRightInd/>
        <w:snapToGrid/>
        <w:spacing w:line="440" w:lineRule="exact"/>
        <w:ind w:firstLine="6080" w:firstLineChars="1900"/>
        <w:jc w:val="left"/>
        <w:rPr>
          <w:rFonts w:hint="default" w:ascii="仿宋" w:hAnsi="仿宋" w:eastAsia="仿宋" w:cs="宋体"/>
          <w:color w:val="000000"/>
          <w:sz w:val="32"/>
          <w:szCs w:val="32"/>
          <w:lang w:val="en-US" w:eastAsia="zh-CN"/>
        </w:rPr>
      </w:pPr>
    </w:p>
    <w:sectPr>
      <w:pgSz w:w="11906" w:h="16838"/>
      <w:pgMar w:top="1440" w:right="1463" w:bottom="1440" w:left="146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5DBCED0-8347-4FAB-811F-E5DD3A9EA418}"/>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embedRegular r:id="rId2" w:fontKey="{12D238A6-D708-4250-80F4-9E810DC27B49}"/>
  </w:font>
  <w:font w:name="方正仿宋_GB2312">
    <w:panose1 w:val="02000000000000000000"/>
    <w:charset w:val="86"/>
    <w:family w:val="auto"/>
    <w:pitch w:val="default"/>
    <w:sig w:usb0="A00002BF" w:usb1="184F6CFA" w:usb2="00000012" w:usb3="00000000" w:csb0="00040001" w:csb1="00000000"/>
    <w:embedRegular r:id="rId3" w:fontKey="{3DF16598-2625-41B1-8B95-5F416E8A69FA}"/>
  </w:font>
  <w:font w:name="WPSEMBED3">
    <w:panose1 w:val="02000000000000000000"/>
    <w:charset w:val="86"/>
    <w:family w:val="auto"/>
    <w:pitch w:val="default"/>
    <w:sig w:usb0="A00002BF" w:usb1="184F6CFA" w:usb2="00000012"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6E2E8DB"/>
    <w:multiLevelType w:val="singleLevel"/>
    <w:tmpl w:val="36E2E8DB"/>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8A3D9B"/>
    <w:rsid w:val="06C208C0"/>
    <w:rsid w:val="097D12FC"/>
    <w:rsid w:val="0CA366AD"/>
    <w:rsid w:val="1049068A"/>
    <w:rsid w:val="112076B2"/>
    <w:rsid w:val="11D119FC"/>
    <w:rsid w:val="1284391B"/>
    <w:rsid w:val="140D6614"/>
    <w:rsid w:val="165D1C13"/>
    <w:rsid w:val="1B9E2D93"/>
    <w:rsid w:val="1E2B076A"/>
    <w:rsid w:val="1E340C41"/>
    <w:rsid w:val="230639FB"/>
    <w:rsid w:val="2338539B"/>
    <w:rsid w:val="287845F5"/>
    <w:rsid w:val="2C4B6439"/>
    <w:rsid w:val="2C8B16A9"/>
    <w:rsid w:val="2E00469C"/>
    <w:rsid w:val="3025445E"/>
    <w:rsid w:val="395F1248"/>
    <w:rsid w:val="3AE50EA1"/>
    <w:rsid w:val="3C937993"/>
    <w:rsid w:val="3D6A7D83"/>
    <w:rsid w:val="40D410B3"/>
    <w:rsid w:val="435556FD"/>
    <w:rsid w:val="45CD658F"/>
    <w:rsid w:val="472C440A"/>
    <w:rsid w:val="48711FC6"/>
    <w:rsid w:val="4A4C1298"/>
    <w:rsid w:val="4DF74D1B"/>
    <w:rsid w:val="4E5E3694"/>
    <w:rsid w:val="4EE01C53"/>
    <w:rsid w:val="50DB6B76"/>
    <w:rsid w:val="51426BF5"/>
    <w:rsid w:val="53456529"/>
    <w:rsid w:val="53902026"/>
    <w:rsid w:val="53C4784B"/>
    <w:rsid w:val="5587114A"/>
    <w:rsid w:val="569145CD"/>
    <w:rsid w:val="56A1647D"/>
    <w:rsid w:val="5977557C"/>
    <w:rsid w:val="5B1C56B0"/>
    <w:rsid w:val="5BBD5759"/>
    <w:rsid w:val="5D6F6C3D"/>
    <w:rsid w:val="5E32585B"/>
    <w:rsid w:val="5F8B1768"/>
    <w:rsid w:val="6133772F"/>
    <w:rsid w:val="63BB7031"/>
    <w:rsid w:val="63EF49BB"/>
    <w:rsid w:val="64540CC2"/>
    <w:rsid w:val="69961435"/>
    <w:rsid w:val="6E056B89"/>
    <w:rsid w:val="6E5702CA"/>
    <w:rsid w:val="713A7968"/>
    <w:rsid w:val="735948EA"/>
    <w:rsid w:val="79E31C97"/>
    <w:rsid w:val="7E1B35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unhideWhenUsed/>
    <w:qFormat/>
    <w:uiPriority w:val="99"/>
    <w:rPr>
      <w:rFonts w:ascii="Times New Roman" w:hAnsi="Times New Roman" w:eastAsia="宋体" w:cs="Times New Roman"/>
      <w:sz w:val="24"/>
      <w:szCs w:val="20"/>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1810</Words>
  <Characters>1928</Characters>
  <Lines>0</Lines>
  <Paragraphs>0</Paragraphs>
  <TotalTime>9</TotalTime>
  <ScaleCrop>false</ScaleCrop>
  <LinksUpToDate>false</LinksUpToDate>
  <CharactersWithSpaces>1946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2024-11-11T07:47:00Z</dcterms:created>
  <dc:creator>Administrator</dc:creator>
  <cp:lastModifiedBy>m</cp:lastModifiedBy>
  <cp:lastPrinted>2026-07-01T00:08:00Z</cp:lastPrinted>
  <dcterms:modified xsi:type="dcterms:W3CDTF">2026-08-05T11:15:54Z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2BD58DAC374344D39E206375065EF026_13</vt:lpwstr>
  </property>
  <property fmtid="{D5CDD505-2E9C-101B-9397-08002B2CF9AE}" pid="4" name="KSOTemplateDocerSaveRecord">
    <vt:lpwstr>eyJoZGlkIjoiZDc3YTAzMDhiY2Q4ZjM3NGM3MTNhOWI2ZmM0ZmNmZjYiLCJ1c2VySWQiOiI3NTY1MjgyNzUifQ==</vt:lpwstr>
  </property>
</Properties>
</file>