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版本号：HXGJXM2026-ZC-CS1034.1B120260716001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职工廉政灶服务外包项目(二次)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HXGJXM2026-ZC-CS1034.1B1</w:t>
      </w:r>
      <w:r>
        <w:br/>
      </w:r>
      <w:r>
        <w:br/>
      </w:r>
      <w:r>
        <w:br/>
      </w:r>
    </w:p>
    <w:p>
      <w:pPr>
        <w:pStyle w:val="null3"/>
        <w:jc w:val="center"/>
        <w:outlineLvl w:val="2"/>
      </w:pPr>
      <w:r>
        <w:rPr>
          <w:rFonts w:ascii="仿宋_GB2312" w:hAnsi="仿宋_GB2312" w:cs="仿宋_GB2312" w:eastAsia="仿宋_GB2312"/>
          <w:sz w:val="28"/>
          <w:b/>
        </w:rPr>
        <w:t>西安市鄠邑区中医医院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西安市鄠邑区中医医院</w:t>
      </w:r>
      <w:r>
        <w:rPr>
          <w:rFonts w:ascii="仿宋_GB2312" w:hAnsi="仿宋_GB2312" w:cs="仿宋_GB2312" w:eastAsia="仿宋_GB2312"/>
        </w:rPr>
        <w:t>委托，拟对</w:t>
      </w:r>
      <w:r>
        <w:rPr>
          <w:rFonts w:ascii="仿宋_GB2312" w:hAnsi="仿宋_GB2312" w:cs="仿宋_GB2312" w:eastAsia="仿宋_GB2312"/>
        </w:rPr>
        <w:t>职工廉政灶服务外包项目(二次)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职工廉政灶服务外包项目(二次)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职工廉政灶服务外包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采购包1（职工廉政灶服务外包）：属于专门面向中小企业采购。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在本单位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处罚期限届满的除外)（以现场信用记录查询结果为准）。</w:t>
      </w:r>
    </w:p>
    <w:p>
      <w:pPr>
        <w:pStyle w:val="null3"/>
      </w:pPr>
      <w:r>
        <w:rPr>
          <w:rFonts w:ascii="仿宋_GB2312" w:hAnsi="仿宋_GB2312" w:cs="仿宋_GB2312" w:eastAsia="仿宋_GB2312"/>
        </w:rPr>
        <w:t>3、资质：供应商须提供有效期内的省市场监管局签发的含“餐饮服务管理”许可项目的《食品经营许可证》。</w:t>
      </w:r>
    </w:p>
    <w:p>
      <w:pPr>
        <w:pStyle w:val="null3"/>
      </w:pPr>
      <w:r>
        <w:rPr>
          <w:rFonts w:ascii="仿宋_GB2312" w:hAnsi="仿宋_GB2312" w:cs="仿宋_GB2312" w:eastAsia="仿宋_GB2312"/>
        </w:rPr>
        <w:t>4、非联合体：本项目不接受联合体。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陕西省西安市鄠邑区吕公东路5189号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029-84825537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采购包1：715,400.00元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下浮20%执行。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西安市鄠邑区中医医院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完全满足本项目服务内容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职工廉政灶服务外包项目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715,400.00</w:t>
      </w:r>
    </w:p>
    <w:p>
      <w:pPr>
        <w:pStyle w:val="null3"/>
      </w:pPr>
      <w:r>
        <w:rPr>
          <w:rFonts w:ascii="仿宋_GB2312" w:hAnsi="仿宋_GB2312" w:cs="仿宋_GB2312" w:eastAsia="仿宋_GB2312"/>
        </w:rPr>
        <w:t>采购包最高限价（元）: 715,400.00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职工廉政灶服务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715,400.00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标的名称：职工廉政灶服务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rPr>
              <w:t>一、项目概况</w:t>
            </w:r>
          </w:p>
          <w:p>
            <w:pPr>
              <w:pStyle w:val="null3"/>
              <w:ind w:firstLine="480"/>
              <w:jc w:val="left"/>
            </w:pPr>
            <w:r>
              <w:rPr>
                <w:rFonts w:ascii="仿宋_GB2312" w:hAnsi="仿宋_GB2312" w:cs="仿宋_GB2312" w:eastAsia="仿宋_GB2312"/>
                <w:sz w:val="21"/>
              </w:rPr>
              <w:t>西安市鄠邑区中医医院将位于医院餐厅二层（面积约500平方米）的职工廉政灶委托给第三方经营管理。</w:t>
            </w:r>
          </w:p>
          <w:p>
            <w:pPr>
              <w:pStyle w:val="null3"/>
              <w:ind w:firstLine="480"/>
              <w:jc w:val="left"/>
            </w:pPr>
            <w:r>
              <w:rPr>
                <w:rFonts w:ascii="仿宋_GB2312" w:hAnsi="仿宋_GB2312" w:cs="仿宋_GB2312" w:eastAsia="仿宋_GB2312"/>
                <w:sz w:val="21"/>
              </w:rPr>
              <w:t>二、服务内容</w:t>
            </w:r>
          </w:p>
          <w:p>
            <w:pPr>
              <w:pStyle w:val="null3"/>
              <w:ind w:firstLine="480"/>
              <w:jc w:val="left"/>
            </w:pPr>
            <w:r>
              <w:rPr>
                <w:rFonts w:ascii="仿宋_GB2312" w:hAnsi="仿宋_GB2312" w:cs="仿宋_GB2312" w:eastAsia="仿宋_GB2312"/>
                <w:sz w:val="21"/>
              </w:rPr>
              <w:t>经营期间，食堂现有场地、固定设施设备（含厨房基础操作设备、冷藏存储设备、用餐区桌椅、水电管线等）由医院无偿提供给承包商使用；除上述医院已提供的设施设备外，承包商承包经营所需的其他补充设施、易耗工具、专用厨具等由承包商自行负责购置，产权归承包商所有，承包期满后承包商可自行处置，但不得拆除损坏医院原有固定设施。服务内容包含食堂运营管理、食材采购及加工、厨师团队聘请与管理、食堂的日常保洁与消杀、食堂设施设备维修及保养、餐具及桌椅等日常消耗品的补充和厨余垃圾的处理等;</w:t>
            </w:r>
          </w:p>
          <w:p>
            <w:pPr>
              <w:pStyle w:val="null3"/>
              <w:ind w:firstLine="480"/>
              <w:jc w:val="left"/>
            </w:pPr>
            <w:r>
              <w:rPr>
                <w:rFonts w:ascii="仿宋_GB2312" w:hAnsi="仿宋_GB2312" w:cs="仿宋_GB2312" w:eastAsia="仿宋_GB2312"/>
                <w:sz w:val="21"/>
              </w:rPr>
              <w:t>三、服务要求</w:t>
            </w:r>
          </w:p>
          <w:p>
            <w:pPr>
              <w:pStyle w:val="null3"/>
              <w:ind w:firstLine="480"/>
              <w:jc w:val="left"/>
            </w:pPr>
            <w:r>
              <w:rPr>
                <w:rFonts w:ascii="仿宋_GB2312" w:hAnsi="仿宋_GB2312" w:cs="仿宋_GB2312" w:eastAsia="仿宋_GB2312"/>
                <w:sz w:val="21"/>
              </w:rPr>
              <w:t>餐厅计划不少于9人（人员数量供应商可根据自身服务内容进行增加），其中必须具有烹饪操作技能2人（中级以上职称），年龄不能超过60周岁，所有人员必须持健康证上岗。</w:t>
            </w:r>
          </w:p>
          <w:p>
            <w:pPr>
              <w:pStyle w:val="null3"/>
              <w:ind w:firstLine="480"/>
              <w:jc w:val="left"/>
            </w:pPr>
            <w:r>
              <w:rPr>
                <w:rFonts w:ascii="仿宋_GB2312" w:hAnsi="仿宋_GB2312" w:cs="仿宋_GB2312" w:eastAsia="仿宋_GB2312"/>
                <w:sz w:val="21"/>
              </w:rPr>
              <w:t>（一）工作职责</w:t>
            </w:r>
          </w:p>
          <w:p>
            <w:pPr>
              <w:pStyle w:val="null3"/>
              <w:ind w:firstLine="480"/>
              <w:jc w:val="left"/>
            </w:pPr>
            <w:r>
              <w:rPr>
                <w:rFonts w:ascii="仿宋_GB2312" w:hAnsi="仿宋_GB2312" w:cs="仿宋_GB2312" w:eastAsia="仿宋_GB2312"/>
                <w:sz w:val="21"/>
              </w:rPr>
              <w:t>1.主要为医院工作人员提供早、午、晚工作餐，本医院内部人员凭卡消费。</w:t>
            </w:r>
          </w:p>
          <w:p>
            <w:pPr>
              <w:pStyle w:val="null3"/>
              <w:ind w:firstLine="480"/>
              <w:jc w:val="left"/>
            </w:pPr>
            <w:r>
              <w:rPr>
                <w:rFonts w:ascii="仿宋_GB2312" w:hAnsi="仿宋_GB2312" w:cs="仿宋_GB2312" w:eastAsia="仿宋_GB2312"/>
                <w:sz w:val="21"/>
              </w:rPr>
              <w:t>2.负责相应食材采购，所有食材须有合格证明及相关资质文件、批次检验报告等资料，禁止三无产品、临期过期及不合格产品出现。</w:t>
            </w:r>
          </w:p>
          <w:p>
            <w:pPr>
              <w:pStyle w:val="null3"/>
              <w:ind w:firstLine="480"/>
              <w:jc w:val="left"/>
            </w:pPr>
            <w:r>
              <w:rPr>
                <w:rFonts w:ascii="仿宋_GB2312" w:hAnsi="仿宋_GB2312" w:cs="仿宋_GB2312" w:eastAsia="仿宋_GB2312"/>
                <w:sz w:val="21"/>
              </w:rPr>
              <w:t>（二）服务要求</w:t>
            </w:r>
          </w:p>
          <w:p>
            <w:pPr>
              <w:pStyle w:val="null3"/>
              <w:ind w:firstLine="480"/>
              <w:jc w:val="left"/>
            </w:pPr>
            <w:r>
              <w:rPr>
                <w:rFonts w:ascii="仿宋_GB2312" w:hAnsi="仿宋_GB2312" w:cs="仿宋_GB2312" w:eastAsia="仿宋_GB2312"/>
                <w:sz w:val="21"/>
              </w:rPr>
              <w:t>1、餐饮供应方案</w:t>
            </w:r>
          </w:p>
          <w:p>
            <w:pPr>
              <w:pStyle w:val="null3"/>
              <w:ind w:firstLine="480"/>
              <w:jc w:val="left"/>
            </w:pPr>
            <w:r>
              <w:rPr>
                <w:rFonts w:ascii="仿宋_GB2312" w:hAnsi="仿宋_GB2312" w:cs="仿宋_GB2312" w:eastAsia="仿宋_GB2312"/>
                <w:sz w:val="21"/>
              </w:rPr>
              <w:t>①早餐包含但不限于以下种类</w:t>
            </w:r>
          </w:p>
          <w:p>
            <w:pPr>
              <w:pStyle w:val="null3"/>
              <w:ind w:firstLine="480"/>
              <w:jc w:val="left"/>
            </w:pPr>
            <w:r>
              <w:rPr>
                <w:rFonts w:ascii="仿宋_GB2312" w:hAnsi="仿宋_GB2312" w:cs="仿宋_GB2312" w:eastAsia="仿宋_GB2312"/>
                <w:sz w:val="21"/>
              </w:rPr>
              <w:t>软菜盒、油酥饼、麻团、花卷、菜卷、包子、豆浆、稀饭、豆腐脑、花干夹馍、菜夹馍、荷叶饼夹菜、油饼、油饼夹菜、小菜、鸡蛋、糊辣汤等。</w:t>
            </w:r>
          </w:p>
          <w:p>
            <w:pPr>
              <w:pStyle w:val="null3"/>
              <w:ind w:firstLine="480"/>
              <w:jc w:val="left"/>
            </w:pPr>
            <w:r>
              <w:rPr>
                <w:rFonts w:ascii="仿宋_GB2312" w:hAnsi="仿宋_GB2312" w:cs="仿宋_GB2312" w:eastAsia="仿宋_GB2312"/>
                <w:sz w:val="21"/>
              </w:rPr>
              <w:t>②午餐包含但不限于以下种类</w:t>
            </w:r>
          </w:p>
          <w:p>
            <w:pPr>
              <w:pStyle w:val="null3"/>
              <w:ind w:firstLine="480"/>
              <w:jc w:val="left"/>
            </w:pPr>
            <w:r>
              <w:rPr>
                <w:rFonts w:ascii="仿宋_GB2312" w:hAnsi="仿宋_GB2312" w:cs="仿宋_GB2312" w:eastAsia="仿宋_GB2312"/>
                <w:sz w:val="21"/>
              </w:rPr>
              <w:t>米饭、面、牛筋面、疙瘩、凉皮、凉鱼、烩菜、烙饼、炒麻食、炒面、烙麻食、鸡腿、酸辣粉、炒米饭等。</w:t>
            </w:r>
          </w:p>
          <w:p>
            <w:pPr>
              <w:pStyle w:val="null3"/>
              <w:ind w:firstLine="480"/>
              <w:jc w:val="left"/>
            </w:pPr>
            <w:r>
              <w:rPr>
                <w:rFonts w:ascii="仿宋_GB2312" w:hAnsi="仿宋_GB2312" w:cs="仿宋_GB2312" w:eastAsia="仿宋_GB2312"/>
                <w:sz w:val="21"/>
              </w:rPr>
              <w:t>③晚餐包含但不限于以下种类</w:t>
            </w:r>
          </w:p>
          <w:p>
            <w:pPr>
              <w:pStyle w:val="null3"/>
              <w:ind w:firstLine="480"/>
              <w:jc w:val="left"/>
            </w:pPr>
            <w:r>
              <w:rPr>
                <w:rFonts w:ascii="仿宋_GB2312" w:hAnsi="仿宋_GB2312" w:cs="仿宋_GB2312" w:eastAsia="仿宋_GB2312"/>
                <w:sz w:val="21"/>
              </w:rPr>
              <w:t>葱花油饼、热菜、稀饭、包子、蒸馍等。</w:t>
            </w:r>
          </w:p>
          <w:p>
            <w:pPr>
              <w:pStyle w:val="null3"/>
              <w:ind w:firstLine="480"/>
              <w:jc w:val="left"/>
            </w:pPr>
            <w:r>
              <w:rPr>
                <w:rFonts w:ascii="仿宋_GB2312" w:hAnsi="仿宋_GB2312" w:cs="仿宋_GB2312" w:eastAsia="仿宋_GB2312"/>
                <w:sz w:val="21"/>
              </w:rPr>
              <w:t>④传统节假日、重大节日供应有关节日文化食品。</w:t>
            </w:r>
          </w:p>
          <w:p>
            <w:pPr>
              <w:pStyle w:val="null3"/>
              <w:ind w:firstLine="480"/>
              <w:jc w:val="left"/>
            </w:pPr>
            <w:r>
              <w:rPr>
                <w:rFonts w:ascii="仿宋_GB2312" w:hAnsi="仿宋_GB2312" w:cs="仿宋_GB2312" w:eastAsia="仿宋_GB2312"/>
                <w:sz w:val="21"/>
              </w:rPr>
              <w:t>2、价格要求</w:t>
            </w:r>
          </w:p>
          <w:p>
            <w:pPr>
              <w:pStyle w:val="null3"/>
              <w:ind w:firstLine="480"/>
              <w:jc w:val="left"/>
            </w:pPr>
            <w:r>
              <w:rPr>
                <w:rFonts w:ascii="仿宋_GB2312" w:hAnsi="仿宋_GB2312" w:cs="仿宋_GB2312" w:eastAsia="仿宋_GB2312"/>
                <w:sz w:val="21"/>
              </w:rPr>
              <w:t>承包商饭菜执行内部价格，在提高质量保证份量的同时，添加花色品种，保证医院医护人员吃好吃饱。饭菜调整或新推品种，价格甲乙双方协商解决。价格甲乙双方协商解决，原则上单项价格不超过市场价格的60%。</w:t>
            </w:r>
          </w:p>
          <w:p>
            <w:pPr>
              <w:pStyle w:val="null3"/>
              <w:ind w:firstLine="480"/>
              <w:jc w:val="left"/>
            </w:pPr>
            <w:r>
              <w:rPr>
                <w:rFonts w:ascii="仿宋_GB2312" w:hAnsi="仿宋_GB2312" w:cs="仿宋_GB2312" w:eastAsia="仿宋_GB2312"/>
                <w:sz w:val="21"/>
              </w:rPr>
              <w:t>3、服务管理及食材管理要求</w:t>
            </w:r>
          </w:p>
          <w:p>
            <w:pPr>
              <w:pStyle w:val="null3"/>
              <w:ind w:firstLine="480"/>
              <w:jc w:val="left"/>
            </w:pPr>
            <w:r>
              <w:rPr>
                <w:rFonts w:ascii="仿宋_GB2312" w:hAnsi="仿宋_GB2312" w:cs="仿宋_GB2312" w:eastAsia="仿宋_GB2312"/>
                <w:sz w:val="21"/>
              </w:rPr>
              <w:t>1.服务管理</w:t>
            </w:r>
          </w:p>
          <w:p>
            <w:pPr>
              <w:pStyle w:val="null3"/>
              <w:ind w:firstLine="480"/>
              <w:jc w:val="left"/>
            </w:pPr>
            <w:r>
              <w:rPr>
                <w:rFonts w:ascii="仿宋_GB2312" w:hAnsi="仿宋_GB2312" w:cs="仿宋_GB2312" w:eastAsia="仿宋_GB2312"/>
                <w:sz w:val="21"/>
              </w:rPr>
              <w:t>①自觉接受采购方及政府相关部门的监督、检查与处罚，发现问题及时整改。监督内容包括：食品安全、食品质量、卫生状况、服务质量等。</w:t>
            </w:r>
          </w:p>
          <w:p>
            <w:pPr>
              <w:pStyle w:val="null3"/>
              <w:ind w:firstLine="480"/>
              <w:jc w:val="left"/>
            </w:pPr>
            <w:r>
              <w:rPr>
                <w:rFonts w:ascii="仿宋_GB2312" w:hAnsi="仿宋_GB2312" w:cs="仿宋_GB2312" w:eastAsia="仿宋_GB2312"/>
                <w:sz w:val="21"/>
              </w:rPr>
              <w:t>②严格遵守并执行国家与地方各级政府、卫生防疫部门及卫健系统主管单位下发食品安全方面的法律法规、行业标准等规定，建立一个能使医院及工作人员认同的食堂服务保障体系，并有义务配合政府相关部门的检查，完成其布置的任务，营造文明、卫生、舒适、优雅的就餐环境。</w:t>
            </w:r>
          </w:p>
          <w:p>
            <w:pPr>
              <w:pStyle w:val="null3"/>
              <w:ind w:firstLine="480"/>
              <w:jc w:val="left"/>
            </w:pPr>
            <w:r>
              <w:rPr>
                <w:rFonts w:ascii="仿宋_GB2312" w:hAnsi="仿宋_GB2312" w:cs="仿宋_GB2312" w:eastAsia="仿宋_GB2312"/>
                <w:sz w:val="21"/>
              </w:rPr>
              <w:t>③供应商应当建立食品安全追溯体系，如实、准确、完整记录并保存食品进货查验等信息，保证食品可追溯。</w:t>
            </w:r>
          </w:p>
          <w:p>
            <w:pPr>
              <w:pStyle w:val="null3"/>
              <w:ind w:firstLine="480"/>
              <w:jc w:val="left"/>
            </w:pPr>
            <w:r>
              <w:rPr>
                <w:rFonts w:ascii="仿宋_GB2312" w:hAnsi="仿宋_GB2312" w:cs="仿宋_GB2312" w:eastAsia="仿宋_GB2312"/>
                <w:sz w:val="21"/>
              </w:rPr>
              <w:t>④经营期间，承包商人员人身安全责任及造成他人伤害责任（含上下班途中及外出采购过程中交通事故等）全部由承包商承担，与医院无关。</w:t>
            </w:r>
          </w:p>
          <w:p>
            <w:pPr>
              <w:pStyle w:val="null3"/>
              <w:ind w:firstLine="480"/>
              <w:jc w:val="left"/>
            </w:pPr>
            <w:r>
              <w:rPr>
                <w:rFonts w:ascii="仿宋_GB2312" w:hAnsi="仿宋_GB2312" w:cs="仿宋_GB2312" w:eastAsia="仿宋_GB2312"/>
                <w:sz w:val="21"/>
              </w:rPr>
              <w:t>⑤承包商必须制定食堂消防安全管理规章及应急措施，承包商法人代表为消防安全第一责任人。合同期内职工廉政灶如发生消防安全事件，责任全部由承包商承担。</w:t>
            </w:r>
          </w:p>
          <w:p>
            <w:pPr>
              <w:pStyle w:val="null3"/>
              <w:ind w:firstLine="480"/>
              <w:jc w:val="left"/>
            </w:pPr>
            <w:r>
              <w:rPr>
                <w:rFonts w:ascii="仿宋_GB2312" w:hAnsi="仿宋_GB2312" w:cs="仿宋_GB2312" w:eastAsia="仿宋_GB2312"/>
                <w:sz w:val="21"/>
              </w:rPr>
              <w:t>⑥承包商要严格遵守食品安全法和各项操作要求，经营期内如发生食品安全事件，由此产生的相关责任和问题全部由承包商承担，与医院无关。</w:t>
            </w:r>
          </w:p>
          <w:p>
            <w:pPr>
              <w:pStyle w:val="null3"/>
              <w:ind w:firstLine="480"/>
              <w:jc w:val="left"/>
            </w:pPr>
            <w:r>
              <w:rPr>
                <w:rFonts w:ascii="仿宋_GB2312" w:hAnsi="仿宋_GB2312" w:cs="仿宋_GB2312" w:eastAsia="仿宋_GB2312"/>
                <w:sz w:val="21"/>
              </w:rPr>
              <w:t>⑦承包商应组织工作人员认真学习各项安全管理制度和各项应急预案等，加强安全巡查，及时消除各项安全隐患。</w:t>
            </w:r>
          </w:p>
          <w:p>
            <w:pPr>
              <w:pStyle w:val="null3"/>
              <w:ind w:firstLine="480"/>
              <w:jc w:val="left"/>
            </w:pPr>
            <w:r>
              <w:rPr>
                <w:rFonts w:ascii="仿宋_GB2312" w:hAnsi="仿宋_GB2312" w:cs="仿宋_GB2312" w:eastAsia="仿宋_GB2312"/>
                <w:sz w:val="21"/>
              </w:rPr>
              <w:t>2.食材管理</w:t>
            </w:r>
          </w:p>
          <w:p>
            <w:pPr>
              <w:pStyle w:val="null3"/>
              <w:ind w:firstLine="480"/>
              <w:jc w:val="left"/>
            </w:pPr>
            <w:r>
              <w:rPr>
                <w:rFonts w:ascii="仿宋_GB2312" w:hAnsi="仿宋_GB2312" w:cs="仿宋_GB2312" w:eastAsia="仿宋_GB2312"/>
                <w:sz w:val="21"/>
              </w:rPr>
              <w:t>①涉及预包装食品的必须为正规生产企业的产品。</w:t>
            </w:r>
          </w:p>
          <w:p>
            <w:pPr>
              <w:pStyle w:val="null3"/>
              <w:ind w:firstLine="480"/>
              <w:jc w:val="left"/>
            </w:pPr>
            <w:r>
              <w:rPr>
                <w:rFonts w:ascii="仿宋_GB2312" w:hAnsi="仿宋_GB2312" w:cs="仿宋_GB2312" w:eastAsia="仿宋_GB2312"/>
                <w:sz w:val="21"/>
              </w:rPr>
              <w:t>②质量要求：大米：国标二等；包装袋上有注册商标，有检验合格证、生产日期和保质期；面粉：特制一等粉；包装袋上有注册商标，有检验合格证、生产日期和保质期；食用油：非转基因菜籽油；包装袋上有注册商标，有检验合格证、生产日期和保质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一年(次年依据合同履约情况续签合同，最长不超过三年)。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完全满足本项目服务内容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进度款，合同签订完毕达到甲方要求，达到付款条件起10个工作日内，支付合同总金额的8.3%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进度款，每月达到甲方要求，达到付款条件起10个工作日内，支付合同总金额的8.3%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进度款，每月达到甲方要求，达到付款条件起10个工作日内，支付合同总金额的8.7%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1、双方任何一方违反本合同任一条款即构成违约，违约方应当给守约方支付20%违约金。同时，违约方还需承担守约方因实现权利产生的诉讼费、律师费、保全费、担保费等。 2、在本合同履行期间如产生争议，双方应当首先进行友好协商，若协商不成，可向甲方所在地有管辖权的人民法院提起诉讼起诉。 3、除因不可抗拒的事件外（如地震、水灾、旱灾、战争、政府禁令、罢工等），任何一方不得以任何理由不经协商而中断合同的有效执行。 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付款说明:达到甲方要求，按月据实结算，具体按合同执行。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要求填写《响应函》完成承诺并提供 以下资料进行电子签章。 (1)具有独立承担民事责任能力的法人、其他组织或自然人：法人参与的提供合法有效的营业执照；其他组织参与的提供合法证明文件；自然人参与的提供其身份证明。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证明：提供递交响应文件截止日前一年内任意一个月的依法缴纳税收的纳税证明或完税证明（完税证明应有税务机关或代收机关的公章或业务专用章）。依法免税或无须缴纳税收的供应商，应提供相关证明材料。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法定代表人授权书（附法定代表人、被授权人身份证复印件及被授权人磋商截止日前一年内在本单位已缴存的至少一个月的社会保障资金凭证）；法定代表人直接参加磋商，须提供法定代表人身份证明。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供应商须提供有效期内的省市场监管局签发的含“餐饮服务管理”许可项目的《食品经营许可证》。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供应商承诺书.docx 资格证明文件.docx 响应文件封面 残疾人福利性单位声明函 服务方案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项目总体理解与认识</w:t>
            </w:r>
          </w:p>
        </w:tc>
        <w:tc>
          <w:tcPr>
            <w:tcW w:type="dxa" w:w="2492"/>
          </w:tcPr>
          <w:p>
            <w:pPr>
              <w:pStyle w:val="null3"/>
            </w:pPr>
            <w:r>
              <w:rPr>
                <w:rFonts w:ascii="仿宋_GB2312" w:hAnsi="仿宋_GB2312" w:cs="仿宋_GB2312" w:eastAsia="仿宋_GB2312"/>
              </w:rPr>
              <w:t>根据供应商提供的针对本项目的总体理解与认识，包括但不限于： ①项目背景及工作目标的理解与认识；②服务范围、服务内容理解与认识；③服务标准的理解与认识等。 内容全面详细、阐述条理清晰详尽、符合本项目采购需求，能有效保障本项目实施的得7.5分；每有一个缺项扣2.5分；每有一项内容存在缺陷，扣（0-2.5）分。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根据供应商提供的针对本项目的服务方案包含但不限于以下方案： ①菜品方案；②配餐服务方案；③餐厅经营管理方案；④食材管理方案；⑤设备维修维护方案；⑥管理服务流程方案（内部管理架构、工作流程、自查制度、激励机制、信息反馈渠道等方面）；⑦人员健康、职业卫生管控与卫生保洁服务方案；⑧满意度持续迭代优化方案。 内容全面详细、阐述条理清晰详尽、符合本项目采购需求，能有效保障本项目实施的得24分；每有一个缺项扣3分；每有一项内容存在缺陷，扣（0-3）分。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根据采购需求实际情况制定突发事件应急处理方案，包括但不限于：①食品安全事件应急预案；②停水、停电、停气应急预案；③食物中毒应急预案；④消防安全突发事件应急预案等。 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质量保障承诺</w:t>
            </w:r>
          </w:p>
        </w:tc>
        <w:tc>
          <w:tcPr>
            <w:tcW w:type="dxa" w:w="2492"/>
          </w:tcPr>
          <w:p>
            <w:pPr>
              <w:pStyle w:val="null3"/>
            </w:pPr>
            <w:r>
              <w:rPr>
                <w:rFonts w:ascii="仿宋_GB2312" w:hAnsi="仿宋_GB2312" w:cs="仿宋_GB2312" w:eastAsia="仿宋_GB2312"/>
              </w:rPr>
              <w:t>供应商针对本项目提供质量保障承诺，包括但不限于： ①承诺所有合作食材供应商100%持有有效期内的食品经营/生产许可证； ②承诺所有肉类食材每批次随货同步提供官方（动物卫生监督主管部门及其授权的合规主体）出具的动物检疫合格证明； ③承诺所有食材严格执行国家食品安全新鲜度标准； 每提供一个承诺得2.5分；未提供不得分。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1、具有类似项目（餐厅/食堂服务外包项目）经验，每提供一个得2分。满分6分 备注：提供2023年6月1日至今（以合同签订时间为准）的类似项目合同，合同中须体现项目负责人信息或由服务业主单位开具相关证明。未提供不得分。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在本项目的人员要求基础上，每包含一个厨师高级工（国家职业资格三级）得1.5分，技师（二级）的得2分，高级技师（一级）的得3分。公共营养师(三级/高级工)及以上每包含1人得2分，不提供的不得分，满分16分。 备注：评审时以供应商提供的“本项目拟投入人员汇总表”中拟担任的职务为准并附相关人员的有效身份证件和证书证件，未明确的或未提供身份证件和相关证书的此项不得分。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供应商根据本项目采购需求提供合理化建议。得3分。未提供不得分。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提供2023年6月1日至今（以合同签订时间为准）类似项目业绩，提供1份有效业绩得3分，本项满分18分。 备注：业绩证明材料须提供完整合同/协议书复印件并加盖公章。未提供不得分。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