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版本号：SNJZ-2026-122.1B120260708002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2026年秋季及2027年春季教材采购项目(二次)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SNJZ-2026-122.1B1</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2026年秋季及2027年春季教材采购项目(二次)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2026年秋季及2027年春季教材采购项目(二次)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学院2026年秋季及2027年春季教材采购项目，选择教材供应商为学校提供教材供应、发放、建设等服务，服务合同有效期为一学年；要求提供正版教材，并提供教材征订、教材配送、教材整理、教材发放、代收教材费等相关服务，按教学所需免费提供教师用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8、出版物经营许可证：投标人具有有效的《出版物经营许可证》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马子啸、崔斌、左建强、程钰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约中标金额5%的履约保证金。因该项目合同履约后按照投标折扣价据实结算，合同总价履约前无法确定，故按预估合同总价比例暂估，收取定额叁拾万元整（¥300000.00元）履约保证金，履约保证金待乙方按合同履约完毕其无争议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预算为基数，参照国家计委关于印发《招标代理服务收费管理暂行办法》的通知（计价格〔2002〕1980号）和发改办价格〔2003〕857号的规定，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严格执行国家的图书出版发行法规，确保供应正版教材及图书，杜绝盗版教材及图书。乙方若出现违法违纪发行，除了履约保证金不予返还，应承担法律责任之外，还应承担经济责任，即收回违规教材及图书，及时换回正版教材及图书，并按该批书款的100% 向甲方支付违约赔偿金；若未换回正版教材及图书须按该批书款的两倍向甲方支付违约赔偿金。否则甲方无条件拒付全部货款。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学院2026年秋季及2027年春季教材采购项目，选择教材供应商为学校提供教材供应、发放、建设等服务，服务合同有效期为一学年；要求提供正版教材，并提供教材征订、教材配送、教材整理、教材发放、代收教材费等相关服务，按教学所需免费提供教师用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8,600,000.00</w:t>
      </w:r>
    </w:p>
    <w:p>
      <w:pPr>
        <w:pStyle w:val="null3"/>
      </w:pPr>
      <w:r>
        <w:rPr>
          <w:rFonts w:ascii="仿宋_GB2312" w:hAnsi="仿宋_GB2312" w:cs="仿宋_GB2312" w:eastAsia="仿宋_GB2312"/>
        </w:rPr>
        <w:t>采购包最高限价（元）: 8,600,000.00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2026年秋季及2027年春季教材采购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标的名称：2026年秋季及2027年春季教材采购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项目内容：</w:t>
            </w:r>
          </w:p>
          <w:p>
            <w:pPr>
              <w:pStyle w:val="null3"/>
              <w:jc w:val="both"/>
            </w:pPr>
            <w:r>
              <w:rPr>
                <w:rFonts w:ascii="仿宋_GB2312" w:hAnsi="仿宋_GB2312" w:cs="仿宋_GB2312" w:eastAsia="仿宋_GB2312"/>
                <w:sz w:val="21"/>
              </w:rPr>
              <w:t>选择一家教材供应商为学校提供教材供应、发放、建设等服务，服务合同有效期为一年；要求提供正版图书，并提供教材征订、教材配送、教材整理、教材发放、代收教材费等相关服务，按教学所需免费提供教师用书。所有教材按码洋折扣结算货款（高校</w:t>
            </w:r>
            <w:r>
              <w:rPr>
                <w:rFonts w:ascii="仿宋_GB2312" w:hAnsi="仿宋_GB2312" w:cs="仿宋_GB2312" w:eastAsia="仿宋_GB2312"/>
                <w:sz w:val="21"/>
              </w:rPr>
              <w:t>“两课”教材及时事报告除外）。</w:t>
            </w:r>
          </w:p>
          <w:p>
            <w:pPr>
              <w:pStyle w:val="null3"/>
              <w:jc w:val="both"/>
            </w:pPr>
            <w:r>
              <w:rPr>
                <w:rFonts w:ascii="仿宋_GB2312" w:hAnsi="仿宋_GB2312" w:cs="仿宋_GB2312" w:eastAsia="仿宋_GB2312"/>
                <w:sz w:val="21"/>
              </w:rPr>
              <w:t>二、采购清单</w:t>
            </w:r>
          </w:p>
          <w:tbl>
            <w:tblPr>
              <w:tblBorders>
                <w:top w:val="none" w:color="000000" w:sz="4"/>
                <w:left w:val="none" w:color="000000" w:sz="4"/>
                <w:bottom w:val="none" w:color="000000" w:sz="4"/>
                <w:right w:val="none" w:color="000000" w:sz="4"/>
                <w:insideH w:val="none"/>
                <w:insideV w:val="none"/>
              </w:tblBorders>
            </w:tblPr>
            <w:tblGrid>
              <w:gridCol w:w="380"/>
              <w:gridCol w:w="448"/>
              <w:gridCol w:w="1313"/>
              <w:gridCol w:w="472"/>
              <w:gridCol w:w="56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册</w:t>
                  </w:r>
                  <w:r>
                    <w:rPr>
                      <w:rFonts w:ascii="仿宋_GB2312" w:hAnsi="仿宋_GB2312" w:cs="仿宋_GB2312" w:eastAsia="仿宋_GB2312"/>
                      <w:sz w:val="21"/>
                      <w:b/>
                    </w:rPr>
                    <w:t>）</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预算总价</w:t>
                  </w:r>
                  <w:r>
                    <w:rPr>
                      <w:rFonts w:ascii="仿宋_GB2312" w:hAnsi="仿宋_GB2312" w:cs="仿宋_GB2312" w:eastAsia="仿宋_GB2312"/>
                      <w:sz w:val="21"/>
                      <w:b/>
                    </w:rPr>
                    <w:t>（</w:t>
                  </w:r>
                  <w:r>
                    <w:rPr>
                      <w:rFonts w:ascii="仿宋_GB2312" w:hAnsi="仿宋_GB2312" w:cs="仿宋_GB2312" w:eastAsia="仿宋_GB2312"/>
                      <w:sz w:val="21"/>
                      <w:b/>
                    </w:rPr>
                    <w:t>元</w:t>
                  </w:r>
                  <w:r>
                    <w:rPr>
                      <w:rFonts w:ascii="仿宋_GB2312" w:hAnsi="仿宋_GB2312" w:cs="仿宋_GB2312" w:eastAsia="仿宋_GB2312"/>
                      <w:sz w:val="21"/>
                      <w:b/>
                    </w:rPr>
                    <w:t>）</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阎良校区教材</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高等教育出版社、南京大学出版社、机械工业出版社、清华出版社、电子工业出版社、西安电子科技大学出版社、西北工业大学出版社、外语教学与研究出版社、人民邮电出版社等出版的正版图书</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5500000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莲湖校区教材</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高等教育出版社、南京大学出版社、机械工业出版社、清华出版社、电子工业出版社、西安电子科技大学出版社、西北工业大学出版社、外语教学与研究出版社、人民邮电出版社等出版的正版图书</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62000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3100000</w:t>
                  </w:r>
                </w:p>
              </w:tc>
            </w:tr>
          </w:tbl>
          <w:p>
            <w:pPr>
              <w:pStyle w:val="null3"/>
              <w:jc w:val="both"/>
            </w:pPr>
            <w:r>
              <w:rPr>
                <w:rFonts w:ascii="仿宋_GB2312" w:hAnsi="仿宋_GB2312" w:cs="仿宋_GB2312" w:eastAsia="仿宋_GB2312"/>
                <w:sz w:val="24"/>
              </w:rPr>
              <w:t>数量为暂估，结算时以实际供货数量，据实结算。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三、服务要求</w:t>
            </w:r>
          </w:p>
          <w:p>
            <w:pPr>
              <w:pStyle w:val="null3"/>
              <w:jc w:val="both"/>
            </w:pPr>
            <w:r>
              <w:rPr>
                <w:rFonts w:ascii="仿宋_GB2312" w:hAnsi="仿宋_GB2312" w:cs="仿宋_GB2312" w:eastAsia="仿宋_GB2312"/>
                <w:sz w:val="21"/>
              </w:rPr>
              <w:t>1.供应商须</w:t>
            </w:r>
            <w:r>
              <w:rPr>
                <w:rFonts w:ascii="仿宋_GB2312" w:hAnsi="仿宋_GB2312" w:cs="仿宋_GB2312" w:eastAsia="仿宋_GB2312"/>
                <w:sz w:val="21"/>
              </w:rPr>
              <w:t>提供送货服务，将图书送到指定地点发放到有关班级，协助清点和发放校内自编教材，如突发情况，提供应急预案及有效解决办法完成图书的配送。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售后服务响应时间（质保期内）：即时响应（包括电话响应）；电话响应无法解决</w:t>
            </w:r>
            <w:r>
              <w:rPr>
                <w:rFonts w:ascii="仿宋_GB2312" w:hAnsi="仿宋_GB2312" w:cs="仿宋_GB2312" w:eastAsia="仿宋_GB2312"/>
                <w:sz w:val="21"/>
              </w:rPr>
              <w:t xml:space="preserve"> 3 小时内到达现场。修复时间 8小时内解决；如在 8小时内无法修复，则提供部件冗余服务或采取应急措施，提供相同产品或不低于故障产品规格档次的备用产品供采购人使用，以确保货物的正常使用。</w:t>
            </w:r>
          </w:p>
          <w:p>
            <w:pPr>
              <w:pStyle w:val="null3"/>
              <w:jc w:val="both"/>
            </w:pPr>
            <w:r>
              <w:rPr>
                <w:rFonts w:ascii="仿宋_GB2312" w:hAnsi="仿宋_GB2312" w:cs="仿宋_GB2312" w:eastAsia="仿宋_GB2312"/>
                <w:sz w:val="21"/>
              </w:rPr>
              <w:t>3.教材质量要求：供应商应严格执行国家的图书出版发行法规，确保供应正版教材，杜绝盗版教材。供应商若出现违法违纪发行，除了履约保证金不予返还，应承担法律责任之外，还应承担经济责任，即收回违规教材，及时换回正版教材，并按该批书款的100%向采购人支付违约赔偿金；若未换回正版教材须按该批书款的两倍向采购人支付违约赔偿金。否则学校无条件拒付全部货款。</w:t>
            </w:r>
          </w:p>
          <w:p>
            <w:pPr>
              <w:pStyle w:val="null3"/>
              <w:jc w:val="both"/>
            </w:pPr>
            <w:r>
              <w:rPr>
                <w:rFonts w:ascii="仿宋_GB2312" w:hAnsi="仿宋_GB2312" w:cs="仿宋_GB2312" w:eastAsia="仿宋_GB2312"/>
                <w:sz w:val="21"/>
              </w:rPr>
              <w:t>4.供应商应按采购人要求的数量、时间、地点按时供应教材。如教材在使用过程中，出现缺页、倒装、印刷不清等质量问题，供应商应无条件调换。除不可抗力外，供应商未按照采购人要求时间供应教材，第一次订单所列教材每延误一天，采购人应扣除当前学期教材总码洋的1%的违约金。</w:t>
            </w:r>
          </w:p>
          <w:p>
            <w:pPr>
              <w:pStyle w:val="null3"/>
              <w:jc w:val="both"/>
            </w:pPr>
            <w:r>
              <w:rPr>
                <w:rFonts w:ascii="仿宋_GB2312" w:hAnsi="仿宋_GB2312" w:cs="仿宋_GB2312" w:eastAsia="仿宋_GB2312"/>
                <w:sz w:val="21"/>
              </w:rPr>
              <w:t>5.供应商需按采购人要求提供教材征订、教材配送、教材整理、教材发放、教材建设等相关服务，积极配合学校教材建设工作，为学校提供最佳出版操作平台及最优政策支持，免费帮助学校建立图书样书库等，按教学所需免费提供教师用书。</w:t>
            </w:r>
          </w:p>
          <w:p>
            <w:pPr>
              <w:pStyle w:val="null3"/>
              <w:jc w:val="both"/>
            </w:pPr>
            <w:r>
              <w:rPr>
                <w:rFonts w:ascii="仿宋_GB2312" w:hAnsi="仿宋_GB2312" w:cs="仿宋_GB2312" w:eastAsia="仿宋_GB2312"/>
                <w:sz w:val="21"/>
              </w:rPr>
              <w:t>6.采购人在学校寒、暑假期间向教材供应商提供不大于5间教室用于教材存放，供应商需向采购人支付场地租赁费，按照每间教室每天150元/天/间标准，共计80天计算，最高不超过总码洋的2%。教材存放期间采购人仅提供场地，其它管理由供应商自行负责。</w:t>
            </w:r>
          </w:p>
          <w:p>
            <w:pPr>
              <w:pStyle w:val="null3"/>
              <w:jc w:val="both"/>
            </w:pPr>
            <w:r>
              <w:rPr>
                <w:rFonts w:ascii="仿宋_GB2312" w:hAnsi="仿宋_GB2312" w:cs="仿宋_GB2312" w:eastAsia="仿宋_GB2312"/>
                <w:sz w:val="21"/>
              </w:rPr>
              <w:t>7.教材出版社要求：投标人必须保证包含南京大学出版社、机械工业出版社、高等教育出版社、清华出版社、电子工业出版社、西安电子科技大学出版社、西北工业大学出版社、外语教学与研究出版社、人民邮电出版社等教材供应。</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往年教材征订情况</w:t>
            </w:r>
          </w:p>
          <w:p>
            <w:pPr>
              <w:pStyle w:val="null3"/>
              <w:jc w:val="both"/>
            </w:pPr>
            <w:r>
              <w:rPr>
                <w:rFonts w:ascii="仿宋_GB2312" w:hAnsi="仿宋_GB2312" w:cs="仿宋_GB2312" w:eastAsia="仿宋_GB2312"/>
                <w:sz w:val="21"/>
              </w:rPr>
              <w:t>数据来源：</w:t>
            </w:r>
            <w:r>
              <w:rPr>
                <w:rFonts w:ascii="仿宋_GB2312" w:hAnsi="仿宋_GB2312" w:cs="仿宋_GB2312" w:eastAsia="仿宋_GB2312"/>
                <w:sz w:val="21"/>
              </w:rPr>
              <w:t>2025年秋季及2026年春季征订情况</w:t>
            </w:r>
          </w:p>
          <w:tbl>
            <w:tblPr>
              <w:tblBorders>
                <w:top w:val="none" w:color="000000" w:sz="4"/>
                <w:left w:val="none" w:color="000000" w:sz="4"/>
                <w:bottom w:val="none" w:color="000000" w:sz="4"/>
                <w:right w:val="none" w:color="000000" w:sz="4"/>
                <w:insideH w:val="none"/>
                <w:insideV w:val="none"/>
              </w:tblBorders>
            </w:tblPr>
            <w:tblGrid>
              <w:gridCol w:w="380"/>
              <w:gridCol w:w="1785"/>
              <w:gridCol w:w="662"/>
              <w:gridCol w:w="515"/>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出版社</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教师用书</w:t>
                  </w:r>
                  <w:r>
                    <w:rPr>
                      <w:rFonts w:ascii="仿宋_GB2312" w:hAnsi="仿宋_GB2312" w:cs="仿宋_GB2312" w:eastAsia="仿宋_GB2312"/>
                      <w:sz w:val="21"/>
                      <w:b/>
                    </w:rPr>
                    <w:t>（</w:t>
                  </w:r>
                  <w:r>
                    <w:rPr>
                      <w:rFonts w:ascii="仿宋_GB2312" w:hAnsi="仿宋_GB2312" w:cs="仿宋_GB2312" w:eastAsia="仿宋_GB2312"/>
                      <w:sz w:val="21"/>
                      <w:b/>
                    </w:rPr>
                    <w:t>册</w:t>
                  </w:r>
                  <w:r>
                    <w:rPr>
                      <w:rFonts w:ascii="仿宋_GB2312" w:hAnsi="仿宋_GB2312" w:cs="仿宋_GB2312" w:eastAsia="仿宋_GB2312"/>
                      <w:sz w:val="21"/>
                      <w:b/>
                    </w:rPr>
                    <w:t>）</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r>
                    <w:rPr>
                      <w:rFonts w:ascii="仿宋_GB2312" w:hAnsi="仿宋_GB2312" w:cs="仿宋_GB2312" w:eastAsia="仿宋_GB2312"/>
                      <w:sz w:val="21"/>
                      <w:b/>
                    </w:rPr>
                    <w:t>（</w:t>
                  </w:r>
                  <w:r>
                    <w:rPr>
                      <w:rFonts w:ascii="仿宋_GB2312" w:hAnsi="仿宋_GB2312" w:cs="仿宋_GB2312" w:eastAsia="仿宋_GB2312"/>
                      <w:sz w:val="21"/>
                      <w:b/>
                    </w:rPr>
                    <w:t>册</w:t>
                  </w:r>
                  <w:r>
                    <w:rPr>
                      <w:rFonts w:ascii="仿宋_GB2312" w:hAnsi="仿宋_GB2312" w:cs="仿宋_GB2312" w:eastAsia="仿宋_GB2312"/>
                      <w:sz w:val="21"/>
                      <w:b/>
                    </w:rPr>
                    <w:t>）</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“两课”教材（含时事报告）</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39255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高等教育出版社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12092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清华大学出版社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13787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外语教学与研究出版社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10377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人民邮电出版社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8077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7786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西安电子科技大学出版社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5964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西北大学出版社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5832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南京大学出版社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5667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西北工业大学出版社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3868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西安交通大学出版社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3786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北京体育大学出版社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中国纺织出版社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3297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陕西科学技术出版社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3087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北京邮电大学出版社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北京航空航天大学出版社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同济大学出版社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科学出版社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华东师范大学出版社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华中科技大学出版社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化学工业出版社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电子科技大学出版社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上海外语教育出版社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中国电力出版社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中国建筑工业出版社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复旦大学出版社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中国人民大学出版社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哈尔滨工业大学出版社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对外经济贸易大学出版社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浙江大学出版社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哈尔滨工程大学出版社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中国民航出版社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航空工业出版社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武汉理工大学出版社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人民交通出版社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天津大学出版社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中国铁道出版社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中华书局</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东南大学出版社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北京理工大学出版社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东北财经大学出版社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上海交通大学出版社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国防工业出版社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中国水利水电出版社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冶金工业出版社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西南交通大学出版社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暨南大学出版社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江苏大学出版社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大连理工大学出版社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陕西师范大学出版社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上海财经大学出版社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中国经济出版社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人民出版社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上海教育出版社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首都经济贸易大学出版社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华东理工大学出版社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商务印书馆出版社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西南交大出版社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中国建筑出版社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中国人大出版社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立信会计出版社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旅游教育出版社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w:t>
                  </w:r>
                  <w:r>
                    <w:rPr>
                      <w:rFonts w:ascii="仿宋_GB2312" w:hAnsi="仿宋_GB2312" w:cs="仿宋_GB2312" w:eastAsia="仿宋_GB2312"/>
                      <w:sz w:val="21"/>
                    </w:rPr>
                    <w:t>.读书.新知三联书店</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中国青年出版社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湘潭大学出版社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中国商业出版社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中国传媒大学出版社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大连海事大学出版社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人大出版社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武汉大学出版社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北京师范大学出版社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中国海洋大学出版社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2026年8月底/2027年2月底。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阎良校区教材发放室，莲湖校区教材发放室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无违约并按时交付2026年秋季合格教材后，核算书款向学校提供教材结算收款单。学校自收到结算收款单之日起6个月内完成核对及学生书款收取工作，并于完成后5个工作日内通知乙方开具实洋金额国家正式发票。（增补教材的书款结算日期由双方另行商定，据实结算），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无违约并按时交付2027年春季合格教材后，核算书款向学校提供教材结算收款单。学校自收到结算收款单之日起6个月内完成核对及学生书款收取工作，并于完成后5个工作日内通知乙方开具实洋金额国家正式发票。甲方收到发票后10日内全额支付该期货款（增补教材的书款结算日期由双方另行商定，据实结算），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严格执行国家的图书出版发行法规，确保供应正版教材及图书，杜绝盗版教材及图书。乙方若出现违法违纪发行，除了履约保证金不予返还，应承担法律责任之外，还应承担经济责任，即收回违规教材及图书，及时换回正版教材及图书，并按该批书款的100% 向甲方支付违约赔偿金；若未换回正版教材及图书须按该批书款的两倍向甲方支付违约赔偿金。否则甲方无条件拒付全部货款。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1.乙方应向甲方缴纳人民币30万元的履约保证金，乙方若不按合同履约，或出现违纪违法发行，履约保证金不予退还，并承担法律责任和经济责任。 2.乙方应严格执行国家的图书出版发行法规，确保供应正版教材，杜绝盗版教材。乙方若出现违法违纪发行，除履约保证金不予返还，应承担法律责任之外，还应承担经济责任，即收回违规教材，及时换回正版教材，并按该批书款的100%向甲方支付违约赔偿金；若未换回正版教材须按该批书款的两倍向甲方支付违约赔偿金。否则甲方无条件拒付全部货款。 3.甲方在合同期内向乙方预订、追订教材，如乙方不能按时供书(不可抗力因素除外),甲方有权向第三方报订。如果第三方能按时提供其中一个品种的教材，乙方按该品种的书款两倍赔偿；如达到两个品种，则按此两个品种的书款三倍赔偿；累计到三个品种，则终止本合同。 4.乙方保证甲方预订的所有教材在甲方规定的时间内发送到学校。乙方对甲方追订、补订的教材要七天内到书。由于乙方失误、遗漏等原因，造成对甲方所订教材无法按时按量供应，乙方要承担由此造成的损失，按未到教材码洋金额的10%对甲方进行赔偿，以后每迟到一天按未到教材码洋金额的1%赔偿。如因战争、灾害等不可抗力因素影响供货时间，且有合理的证明依据，乙方与甲方友好协商解决，争取早日到书，或征得甲方同意后,改用其他同类教材。 5.乙方保证落实响应文件的各项优惠、服务承诺，否则，甲方有权单方面解除合同。 6.甲乙双方不得因人事变更、机构变更以及隶属关系变更不履行债权债务。 7.若乙方未能按约定时间完整交付合格教材，甲方在收到乙方按照本条第3款规定支付的赔偿金后三个月内结清书款；甲方不按结算约定和付款方式支付乙方书款，每延误30天按当批图书码洋金额1%向乙方缴纳滞纳金，按违约总天数累计，不足30天按0天计。 8.乙方开具假发票的，按假发票金额赔款给甲方，并承担一切法律后果。</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1.本项目报折扣，最高折扣限价：78%（投标报价折扣百分号前须保留整数，报价折扣≥78%，其投标文件将按无效处理。） 2.所有教材按码洋折扣结算货款（高校“两课”教材及时事报告除外）。 3.由于系统原因，本项目增补教材付款约定以商务要求中付款方式为准。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“3.4 商务要求”商务响应情况，若负偏离，响应文件作为无效处理。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带“★”的参数的响应情况</w:t>
            </w:r>
          </w:p>
        </w:tc>
        <w:tc>
          <w:tcPr>
            <w:tcW w:type="dxa" w:w="3322"/>
          </w:tcPr>
          <w:p>
            <w:pPr>
              <w:pStyle w:val="null3"/>
            </w:pPr>
            <w:r>
              <w:rPr>
                <w:rFonts w:ascii="仿宋_GB2312" w:hAnsi="仿宋_GB2312" w:cs="仿宋_GB2312" w:eastAsia="仿宋_GB2312"/>
              </w:rPr>
              <w:t>根据供应商对3.3技术要求中带“★”的参数的响应情况，负偏离将被视为未实质性响应。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投标文件封面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根据供应商对招标文件3.3技术要求中除“★”参数的响应情况，完全满足得10分；有负偏或不满足不得分。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一、评审内容 提供针对本项目的整体实施方案。 二、评审标准 方案内容1.全面详细完整、针对性强；2.观点科学清晰、措施具体合理；3.组织架构合理，职责清晰；4.流程完备，进度科学；5.切合本项目实际情况；6.有利于项目实施。 三、赋分标准 评审内容符合评审标准得6分；评审内容有缺陷未响应评审标准的扣1分。 缺陷是指:针对性不强、不适用项目特性的情形、内容不完整、科学性差、缺少关键节点、套用其他项目方案内容并前后矛盾、涉及的规范及标准错误、不利于项目实施、不可能实现的情形等任意一种情形。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服务支持</w:t>
            </w:r>
          </w:p>
        </w:tc>
        <w:tc>
          <w:tcPr>
            <w:tcW w:type="dxa" w:w="2492"/>
          </w:tcPr>
          <w:p>
            <w:pPr>
              <w:pStyle w:val="null3"/>
            </w:pPr>
            <w:r>
              <w:rPr>
                <w:rFonts w:ascii="仿宋_GB2312" w:hAnsi="仿宋_GB2312" w:cs="仿宋_GB2312" w:eastAsia="仿宋_GB2312"/>
              </w:rPr>
              <w:t>一、评审内容 提供针对本项目的①为贫困生提供勤工俭学岗位②开展教材巡展③为学校教材建设提供支持的方案。 二、评审标准 方案内容1.全面详细完整、针对性强；2.切合本项目实际情况； 三、赋分标准 3项内容，每提供一项内容并符合评审标准得2分，满分6分；每缺少一项评审内容扣2分，每项内容有缺陷未响应评审标准的扣1分。 缺陷是指:针对性不强、不适用项目特性的情形、内容不完整、科学性差、缺少关键节点、套用其他项目方案内容并前后矛盾、涉及的规范及标准错误、不利于项目实施、不可能实现的情形等任意一种情形。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提供针对本项目的应急预案。 二、评审标准 方案内容1.全面详细完整、针对性强；2.观点科学清晰、措施具体合理；3.切合本项目实际情况； 三、赋分标准 评审内容符合评审标准得3分；评审内容有缺陷未响应评审标准的扣1分。 缺陷是指:针对性不强、不适用项目特性的情形、内容不完整、科学性差、缺少关键节点、套用其他项目方案内容并前后矛盾、涉及的规范及标准错误、不利于项目实施、不可能实现的情形等任意一种情形。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质量及来源渠道：①应严格执行国家的图书出版发行法规，确保供应正版教材；②缺页、倒装、印刷不清、错页、折页、破损、开胶与配送错误的无条件退换；③提供主要出版社教材合法来源渠道证明材料（包括但不限于出版社授权、合作协议、承诺等）；④具有可行的质量保证承诺，保证所供教材无开胶、缺页、倒装等质量问题；⑤对应急供货等服务要求及时响应等。 二、评审标准 方案内容全面详细完整、针对性强、观点科学清晰、措施具体合理，切合本项目实际情况，有利于项目实施。 三、赋分标准 5项内容，每提供一项内容并符合评审标准得0.5分，满分2.5分；每缺少一项评审内容扣0.5分，评审内容有缺陷未完全响应评审标准的扣0.25分。 缺陷是指:针对性不强、不适用项目特性的情形、内容不完整、科学性差、缺少关键节点、套用其他项目方案内容并前后矛盾、涉及的规范及标准错误、不利于项目实施、不可能实现的情形等任意一种情形。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提供优质、及时的售后服务，并出具承诺书，售后服务方案包括但不限于①服务体系；②响应机制；③调换、补缺及退货方案；④履约跟踪与回访；⑤增值服务等 二、评审标准 方案内容全面详细完整、针对性强、观点科学清晰、措施具体合理，切合本项目实际情况，有利于项目实施。 三、赋分标准 5项内容完整详细、每提供一项内容并符合评审标准得0.5分，满分2.5分；每缺少一项评审内容扣0.5分，评审内容有缺陷未完全响应评审标准的扣0.25分。 缺陷是指:针对性不强、不适用项目特性的情形、内容不完整、科学性差、缺少关键节点、套用其他项目方案内容并前后矛盾、涉及的规范及标准错误、不利于项目实施、不可能实现的情形等任意一种情形。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提供投标人2023年1月至今同类项目业绩，以合同签订日期为准，每提供1份得2分，最多10分，未提供得0分。提供合同复印件加盖公章。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评分方法：P=60×Pmin/ Pn 其中：Pmin：有效报价中的最低综合折扣。 Pn：第n个有效投标单位的综合折扣。 (结算价=码洋*投标折扣，如：码洋为100元，投标折扣为76%，结算价=100*76%=76元，计算结果四舍五入取小数点后两位。）</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详见附件：售后方案.docx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