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0A6D753">
      <w:pPr>
        <w:pStyle w:val="2"/>
        <w:bidi w:val="0"/>
        <w:rPr>
          <w:rFonts w:hint="default"/>
          <w:lang w:val="en-US" w:eastAsia="zh-CN"/>
        </w:rPr>
      </w:pPr>
      <w:bookmarkStart w:id="0" w:name="_Toc281574833"/>
      <w:r>
        <w:rPr>
          <w:rFonts w:hint="eastAsia"/>
          <w:lang w:val="en-US" w:eastAsia="zh-CN"/>
        </w:rPr>
        <w:t xml:space="preserve">    </w:t>
      </w:r>
    </w:p>
    <w:p w14:paraId="1F6CDD1B">
      <w:pPr>
        <w:widowControl/>
        <w:spacing w:line="480" w:lineRule="auto"/>
        <w:jc w:val="center"/>
        <w:rPr>
          <w:rFonts w:hint="eastAsia" w:ascii="宋体" w:hAnsi="宋体" w:eastAsia="宋体" w:cs="宋体"/>
          <w:b/>
          <w:bCs/>
          <w:kern w:val="0"/>
          <w:sz w:val="40"/>
          <w:szCs w:val="40"/>
          <w:lang w:eastAsia="zh-CN"/>
        </w:rPr>
      </w:pPr>
      <w:bookmarkStart w:id="148" w:name="_GoBack"/>
      <w:r>
        <w:rPr>
          <w:rFonts w:hint="eastAsia" w:ascii="宋体" w:hAnsi="宋体" w:cs="宋体"/>
          <w:b/>
          <w:bCs/>
          <w:kern w:val="0"/>
          <w:sz w:val="40"/>
          <w:szCs w:val="40"/>
          <w:lang w:eastAsia="zh-CN"/>
        </w:rPr>
        <w:t>安康市公安局汉滨分局81条天眼视频监控线路项目</w:t>
      </w:r>
      <w:bookmarkEnd w:id="148"/>
    </w:p>
    <w:p w14:paraId="66BEDBD0">
      <w:pPr>
        <w:widowControl/>
        <w:spacing w:line="480" w:lineRule="auto"/>
        <w:jc w:val="center"/>
        <w:rPr>
          <w:rFonts w:hint="eastAsia" w:ascii="宋体" w:hAnsi="宋体" w:cs="宋体"/>
          <w:b/>
          <w:bCs/>
          <w:kern w:val="0"/>
          <w:sz w:val="52"/>
          <w:szCs w:val="52"/>
        </w:rPr>
      </w:pPr>
    </w:p>
    <w:p w14:paraId="3E2CA5C0">
      <w:pPr>
        <w:widowControl/>
        <w:spacing w:line="480" w:lineRule="auto"/>
        <w:jc w:val="both"/>
        <w:rPr>
          <w:rFonts w:hint="eastAsia" w:ascii="宋体" w:hAnsi="宋体" w:cs="宋体"/>
          <w:b/>
          <w:bCs/>
          <w:kern w:val="0"/>
          <w:sz w:val="52"/>
          <w:szCs w:val="52"/>
        </w:rPr>
      </w:pPr>
    </w:p>
    <w:p w14:paraId="3C27E7B9">
      <w:pPr>
        <w:widowControl/>
        <w:spacing w:line="480" w:lineRule="auto"/>
        <w:jc w:val="both"/>
        <w:rPr>
          <w:rFonts w:hint="eastAsia" w:ascii="宋体" w:hAnsi="宋体" w:cs="宋体"/>
          <w:b/>
          <w:bCs/>
          <w:kern w:val="0"/>
          <w:sz w:val="52"/>
          <w:szCs w:val="52"/>
        </w:rPr>
      </w:pPr>
    </w:p>
    <w:p w14:paraId="723749ED">
      <w:pPr>
        <w:widowControl/>
        <w:spacing w:line="480" w:lineRule="auto"/>
        <w:jc w:val="center"/>
        <w:rPr>
          <w:rFonts w:hint="eastAsia" w:ascii="宋体" w:hAnsi="宋体" w:cs="宋体"/>
          <w:b/>
          <w:bCs/>
          <w:kern w:val="0"/>
          <w:sz w:val="72"/>
          <w:szCs w:val="72"/>
        </w:rPr>
      </w:pPr>
      <w:r>
        <w:rPr>
          <w:rFonts w:hint="eastAsia" w:ascii="宋体" w:hAnsi="宋体" w:cs="宋体"/>
          <w:b/>
          <w:bCs/>
          <w:kern w:val="0"/>
          <w:sz w:val="72"/>
          <w:szCs w:val="72"/>
        </w:rPr>
        <w:t>竞争性磋商文件</w:t>
      </w:r>
    </w:p>
    <w:p w14:paraId="05A8AFDE">
      <w:pPr>
        <w:widowControl/>
        <w:spacing w:line="560" w:lineRule="atLeast"/>
        <w:jc w:val="center"/>
        <w:rPr>
          <w:rFonts w:hint="eastAsia" w:ascii="宋体" w:hAnsi="宋体" w:eastAsia="宋体" w:cs="宋体"/>
          <w:b/>
          <w:bCs/>
          <w:kern w:val="0"/>
          <w:sz w:val="30"/>
          <w:szCs w:val="30"/>
          <w:lang w:eastAsia="zh-CN"/>
        </w:rPr>
      </w:pPr>
      <w:r>
        <w:rPr>
          <w:rFonts w:hint="eastAsia" w:ascii="宋体" w:hAnsi="宋体" w:cs="宋体"/>
          <w:b/>
          <w:bCs/>
          <w:kern w:val="0"/>
          <w:sz w:val="30"/>
          <w:szCs w:val="30"/>
        </w:rPr>
        <w:t>项目编号：</w:t>
      </w:r>
      <w:r>
        <w:rPr>
          <w:rFonts w:hint="eastAsia" w:ascii="宋体" w:hAnsi="宋体" w:cs="宋体"/>
          <w:b/>
          <w:bCs/>
          <w:kern w:val="0"/>
          <w:sz w:val="30"/>
          <w:szCs w:val="30"/>
          <w:lang w:eastAsia="zh-CN"/>
        </w:rPr>
        <w:t>SXZY-AK2026030</w:t>
      </w:r>
    </w:p>
    <w:p w14:paraId="0DAE7650">
      <w:pPr>
        <w:widowControl/>
        <w:spacing w:line="560" w:lineRule="atLeast"/>
        <w:jc w:val="center"/>
        <w:rPr>
          <w:rFonts w:hint="eastAsia" w:ascii="宋体" w:hAnsi="宋体" w:cs="宋体"/>
          <w:b/>
          <w:bCs/>
          <w:kern w:val="0"/>
          <w:sz w:val="44"/>
          <w:szCs w:val="44"/>
        </w:rPr>
      </w:pPr>
      <w:r>
        <w:drawing>
          <wp:inline distT="0" distB="0" distL="114300" distR="114300">
            <wp:extent cx="2288540" cy="2288540"/>
            <wp:effectExtent l="0" t="0" r="16510" b="1651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11"/>
                    <a:stretch>
                      <a:fillRect/>
                    </a:stretch>
                  </pic:blipFill>
                  <pic:spPr>
                    <a:xfrm>
                      <a:off x="0" y="0"/>
                      <a:ext cx="2288540" cy="2288540"/>
                    </a:xfrm>
                    <a:prstGeom prst="rect">
                      <a:avLst/>
                    </a:prstGeom>
                    <a:noFill/>
                    <a:ln>
                      <a:noFill/>
                    </a:ln>
                  </pic:spPr>
                </pic:pic>
              </a:graphicData>
            </a:graphic>
          </wp:inline>
        </w:drawing>
      </w:r>
    </w:p>
    <w:p w14:paraId="12553E3F">
      <w:pPr>
        <w:spacing w:line="600" w:lineRule="auto"/>
        <w:jc w:val="left"/>
        <w:rPr>
          <w:rFonts w:hint="eastAsia" w:ascii="宋体" w:hAnsi="宋体" w:cs="宋体"/>
          <w:b/>
          <w:sz w:val="30"/>
          <w:szCs w:val="30"/>
        </w:rPr>
      </w:pPr>
    </w:p>
    <w:p w14:paraId="7898A724">
      <w:pPr>
        <w:spacing w:line="600" w:lineRule="auto"/>
        <w:ind w:firstLine="904" w:firstLineChars="300"/>
        <w:jc w:val="left"/>
        <w:rPr>
          <w:rFonts w:hint="eastAsia" w:ascii="宋体" w:hAnsi="宋体" w:cs="宋体"/>
          <w:b/>
          <w:sz w:val="30"/>
          <w:szCs w:val="30"/>
        </w:rPr>
      </w:pPr>
      <w:r>
        <w:rPr>
          <w:rFonts w:hint="eastAsia" w:ascii="宋体" w:hAnsi="宋体" w:cs="宋体"/>
          <w:b/>
          <w:sz w:val="30"/>
          <w:szCs w:val="30"/>
        </w:rPr>
        <w:t>采  购  人：</w:t>
      </w:r>
      <w:r>
        <w:rPr>
          <w:rFonts w:hint="eastAsia" w:ascii="宋体" w:hAnsi="宋体" w:cs="宋体"/>
          <w:b/>
          <w:sz w:val="30"/>
          <w:szCs w:val="30"/>
          <w:lang w:eastAsia="zh-CN"/>
        </w:rPr>
        <w:t>安康市公安局汉滨分局</w:t>
      </w:r>
      <w:r>
        <w:rPr>
          <w:rFonts w:hint="eastAsia" w:ascii="宋体" w:hAnsi="宋体" w:cs="宋体"/>
          <w:b/>
          <w:sz w:val="30"/>
          <w:szCs w:val="30"/>
        </w:rPr>
        <w:t>（盖单位章）</w:t>
      </w:r>
    </w:p>
    <w:p w14:paraId="73B69FBD">
      <w:pPr>
        <w:spacing w:line="600" w:lineRule="auto"/>
        <w:ind w:firstLine="904" w:firstLineChars="300"/>
        <w:jc w:val="left"/>
        <w:rPr>
          <w:rFonts w:hint="eastAsia" w:ascii="宋体" w:hAnsi="宋体" w:cs="宋体"/>
          <w:b/>
          <w:sz w:val="30"/>
          <w:szCs w:val="30"/>
        </w:rPr>
      </w:pPr>
      <w:r>
        <w:rPr>
          <w:rFonts w:hint="eastAsia" w:ascii="宋体" w:hAnsi="宋体" w:cs="宋体"/>
          <w:b/>
          <w:sz w:val="30"/>
          <w:szCs w:val="30"/>
        </w:rPr>
        <w:t>采购代理人：</w:t>
      </w:r>
      <w:r>
        <w:rPr>
          <w:rFonts w:hint="eastAsia" w:ascii="宋体" w:hAnsi="宋体" w:cs="宋体"/>
          <w:b/>
          <w:sz w:val="30"/>
          <w:szCs w:val="30"/>
          <w:lang w:eastAsia="zh-CN"/>
        </w:rPr>
        <w:t>陕西中源项目管理有限公司</w:t>
      </w:r>
      <w:r>
        <w:rPr>
          <w:rFonts w:hint="eastAsia" w:ascii="宋体" w:hAnsi="宋体" w:cs="宋体"/>
          <w:b/>
          <w:sz w:val="30"/>
          <w:szCs w:val="30"/>
        </w:rPr>
        <w:t>（盖单位章）</w:t>
      </w:r>
    </w:p>
    <w:p w14:paraId="02E4E6C8">
      <w:pPr>
        <w:spacing w:line="600" w:lineRule="auto"/>
        <w:jc w:val="center"/>
        <w:rPr>
          <w:rFonts w:hint="eastAsia" w:ascii="宋体" w:hAnsi="宋体" w:eastAsia="宋体" w:cs="宋体"/>
          <w:b/>
          <w:sz w:val="30"/>
          <w:szCs w:val="30"/>
          <w:lang w:eastAsia="zh-CN"/>
        </w:rPr>
      </w:pPr>
      <w:r>
        <w:rPr>
          <w:rFonts w:hint="eastAsia" w:ascii="宋体" w:hAnsi="宋体" w:cs="宋体"/>
          <w:b/>
          <w:sz w:val="30"/>
          <w:szCs w:val="30"/>
          <w:lang w:eastAsia="zh-CN"/>
        </w:rPr>
        <w:t>202</w:t>
      </w:r>
      <w:r>
        <w:rPr>
          <w:rFonts w:hint="eastAsia" w:ascii="宋体" w:hAnsi="宋体" w:cs="宋体"/>
          <w:b/>
          <w:sz w:val="30"/>
          <w:szCs w:val="30"/>
          <w:lang w:val="en-US" w:eastAsia="zh-CN"/>
        </w:rPr>
        <w:t>6</w:t>
      </w:r>
      <w:r>
        <w:rPr>
          <w:rFonts w:hint="eastAsia" w:ascii="宋体" w:hAnsi="宋体" w:cs="宋体"/>
          <w:b/>
          <w:sz w:val="30"/>
          <w:szCs w:val="30"/>
          <w:lang w:eastAsia="zh-CN"/>
        </w:rPr>
        <w:t>年</w:t>
      </w:r>
      <w:r>
        <w:rPr>
          <w:rFonts w:hint="eastAsia" w:ascii="宋体" w:hAnsi="宋体" w:cs="宋体"/>
          <w:b/>
          <w:sz w:val="30"/>
          <w:szCs w:val="30"/>
          <w:lang w:val="en-US" w:eastAsia="zh-CN"/>
        </w:rPr>
        <w:t>5月</w:t>
      </w:r>
    </w:p>
    <w:p w14:paraId="77E90184">
      <w:pPr>
        <w:spacing w:line="600" w:lineRule="auto"/>
        <w:ind w:firstLine="904" w:firstLineChars="300"/>
        <w:jc w:val="center"/>
        <w:rPr>
          <w:rFonts w:hint="eastAsia" w:ascii="宋体" w:hAnsi="宋体" w:cs="宋体"/>
          <w:b/>
          <w:sz w:val="30"/>
          <w:szCs w:val="30"/>
        </w:rPr>
        <w:sectPr>
          <w:headerReference r:id="rId3" w:type="default"/>
          <w:footerReference r:id="rId5" w:type="default"/>
          <w:headerReference r:id="rId4" w:type="even"/>
          <w:footerReference r:id="rId6" w:type="even"/>
          <w:pgSz w:w="11907" w:h="16840"/>
          <w:pgMar w:top="1021" w:right="1418" w:bottom="964" w:left="1418" w:header="567" w:footer="850" w:gutter="0"/>
          <w:cols w:space="720" w:num="1"/>
          <w:titlePg/>
          <w:docGrid w:type="lines" w:linePitch="380" w:charSpace="0"/>
        </w:sectPr>
      </w:pPr>
    </w:p>
    <w:p w14:paraId="3D5B8290">
      <w:pPr>
        <w:widowControl/>
        <w:jc w:val="center"/>
        <w:rPr>
          <w:rFonts w:hint="eastAsia" w:ascii="宋体" w:hAnsi="宋体" w:cs="宋体"/>
          <w:b/>
          <w:sz w:val="32"/>
          <w:szCs w:val="32"/>
        </w:rPr>
      </w:pPr>
      <w:r>
        <w:rPr>
          <w:rFonts w:hint="eastAsia" w:ascii="宋体" w:hAnsi="宋体" w:cs="宋体"/>
          <w:b/>
          <w:sz w:val="32"/>
          <w:szCs w:val="32"/>
        </w:rPr>
        <w:t>目录</w:t>
      </w:r>
    </w:p>
    <w:p w14:paraId="0ED4C80F">
      <w:pPr>
        <w:widowControl/>
        <w:spacing w:line="360" w:lineRule="auto"/>
        <w:ind w:firstLine="914" w:firstLineChars="381"/>
        <w:rPr>
          <w:rFonts w:hint="eastAsia" w:ascii="宋体" w:hAnsi="宋体" w:eastAsia="宋体" w:cs="宋体"/>
          <w:bCs/>
          <w:sz w:val="32"/>
          <w:szCs w:val="32"/>
          <w:lang w:eastAsia="zh-CN"/>
        </w:rPr>
      </w:pPr>
      <w:r>
        <w:rPr>
          <w:rFonts w:hint="eastAsia" w:ascii="宋体" w:hAnsi="宋体" w:cs="宋体"/>
          <w:sz w:val="24"/>
        </w:rPr>
        <w:fldChar w:fldCharType="begin"/>
      </w:r>
      <w:r>
        <w:rPr>
          <w:rFonts w:hint="eastAsia" w:ascii="宋体" w:hAnsi="宋体" w:cs="宋体"/>
          <w:sz w:val="24"/>
        </w:rPr>
        <w:instrText xml:space="preserve">TOC \o "1-3" \h \u </w:instrText>
      </w:r>
      <w:r>
        <w:rPr>
          <w:rFonts w:hint="eastAsia" w:ascii="宋体" w:hAnsi="宋体" w:cs="宋体"/>
          <w:sz w:val="24"/>
        </w:rPr>
        <w:fldChar w:fldCharType="separate"/>
      </w:r>
      <w:r>
        <w:rPr>
          <w:rFonts w:hint="eastAsia" w:ascii="宋体" w:hAnsi="宋体" w:cs="宋体"/>
          <w:bCs/>
          <w:sz w:val="32"/>
          <w:szCs w:val="32"/>
        </w:rPr>
        <w:t xml:space="preserve">第一章  </w:t>
      </w:r>
      <w:r>
        <w:rPr>
          <w:rFonts w:hint="eastAsia" w:ascii="宋体" w:hAnsi="宋体" w:cs="宋体"/>
          <w:bCs/>
          <w:sz w:val="32"/>
          <w:szCs w:val="32"/>
          <w:lang w:eastAsia="zh-CN"/>
        </w:rPr>
        <w:t>竞争性磋商公告</w:t>
      </w:r>
    </w:p>
    <w:p w14:paraId="3D1CB899">
      <w:pPr>
        <w:widowControl/>
        <w:spacing w:line="360" w:lineRule="auto"/>
        <w:ind w:firstLine="960" w:firstLineChars="300"/>
        <w:rPr>
          <w:rFonts w:hint="eastAsia" w:ascii="宋体" w:hAnsi="宋体" w:cs="宋体"/>
          <w:bCs/>
          <w:sz w:val="32"/>
          <w:szCs w:val="32"/>
        </w:rPr>
      </w:pPr>
      <w:r>
        <w:rPr>
          <w:rFonts w:hint="eastAsia" w:ascii="宋体" w:hAnsi="宋体" w:cs="宋体"/>
          <w:bCs/>
          <w:sz w:val="32"/>
          <w:szCs w:val="32"/>
        </w:rPr>
        <w:t xml:space="preserve">第二章  </w:t>
      </w:r>
      <w:r>
        <w:rPr>
          <w:rFonts w:hint="eastAsia" w:ascii="宋体" w:hAnsi="宋体" w:cs="宋体"/>
          <w:bCs/>
          <w:sz w:val="32"/>
          <w:szCs w:val="32"/>
          <w:lang w:eastAsia="zh-CN"/>
        </w:rPr>
        <w:t>磋商须知</w:t>
      </w:r>
      <w:r>
        <w:rPr>
          <w:rFonts w:hint="eastAsia" w:ascii="宋体" w:hAnsi="宋体" w:cs="宋体"/>
          <w:bCs/>
          <w:sz w:val="32"/>
          <w:szCs w:val="32"/>
        </w:rPr>
        <w:t>前附表</w:t>
      </w:r>
    </w:p>
    <w:p w14:paraId="181F3AAC">
      <w:pPr>
        <w:widowControl/>
        <w:spacing w:line="360" w:lineRule="auto"/>
        <w:ind w:firstLine="960" w:firstLineChars="300"/>
        <w:rPr>
          <w:rFonts w:hint="eastAsia" w:ascii="宋体" w:hAnsi="宋体" w:eastAsia="宋体" w:cs="宋体"/>
          <w:bCs/>
          <w:sz w:val="32"/>
          <w:szCs w:val="32"/>
          <w:lang w:eastAsia="zh-CN"/>
        </w:rPr>
      </w:pPr>
      <w:r>
        <w:rPr>
          <w:rFonts w:hint="eastAsia" w:ascii="宋体" w:hAnsi="宋体" w:cs="宋体"/>
          <w:bCs/>
          <w:sz w:val="32"/>
          <w:szCs w:val="32"/>
        </w:rPr>
        <w:t xml:space="preserve">第三章  </w:t>
      </w:r>
      <w:r>
        <w:rPr>
          <w:rFonts w:hint="eastAsia" w:ascii="宋体" w:hAnsi="宋体" w:cs="宋体"/>
          <w:bCs/>
          <w:sz w:val="32"/>
          <w:szCs w:val="32"/>
          <w:lang w:eastAsia="zh-CN"/>
        </w:rPr>
        <w:t>磋商须知</w:t>
      </w:r>
    </w:p>
    <w:p w14:paraId="4DCF85F7">
      <w:pPr>
        <w:widowControl/>
        <w:spacing w:line="360" w:lineRule="auto"/>
        <w:ind w:firstLine="960" w:firstLineChars="300"/>
        <w:rPr>
          <w:rFonts w:hint="eastAsia" w:ascii="宋体" w:hAnsi="宋体" w:cs="宋体"/>
          <w:bCs/>
          <w:sz w:val="32"/>
          <w:szCs w:val="32"/>
          <w:lang w:eastAsia="zh-CN"/>
        </w:rPr>
      </w:pPr>
      <w:r>
        <w:rPr>
          <w:rFonts w:hint="eastAsia" w:ascii="宋体" w:hAnsi="宋体" w:cs="宋体"/>
          <w:bCs/>
          <w:sz w:val="32"/>
          <w:szCs w:val="32"/>
        </w:rPr>
        <w:t xml:space="preserve">第四章  </w:t>
      </w:r>
      <w:r>
        <w:rPr>
          <w:rFonts w:hint="eastAsia" w:ascii="宋体" w:hAnsi="宋体" w:cs="宋体"/>
          <w:bCs/>
          <w:sz w:val="32"/>
          <w:szCs w:val="32"/>
          <w:lang w:eastAsia="zh-CN"/>
        </w:rPr>
        <w:t>采购需求</w:t>
      </w:r>
    </w:p>
    <w:p w14:paraId="22F5D769">
      <w:pPr>
        <w:widowControl/>
        <w:spacing w:line="360" w:lineRule="auto"/>
        <w:ind w:firstLine="960" w:firstLineChars="300"/>
        <w:rPr>
          <w:rFonts w:hint="eastAsia" w:ascii="宋体" w:hAnsi="宋体" w:cs="宋体"/>
          <w:bCs/>
          <w:sz w:val="32"/>
          <w:szCs w:val="32"/>
          <w:lang w:val="en-US" w:eastAsia="zh-CN"/>
        </w:rPr>
      </w:pPr>
      <w:r>
        <w:rPr>
          <w:rFonts w:hint="eastAsia" w:ascii="宋体" w:hAnsi="宋体" w:cs="宋体"/>
          <w:bCs/>
          <w:sz w:val="32"/>
          <w:szCs w:val="32"/>
          <w:lang w:eastAsia="zh-CN"/>
        </w:rPr>
        <w:t>第五章</w:t>
      </w:r>
      <w:r>
        <w:rPr>
          <w:rFonts w:hint="eastAsia" w:ascii="宋体" w:hAnsi="宋体" w:cs="宋体"/>
          <w:bCs/>
          <w:sz w:val="32"/>
          <w:szCs w:val="32"/>
          <w:lang w:val="en-US" w:eastAsia="zh-CN"/>
        </w:rPr>
        <w:t xml:space="preserve">  合同主要条款</w:t>
      </w:r>
    </w:p>
    <w:p w14:paraId="75CE3DA1">
      <w:pPr>
        <w:widowControl/>
        <w:spacing w:line="360" w:lineRule="auto"/>
        <w:ind w:firstLine="960" w:firstLineChars="300"/>
        <w:rPr>
          <w:rFonts w:hint="eastAsia" w:ascii="宋体" w:hAnsi="宋体" w:cs="宋体"/>
          <w:bCs/>
          <w:sz w:val="32"/>
          <w:szCs w:val="40"/>
        </w:rPr>
      </w:pPr>
      <w:r>
        <w:rPr>
          <w:rFonts w:hint="eastAsia" w:ascii="宋体" w:hAnsi="宋体" w:cs="宋体"/>
          <w:bCs/>
          <w:sz w:val="32"/>
          <w:szCs w:val="32"/>
          <w:lang w:val="en-US" w:eastAsia="zh-CN"/>
        </w:rPr>
        <w:t xml:space="preserve">第六章  </w:t>
      </w:r>
      <w:r>
        <w:rPr>
          <w:rFonts w:hint="eastAsia" w:ascii="宋体" w:hAnsi="宋体" w:cs="宋体"/>
          <w:bCs/>
          <w:sz w:val="32"/>
          <w:szCs w:val="32"/>
        </w:rPr>
        <w:t>磋商响应文件格式</w:t>
      </w:r>
    </w:p>
    <w:p w14:paraId="4C1F9F7F">
      <w:pPr>
        <w:rPr>
          <w:rFonts w:hint="eastAsia" w:ascii="宋体" w:hAnsi="宋体" w:cs="宋体"/>
          <w:sz w:val="24"/>
        </w:rPr>
      </w:pPr>
    </w:p>
    <w:p w14:paraId="0D3974D0">
      <w:pPr>
        <w:pStyle w:val="2"/>
        <w:spacing w:before="0" w:after="0" w:line="240" w:lineRule="auto"/>
        <w:rPr>
          <w:rFonts w:hint="eastAsia" w:ascii="宋体" w:hAnsi="宋体" w:cs="宋体"/>
          <w:b w:val="0"/>
          <w:bCs w:val="0"/>
          <w:sz w:val="24"/>
        </w:rPr>
      </w:pPr>
      <w:r>
        <w:rPr>
          <w:rFonts w:hint="eastAsia" w:ascii="宋体" w:hAnsi="宋体" w:cs="宋体"/>
          <w:b w:val="0"/>
          <w:bCs w:val="0"/>
          <w:sz w:val="24"/>
        </w:rPr>
        <w:fldChar w:fldCharType="end"/>
      </w:r>
      <w:bookmarkStart w:id="1" w:name="_Toc17682"/>
      <w:bookmarkStart w:id="2" w:name="_Toc22484"/>
    </w:p>
    <w:p w14:paraId="4AFC836B">
      <w:pPr>
        <w:numPr>
          <w:ilvl w:val="0"/>
          <w:numId w:val="1"/>
        </w:numPr>
        <w:jc w:val="center"/>
        <w:rPr>
          <w:rFonts w:hint="eastAsia" w:ascii="宋体" w:hAnsi="宋体" w:eastAsia="宋体" w:cs="宋体"/>
          <w:b/>
          <w:bCs/>
          <w:sz w:val="32"/>
          <w:szCs w:val="40"/>
          <w:lang w:eastAsia="zh-CN"/>
        </w:rPr>
      </w:pPr>
      <w:r>
        <w:rPr>
          <w:rFonts w:hint="eastAsia" w:ascii="宋体" w:hAnsi="宋体" w:cs="宋体"/>
          <w:b w:val="0"/>
          <w:bCs w:val="0"/>
          <w:sz w:val="24"/>
        </w:rPr>
        <w:br w:type="page"/>
      </w:r>
      <w:bookmarkEnd w:id="1"/>
      <w:bookmarkEnd w:id="2"/>
      <w:r>
        <w:rPr>
          <w:rFonts w:hint="eastAsia" w:ascii="宋体" w:hAnsi="宋体" w:cs="宋体"/>
          <w:b/>
          <w:bCs/>
          <w:sz w:val="32"/>
          <w:szCs w:val="40"/>
          <w:lang w:val="en-US" w:eastAsia="zh-CN"/>
        </w:rPr>
        <w:t xml:space="preserve"> </w:t>
      </w:r>
      <w:r>
        <w:rPr>
          <w:rFonts w:hint="eastAsia" w:ascii="宋体" w:hAnsi="宋体" w:cs="宋体"/>
          <w:b/>
          <w:bCs/>
          <w:sz w:val="32"/>
          <w:szCs w:val="40"/>
          <w:lang w:eastAsia="zh-CN"/>
        </w:rPr>
        <w:t>竞争性磋商公告</w:t>
      </w:r>
    </w:p>
    <w:p w14:paraId="6F18679A">
      <w:pPr>
        <w:spacing w:line="360" w:lineRule="auto"/>
        <w:ind w:firstLine="720" w:firstLineChars="300"/>
        <w:rPr>
          <w:rFonts w:hint="eastAsia" w:ascii="宋体" w:hAnsi="宋体" w:cs="宋体"/>
          <w:sz w:val="24"/>
        </w:rPr>
      </w:pPr>
      <w:r>
        <w:rPr>
          <w:rFonts w:hint="eastAsia" w:ascii="宋体" w:hAnsi="宋体" w:cs="宋体"/>
          <w:sz w:val="24"/>
          <w:lang w:eastAsia="zh-CN"/>
        </w:rPr>
        <w:t>陕西中源项目管理有限公司</w:t>
      </w:r>
      <w:r>
        <w:rPr>
          <w:rFonts w:hint="eastAsia" w:ascii="宋体" w:hAnsi="宋体" w:cs="宋体"/>
          <w:sz w:val="24"/>
        </w:rPr>
        <w:t>受</w:t>
      </w:r>
      <w:r>
        <w:rPr>
          <w:rFonts w:hint="eastAsia" w:ascii="宋体" w:hAnsi="宋体" w:cs="宋体"/>
          <w:sz w:val="24"/>
          <w:lang w:eastAsia="zh-CN"/>
        </w:rPr>
        <w:t>安康市公安局汉滨分局</w:t>
      </w:r>
      <w:r>
        <w:rPr>
          <w:rFonts w:hint="eastAsia" w:ascii="宋体" w:hAnsi="宋体" w:cs="宋体"/>
          <w:sz w:val="24"/>
        </w:rPr>
        <w:t>的委托，按照采购程序，拟就</w:t>
      </w:r>
      <w:r>
        <w:rPr>
          <w:rFonts w:hint="eastAsia" w:ascii="宋体" w:hAnsi="宋体" w:cs="宋体"/>
          <w:sz w:val="24"/>
          <w:lang w:eastAsia="zh-CN"/>
        </w:rPr>
        <w:t>安康市公安局汉滨分局81条天眼视频监控线路项目</w:t>
      </w:r>
      <w:r>
        <w:rPr>
          <w:rFonts w:hint="eastAsia" w:ascii="宋体" w:hAnsi="宋体" w:cs="宋体"/>
          <w:sz w:val="24"/>
        </w:rPr>
        <w:t>进行竞争性磋商</w:t>
      </w:r>
      <w:r>
        <w:rPr>
          <w:rFonts w:hint="eastAsia" w:ascii="宋体" w:hAnsi="宋体" w:cs="宋体"/>
          <w:sz w:val="24"/>
          <w:lang w:val="en-US" w:eastAsia="zh-CN"/>
        </w:rPr>
        <w:t>采购</w:t>
      </w:r>
      <w:r>
        <w:rPr>
          <w:rFonts w:hint="eastAsia" w:ascii="宋体" w:hAnsi="宋体" w:cs="宋体"/>
          <w:sz w:val="24"/>
        </w:rPr>
        <w:t>，项目已具备</w:t>
      </w:r>
      <w:r>
        <w:rPr>
          <w:rFonts w:hint="eastAsia" w:ascii="宋体" w:hAnsi="宋体" w:cs="宋体"/>
          <w:sz w:val="24"/>
          <w:lang w:val="en-US" w:eastAsia="zh-CN"/>
        </w:rPr>
        <w:t>磋商</w:t>
      </w:r>
      <w:r>
        <w:rPr>
          <w:rFonts w:hint="eastAsia" w:ascii="宋体" w:hAnsi="宋体" w:cs="宋体"/>
          <w:sz w:val="24"/>
        </w:rPr>
        <w:t>条件，现邀请</w:t>
      </w:r>
      <w:r>
        <w:rPr>
          <w:rFonts w:hint="eastAsia" w:ascii="宋体" w:hAnsi="宋体" w:cs="宋体"/>
          <w:sz w:val="24"/>
          <w:lang w:val="en-US" w:eastAsia="zh-CN"/>
        </w:rPr>
        <w:t>社会中的潜在供应商</w:t>
      </w:r>
      <w:r>
        <w:rPr>
          <w:rFonts w:hint="eastAsia" w:ascii="宋体" w:hAnsi="宋体" w:cs="宋体"/>
          <w:sz w:val="24"/>
        </w:rPr>
        <w:t>参加</w:t>
      </w:r>
      <w:r>
        <w:rPr>
          <w:rFonts w:hint="eastAsia" w:ascii="宋体" w:hAnsi="宋体" w:cs="宋体"/>
          <w:sz w:val="24"/>
          <w:lang w:val="en-US" w:eastAsia="zh-CN"/>
        </w:rPr>
        <w:t>磋商</w:t>
      </w:r>
      <w:r>
        <w:rPr>
          <w:rFonts w:hint="eastAsia" w:ascii="宋体" w:hAnsi="宋体" w:cs="宋体"/>
          <w:sz w:val="24"/>
        </w:rPr>
        <w:t>。</w:t>
      </w:r>
    </w:p>
    <w:p w14:paraId="5F3CCEB3">
      <w:pPr>
        <w:widowControl/>
        <w:spacing w:line="360" w:lineRule="auto"/>
        <w:jc w:val="left"/>
        <w:rPr>
          <w:rFonts w:hint="eastAsia" w:ascii="宋体" w:hAnsi="宋体" w:eastAsia="宋体" w:cs="宋体"/>
          <w:color w:val="000000"/>
          <w:kern w:val="0"/>
          <w:sz w:val="24"/>
          <w:lang w:eastAsia="zh-CN"/>
        </w:rPr>
      </w:pPr>
      <w:r>
        <w:rPr>
          <w:rFonts w:hint="eastAsia" w:ascii="宋体" w:hAnsi="宋体" w:cs="宋体"/>
          <w:color w:val="000000"/>
          <w:kern w:val="0"/>
          <w:sz w:val="24"/>
        </w:rPr>
        <w:t>一、采购项目编号：</w:t>
      </w:r>
      <w:r>
        <w:rPr>
          <w:rFonts w:hint="eastAsia" w:ascii="宋体" w:hAnsi="宋体" w:cs="宋体"/>
          <w:color w:val="000000"/>
          <w:kern w:val="0"/>
          <w:sz w:val="24"/>
          <w:lang w:eastAsia="zh-CN"/>
        </w:rPr>
        <w:t>SXZY-AK2026030</w:t>
      </w:r>
    </w:p>
    <w:p w14:paraId="66519B96">
      <w:pPr>
        <w:widowControl/>
        <w:wordWrap w:val="0"/>
        <w:spacing w:line="360" w:lineRule="auto"/>
        <w:ind w:right="-197" w:rightChars="-94"/>
        <w:jc w:val="left"/>
        <w:rPr>
          <w:rFonts w:hint="eastAsia" w:ascii="宋体" w:hAnsi="宋体" w:eastAsia="宋体" w:cs="宋体"/>
          <w:color w:val="000000"/>
          <w:kern w:val="0"/>
          <w:sz w:val="24"/>
          <w:lang w:eastAsia="zh-CN"/>
        </w:rPr>
      </w:pPr>
      <w:r>
        <w:rPr>
          <w:rFonts w:hint="eastAsia" w:ascii="宋体" w:hAnsi="宋体" w:cs="宋体"/>
          <w:color w:val="000000"/>
          <w:spacing w:val="-6"/>
          <w:kern w:val="0"/>
          <w:sz w:val="24"/>
        </w:rPr>
        <w:t>二、</w:t>
      </w:r>
      <w:r>
        <w:rPr>
          <w:rFonts w:hint="eastAsia" w:ascii="宋体" w:hAnsi="宋体" w:cs="宋体"/>
          <w:color w:val="000000"/>
          <w:spacing w:val="-11"/>
          <w:kern w:val="0"/>
          <w:sz w:val="24"/>
        </w:rPr>
        <w:t>采购项目名称：</w:t>
      </w:r>
      <w:r>
        <w:rPr>
          <w:rFonts w:hint="eastAsia" w:ascii="宋体" w:hAnsi="宋体" w:cs="宋体"/>
          <w:color w:val="000000"/>
          <w:spacing w:val="-11"/>
          <w:kern w:val="0"/>
          <w:sz w:val="24"/>
          <w:lang w:eastAsia="zh-CN"/>
        </w:rPr>
        <w:t>安康市公安局汉滨分局81条天眼视频监控线路项目</w:t>
      </w:r>
    </w:p>
    <w:p w14:paraId="09CA321E">
      <w:pPr>
        <w:widowControl/>
        <w:tabs>
          <w:tab w:val="left" w:pos="1620"/>
        </w:tabs>
        <w:wordWrap w:val="0"/>
        <w:spacing w:line="360" w:lineRule="auto"/>
        <w:ind w:right="-197" w:rightChars="-94"/>
        <w:jc w:val="left"/>
        <w:rPr>
          <w:rFonts w:hint="eastAsia" w:ascii="宋体" w:hAnsi="宋体" w:eastAsia="宋体" w:cs="宋体"/>
          <w:color w:val="000000"/>
          <w:kern w:val="0"/>
          <w:sz w:val="24"/>
          <w:lang w:eastAsia="zh-CN"/>
        </w:rPr>
      </w:pPr>
      <w:r>
        <w:rPr>
          <w:rFonts w:hint="eastAsia" w:ascii="宋体" w:hAnsi="宋体" w:cs="宋体"/>
          <w:color w:val="373737"/>
          <w:kern w:val="0"/>
          <w:sz w:val="24"/>
        </w:rPr>
        <w:t>三、</w:t>
      </w:r>
      <w:r>
        <w:rPr>
          <w:rFonts w:hint="eastAsia" w:ascii="宋体" w:hAnsi="宋体" w:cs="宋体"/>
          <w:color w:val="000000"/>
          <w:kern w:val="0"/>
          <w:sz w:val="24"/>
        </w:rPr>
        <w:t>采购人名称：</w:t>
      </w:r>
      <w:r>
        <w:rPr>
          <w:rFonts w:hint="eastAsia" w:ascii="宋体" w:hAnsi="宋体" w:cs="宋体"/>
          <w:color w:val="000000"/>
          <w:kern w:val="0"/>
          <w:sz w:val="24"/>
          <w:lang w:eastAsia="zh-CN"/>
        </w:rPr>
        <w:t>安康市公安局汉滨分局</w:t>
      </w:r>
    </w:p>
    <w:p w14:paraId="4C6C4CB5">
      <w:pPr>
        <w:widowControl/>
        <w:tabs>
          <w:tab w:val="left" w:pos="1620"/>
        </w:tabs>
        <w:wordWrap w:val="0"/>
        <w:spacing w:line="360" w:lineRule="auto"/>
        <w:ind w:right="-197" w:rightChars="-94" w:firstLine="560"/>
        <w:jc w:val="left"/>
        <w:rPr>
          <w:rFonts w:hint="eastAsia" w:ascii="宋体" w:hAnsi="宋体" w:cs="宋体"/>
          <w:color w:val="000000"/>
          <w:kern w:val="0"/>
          <w:sz w:val="24"/>
        </w:rPr>
      </w:pPr>
      <w:r>
        <w:rPr>
          <w:rFonts w:hint="eastAsia" w:ascii="宋体" w:hAnsi="宋体" w:cs="宋体"/>
          <w:color w:val="000000"/>
          <w:kern w:val="0"/>
          <w:sz w:val="24"/>
        </w:rPr>
        <w:t>地址：</w:t>
      </w:r>
      <w:r>
        <w:rPr>
          <w:rFonts w:hint="eastAsia" w:ascii="宋体" w:hAnsi="宋体" w:cs="宋体"/>
          <w:kern w:val="0"/>
          <w:sz w:val="24"/>
          <w:lang w:eastAsia="zh-CN"/>
        </w:rPr>
        <w:t>安康市汉滨区五星街</w:t>
      </w:r>
      <w:r>
        <w:rPr>
          <w:rFonts w:hint="eastAsia" w:ascii="宋体" w:hAnsi="宋体" w:cs="宋体"/>
          <w:color w:val="000000"/>
          <w:kern w:val="0"/>
          <w:sz w:val="24"/>
        </w:rPr>
        <w:t xml:space="preserve">   </w:t>
      </w:r>
    </w:p>
    <w:p w14:paraId="193136F2">
      <w:pPr>
        <w:widowControl/>
        <w:tabs>
          <w:tab w:val="left" w:pos="1620"/>
        </w:tabs>
        <w:wordWrap w:val="0"/>
        <w:spacing w:line="360" w:lineRule="auto"/>
        <w:ind w:right="-197" w:rightChars="-94"/>
        <w:jc w:val="left"/>
        <w:rPr>
          <w:rFonts w:hint="eastAsia" w:ascii="宋体" w:hAnsi="宋体" w:eastAsia="宋体" w:cs="宋体"/>
          <w:color w:val="000000"/>
          <w:kern w:val="0"/>
          <w:sz w:val="24"/>
          <w:lang w:eastAsia="zh-CN"/>
        </w:rPr>
      </w:pPr>
      <w:r>
        <w:rPr>
          <w:rFonts w:hint="eastAsia" w:ascii="宋体" w:hAnsi="宋体" w:cs="宋体"/>
          <w:color w:val="000000"/>
          <w:kern w:val="0"/>
          <w:sz w:val="24"/>
        </w:rPr>
        <w:t>四、采购代理机构名称：</w:t>
      </w:r>
      <w:r>
        <w:rPr>
          <w:rFonts w:hint="eastAsia" w:ascii="宋体" w:hAnsi="宋体" w:cs="宋体"/>
          <w:color w:val="000000"/>
          <w:kern w:val="0"/>
          <w:sz w:val="24"/>
          <w:lang w:eastAsia="zh-CN"/>
        </w:rPr>
        <w:t>陕西中源项目管理有限公司</w:t>
      </w:r>
    </w:p>
    <w:p w14:paraId="23D3B423">
      <w:pPr>
        <w:spacing w:line="360" w:lineRule="auto"/>
        <w:ind w:firstLine="480" w:firstLineChars="200"/>
        <w:jc w:val="left"/>
        <w:rPr>
          <w:rFonts w:hint="eastAsia" w:ascii="宋体" w:hAnsi="宋体" w:eastAsia="宋体" w:cs="宋体"/>
          <w:kern w:val="0"/>
          <w:sz w:val="24"/>
          <w:lang w:eastAsia="zh-CN"/>
        </w:rPr>
      </w:pPr>
      <w:r>
        <w:rPr>
          <w:rFonts w:hint="eastAsia" w:ascii="宋体" w:hAnsi="宋体" w:cs="宋体"/>
          <w:color w:val="000000"/>
          <w:kern w:val="0"/>
          <w:sz w:val="24"/>
        </w:rPr>
        <w:t>地址：</w:t>
      </w:r>
      <w:r>
        <w:rPr>
          <w:rFonts w:hint="eastAsia" w:ascii="宋体" w:hAnsi="宋体" w:cs="宋体"/>
          <w:kern w:val="0"/>
          <w:sz w:val="24"/>
          <w:lang w:eastAsia="zh-CN"/>
        </w:rPr>
        <w:t>安康市汉滨区木竹桥安置点1栋3楼中源公司</w:t>
      </w:r>
    </w:p>
    <w:p w14:paraId="5F777605">
      <w:pPr>
        <w:widowControl/>
        <w:tabs>
          <w:tab w:val="left" w:pos="1620"/>
        </w:tabs>
        <w:wordWrap w:val="0"/>
        <w:spacing w:line="360" w:lineRule="auto"/>
        <w:ind w:right="-197" w:rightChars="-94"/>
        <w:jc w:val="left"/>
        <w:rPr>
          <w:rFonts w:hint="eastAsia" w:ascii="宋体" w:hAnsi="宋体" w:eastAsia="宋体" w:cs="宋体"/>
          <w:color w:val="000000"/>
          <w:kern w:val="0"/>
          <w:sz w:val="24"/>
          <w:lang w:eastAsia="zh-CN"/>
        </w:rPr>
      </w:pPr>
      <w:r>
        <w:rPr>
          <w:rFonts w:hint="eastAsia" w:ascii="宋体" w:hAnsi="宋体" w:cs="宋体"/>
          <w:color w:val="000000"/>
          <w:kern w:val="0"/>
          <w:sz w:val="24"/>
        </w:rPr>
        <w:t xml:space="preserve">    联系方式： </w:t>
      </w:r>
      <w:r>
        <w:rPr>
          <w:rFonts w:hint="eastAsia" w:ascii="宋体" w:hAnsi="宋体" w:cs="宋体"/>
          <w:kern w:val="0"/>
          <w:sz w:val="24"/>
          <w:lang w:eastAsia="zh-CN"/>
        </w:rPr>
        <w:t>16609151911</w:t>
      </w:r>
    </w:p>
    <w:p w14:paraId="0ABE7644">
      <w:pPr>
        <w:widowControl/>
        <w:numPr>
          <w:ilvl w:val="0"/>
          <w:numId w:val="2"/>
        </w:numPr>
        <w:tabs>
          <w:tab w:val="left" w:pos="1620"/>
        </w:tabs>
        <w:wordWrap w:val="0"/>
        <w:spacing w:line="360" w:lineRule="auto"/>
        <w:ind w:right="-197" w:rightChars="-94"/>
        <w:jc w:val="left"/>
        <w:rPr>
          <w:sz w:val="24"/>
        </w:rPr>
      </w:pPr>
      <w:r>
        <w:rPr>
          <w:rFonts w:hint="eastAsia" w:hAnsi="宋体" w:cs="宋体"/>
          <w:sz w:val="24"/>
        </w:rPr>
        <w:t>采购内容及要求</w:t>
      </w:r>
      <w:r>
        <w:rPr>
          <w:rFonts w:hint="eastAsia" w:ascii="宋体" w:hAnsi="宋体" w:cs="宋体"/>
          <w:color w:val="000000"/>
          <w:kern w:val="0"/>
          <w:sz w:val="24"/>
        </w:rPr>
        <w:t>：</w:t>
      </w:r>
    </w:p>
    <w:p w14:paraId="65D16A32">
      <w:pPr>
        <w:spacing w:line="360" w:lineRule="auto"/>
        <w:ind w:firstLine="480" w:firstLineChars="200"/>
        <w:jc w:val="left"/>
        <w:rPr>
          <w:rFonts w:hint="eastAsia" w:ascii="宋体" w:hAnsi="宋体" w:cs="宋体"/>
          <w:kern w:val="0"/>
          <w:sz w:val="24"/>
        </w:rPr>
      </w:pPr>
      <w:r>
        <w:rPr>
          <w:rFonts w:hint="eastAsia" w:ascii="宋体" w:hAnsi="宋体" w:cs="宋体"/>
          <w:kern w:val="0"/>
          <w:sz w:val="24"/>
        </w:rPr>
        <w:t>1.项目内容及用途：</w:t>
      </w:r>
      <w:r>
        <w:rPr>
          <w:rFonts w:hint="eastAsia" w:ascii="宋体" w:hAnsi="宋体" w:cs="宋体"/>
          <w:color w:val="000000"/>
          <w:spacing w:val="-6"/>
          <w:kern w:val="0"/>
          <w:sz w:val="24"/>
          <w:lang w:eastAsia="zh-CN"/>
        </w:rPr>
        <w:t>安康市公安局汉滨分局81条天眼视频监控线路项目，</w:t>
      </w:r>
      <w:r>
        <w:rPr>
          <w:rFonts w:hint="eastAsia" w:ascii="宋体" w:hAnsi="宋体" w:cs="宋体"/>
          <w:color w:val="000000"/>
          <w:spacing w:val="-6"/>
          <w:kern w:val="0"/>
          <w:sz w:val="24"/>
          <w:lang w:val="en-US" w:eastAsia="zh-CN"/>
        </w:rPr>
        <w:t>详见采购需求</w:t>
      </w:r>
      <w:r>
        <w:rPr>
          <w:rFonts w:hint="eastAsia" w:ascii="宋体" w:hAnsi="宋体" w:eastAsia="宋体" w:cs="Times New Roman"/>
          <w:color w:val="auto"/>
          <w:sz w:val="24"/>
          <w:lang w:val="en-US" w:eastAsia="zh-CN"/>
        </w:rPr>
        <w:t>。</w:t>
      </w:r>
    </w:p>
    <w:p w14:paraId="1F73ECD5">
      <w:pPr>
        <w:widowControl/>
        <w:tabs>
          <w:tab w:val="left" w:pos="1620"/>
        </w:tabs>
        <w:spacing w:line="360" w:lineRule="auto"/>
        <w:ind w:right="-197" w:rightChars="-94"/>
        <w:rPr>
          <w:rFonts w:hint="eastAsia" w:ascii="宋体" w:hAnsi="宋体" w:cs="宋体"/>
          <w:color w:val="FF0000"/>
          <w:kern w:val="0"/>
          <w:sz w:val="24"/>
        </w:rPr>
      </w:pPr>
      <w:r>
        <w:rPr>
          <w:rFonts w:hint="eastAsia" w:ascii="宋体" w:hAnsi="宋体" w:cs="宋体"/>
          <w:color w:val="000000"/>
          <w:kern w:val="0"/>
          <w:sz w:val="24"/>
        </w:rPr>
        <w:t xml:space="preserve">    2.项目性质：</w:t>
      </w:r>
      <w:r>
        <w:rPr>
          <w:rFonts w:hint="eastAsia" w:ascii="宋体" w:hAnsi="宋体" w:cs="宋体"/>
          <w:sz w:val="24"/>
          <w:lang w:eastAsia="zh-CN"/>
        </w:rPr>
        <w:t>财政拨款</w:t>
      </w:r>
      <w:r>
        <w:rPr>
          <w:rFonts w:hint="eastAsia" w:ascii="宋体" w:hAnsi="宋体" w:cs="宋体"/>
          <w:kern w:val="0"/>
          <w:sz w:val="24"/>
        </w:rPr>
        <w:t>。</w:t>
      </w:r>
    </w:p>
    <w:p w14:paraId="798B34AC">
      <w:pPr>
        <w:spacing w:line="360" w:lineRule="auto"/>
        <w:ind w:firstLine="480" w:firstLineChars="200"/>
        <w:jc w:val="left"/>
        <w:rPr>
          <w:rFonts w:hint="eastAsia" w:ascii="宋体" w:hAnsi="宋体" w:cs="宋体"/>
          <w:sz w:val="24"/>
        </w:rPr>
      </w:pPr>
      <w:r>
        <w:rPr>
          <w:rFonts w:hint="eastAsia" w:ascii="宋体" w:hAnsi="宋体" w:cs="宋体"/>
          <w:kern w:val="0"/>
          <w:sz w:val="24"/>
        </w:rPr>
        <w:t>3.项目限价：</w:t>
      </w:r>
      <w:r>
        <w:rPr>
          <w:rFonts w:hint="eastAsia" w:ascii="宋体" w:hAnsi="宋体" w:cs="宋体"/>
          <w:sz w:val="24"/>
          <w:lang w:val="en-US" w:eastAsia="zh-CN"/>
        </w:rPr>
        <w:t>220,000.00元</w:t>
      </w:r>
      <w:r>
        <w:rPr>
          <w:rFonts w:hint="eastAsia" w:ascii="宋体" w:hAnsi="宋体" w:cs="宋体"/>
          <w:sz w:val="24"/>
        </w:rPr>
        <w:t>, 磋商响应报价不得超出限价金额，超出则废标。</w:t>
      </w:r>
    </w:p>
    <w:p w14:paraId="46401F19">
      <w:pPr>
        <w:widowControl/>
        <w:tabs>
          <w:tab w:val="left" w:pos="1620"/>
        </w:tabs>
        <w:wordWrap w:val="0"/>
        <w:spacing w:line="360" w:lineRule="auto"/>
        <w:ind w:right="-197" w:rightChars="-94"/>
        <w:jc w:val="left"/>
        <w:rPr>
          <w:rFonts w:hint="eastAsia" w:ascii="宋体" w:hAnsi="宋体" w:cs="宋体"/>
          <w:color w:val="000000"/>
          <w:kern w:val="0"/>
          <w:sz w:val="24"/>
        </w:rPr>
      </w:pPr>
      <w:r>
        <w:rPr>
          <w:rFonts w:hint="eastAsia" w:ascii="宋体" w:hAnsi="宋体" w:cs="宋体"/>
          <w:color w:val="000000"/>
          <w:kern w:val="0"/>
          <w:sz w:val="24"/>
        </w:rPr>
        <w:t>六、供应商资格要求：</w:t>
      </w:r>
    </w:p>
    <w:p w14:paraId="1D45E16D">
      <w:pPr>
        <w:pStyle w:val="24"/>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1.具有独立承担民事责任的能力，提供营业执照、税务登记证、组织机构代码证或登载有统一社会信用代码的营业执照（或《事业单位法人证书》或其他合法组织登记证书、自然人只须提交身份证复印件）；</w:t>
      </w:r>
    </w:p>
    <w:p w14:paraId="10AFF602">
      <w:pPr>
        <w:pStyle w:val="24"/>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2.提供法定代表人授权书（附法定代表人身份证复印件）及被授权代表身份证复印件（法定代表人直接参加只须提供法定代表人身份证复印件）；</w:t>
      </w:r>
    </w:p>
    <w:p w14:paraId="53C25D34">
      <w:pPr>
        <w:pStyle w:val="24"/>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3.税收缴纳证明:自</w:t>
      </w:r>
      <w:r>
        <w:rPr>
          <w:rFonts w:hint="eastAsia" w:cs="宋体"/>
          <w:color w:val="auto"/>
          <w:sz w:val="24"/>
          <w:szCs w:val="24"/>
          <w:lang w:eastAsia="zh-CN"/>
        </w:rPr>
        <w:t>2025年11月</w:t>
      </w:r>
      <w:r>
        <w:rPr>
          <w:rFonts w:hint="eastAsia" w:ascii="宋体" w:hAnsi="宋体" w:eastAsia="宋体" w:cs="宋体"/>
          <w:color w:val="auto"/>
          <w:sz w:val="24"/>
          <w:szCs w:val="24"/>
        </w:rPr>
        <w:t>至今至少1个月的纳税证明或完税证明(提供增值税、企业所得税至少一种),纳税证明或完税证明上应有代收机构或税务机关的公章或业务专用章。依法免税的供应商应提供相关文件证明；</w:t>
      </w:r>
    </w:p>
    <w:p w14:paraId="66017A8D">
      <w:pPr>
        <w:pStyle w:val="24"/>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4.社会保障资金缴纳证明:自</w:t>
      </w:r>
      <w:r>
        <w:rPr>
          <w:rFonts w:hint="eastAsia" w:cs="宋体"/>
          <w:color w:val="auto"/>
          <w:sz w:val="24"/>
          <w:szCs w:val="24"/>
          <w:lang w:eastAsia="zh-CN"/>
        </w:rPr>
        <w:t>2025年11月</w:t>
      </w:r>
      <w:r>
        <w:rPr>
          <w:rFonts w:hint="eastAsia" w:ascii="宋体" w:hAnsi="宋体" w:eastAsia="宋体" w:cs="宋体"/>
          <w:color w:val="auto"/>
          <w:sz w:val="24"/>
          <w:szCs w:val="24"/>
        </w:rPr>
        <w:t>至今已缴存的至少1个月的社会保障资金缴存单据或社保机构开具的社会保险参保缴费情况证明，单据或证明上应有社保机构或代收机构的印章。依法不需要缴纳社会保障资金的供应商应提供相关文件证明；</w:t>
      </w:r>
    </w:p>
    <w:p w14:paraId="3E21B21F">
      <w:pPr>
        <w:pStyle w:val="24"/>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5.</w:t>
      </w:r>
      <w:r>
        <w:rPr>
          <w:rFonts w:hint="eastAsia" w:cs="宋体"/>
          <w:color w:val="auto"/>
          <w:sz w:val="24"/>
          <w:szCs w:val="24"/>
          <w:lang w:eastAsia="zh-CN"/>
        </w:rPr>
        <w:t>财务状况报告:提供近三年任意一年度经审计的财务会计报告（至少应包含资产负债表、利润表和现金流量表，成立时间至提交投标文件截止时间不足一年的可提供成立后任意时段的资产负债表）；或其基本存款账户开户银行出具的资信证明及基本存款账户开户许可证；或政府采购信用担保机构出具的投标担保函；</w:t>
      </w:r>
    </w:p>
    <w:p w14:paraId="1D3FC086">
      <w:pPr>
        <w:pStyle w:val="24"/>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6.参加政府采购活动前3年内（2023年1月至今）在经营活动中没有重大违法记录的书面声明（供应商自行出具声明书并加盖公章）；</w:t>
      </w:r>
    </w:p>
    <w:p w14:paraId="11233DEE">
      <w:pPr>
        <w:pStyle w:val="24"/>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rPr>
      </w:pPr>
      <w:r>
        <w:rPr>
          <w:rFonts w:hint="eastAsia" w:cs="宋体"/>
          <w:color w:val="auto"/>
          <w:sz w:val="24"/>
          <w:szCs w:val="24"/>
          <w:lang w:val="en-US" w:eastAsia="zh-CN"/>
        </w:rPr>
        <w:t>7.</w:t>
      </w:r>
      <w:r>
        <w:rPr>
          <w:rFonts w:hint="eastAsia" w:ascii="宋体" w:hAnsi="宋体" w:eastAsia="宋体" w:cs="宋体"/>
          <w:color w:val="auto"/>
          <w:sz w:val="24"/>
          <w:szCs w:val="24"/>
        </w:rPr>
        <w:t>本项目不接受联合投标。</w:t>
      </w:r>
    </w:p>
    <w:p w14:paraId="78AEEBAE">
      <w:pPr>
        <w:widowControl/>
        <w:adjustRightInd w:val="0"/>
        <w:snapToGrid w:val="0"/>
        <w:spacing w:line="560" w:lineRule="exact"/>
        <w:rPr>
          <w:rFonts w:hint="eastAsia" w:ascii="宋体" w:hAnsi="宋体" w:cs="宋体"/>
          <w:kern w:val="0"/>
          <w:sz w:val="24"/>
        </w:rPr>
      </w:pPr>
      <w:r>
        <w:rPr>
          <w:rFonts w:hint="eastAsia" w:ascii="宋体" w:hAnsi="宋体" w:cs="宋体"/>
          <w:kern w:val="0"/>
          <w:sz w:val="24"/>
        </w:rPr>
        <w:t>七、采购项目需要落实的政府采购政策：依据《中华人民共和国政府采购法》和《中华人民共和国政府采购</w:t>
      </w:r>
      <w:r>
        <w:rPr>
          <w:rFonts w:hint="eastAsia" w:ascii="宋体" w:hAnsi="宋体" w:cs="宋体"/>
          <w:kern w:val="0"/>
          <w:sz w:val="24"/>
          <w:lang w:val="en-US" w:eastAsia="zh-CN"/>
        </w:rPr>
        <w:t>法</w:t>
      </w:r>
      <w:r>
        <w:rPr>
          <w:rFonts w:hint="eastAsia" w:ascii="宋体" w:hAnsi="宋体" w:cs="宋体"/>
          <w:kern w:val="0"/>
          <w:sz w:val="24"/>
        </w:rPr>
        <w:t xml:space="preserve">实施条例》的有关规定，落实政府采购政策。 </w:t>
      </w:r>
    </w:p>
    <w:p w14:paraId="0DEAF518">
      <w:pPr>
        <w:pStyle w:val="24"/>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1、《政府采购促进中小企业发展管理办法》（财库﹝2020﹞46 号）； </w:t>
      </w:r>
    </w:p>
    <w:p w14:paraId="114F2A7D">
      <w:pPr>
        <w:pStyle w:val="24"/>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2、《财政部司法部关于政府采购支持监狱企业发展有关问题的通知》（财库〔2014〕68号）；</w:t>
      </w:r>
    </w:p>
    <w:p w14:paraId="10CE9816">
      <w:pPr>
        <w:pStyle w:val="24"/>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 《国务院办公厅关于建立政府强制采购节能产品制度的通知》（国办发〔2007〕51号）； </w:t>
      </w:r>
    </w:p>
    <w:p w14:paraId="63C53528">
      <w:pPr>
        <w:pStyle w:val="24"/>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4、《关于调整优化节能产品、环境标志产品政府采购执行机制的通知》（财库〔2019〕9号）；</w:t>
      </w:r>
    </w:p>
    <w:p w14:paraId="2915E4EB">
      <w:pPr>
        <w:pStyle w:val="24"/>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5、《关于印发环境标志产品政府采购品目清单的通知》（财库〔2019〕18号）；</w:t>
      </w:r>
    </w:p>
    <w:p w14:paraId="79AB0E06">
      <w:pPr>
        <w:pStyle w:val="24"/>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6、《关于印发节能产品政府采购品目清单的通知》（财库〔2019〕19号）；</w:t>
      </w:r>
    </w:p>
    <w:p w14:paraId="3E481635">
      <w:pPr>
        <w:pStyle w:val="24"/>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7、《三部门联合发布关于促进残疾人就业政府采购政策的通知》（财库〔2017〕141号）； </w:t>
      </w:r>
    </w:p>
    <w:p w14:paraId="48126B56">
      <w:pPr>
        <w:pStyle w:val="24"/>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8、《财政部发展改革委生态环境部市场监管总局关于调整优化节能产品、环境标志产品政府采购执行机制的通知》（财库〔2019〕9号）； </w:t>
      </w:r>
    </w:p>
    <w:p w14:paraId="3B8ABC25">
      <w:pPr>
        <w:pStyle w:val="24"/>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9、《关于运用政府采购政策支持脱贫攻坚的通知》财库〔2019〕27号；</w:t>
      </w:r>
    </w:p>
    <w:p w14:paraId="0133E507">
      <w:pPr>
        <w:pStyle w:val="24"/>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10、《陕西省财政厅关于加快推进我省中小企业政府采购信用融资工作的通知》（陕财办采〔2020〕15号）；</w:t>
      </w:r>
    </w:p>
    <w:p w14:paraId="7A49D61B">
      <w:pPr>
        <w:keepNext w:val="0"/>
        <w:keepLines w:val="0"/>
        <w:pageBreakBefore w:val="0"/>
        <w:kinsoku/>
        <w:wordWrap/>
        <w:overflowPunct/>
        <w:topLinePunct w:val="0"/>
        <w:autoSpaceDE/>
        <w:autoSpaceDN/>
        <w:bidi w:val="0"/>
        <w:spacing w:line="360" w:lineRule="auto"/>
        <w:ind w:left="0" w:leftChars="0" w:firstLine="480" w:firstLineChars="200"/>
        <w:textAlignment w:val="auto"/>
        <w:rPr>
          <w:rFonts w:hint="eastAsia" w:ascii="宋体" w:hAnsi="宋体" w:eastAsia="宋体" w:cs="宋体"/>
          <w:b/>
          <w:color w:val="auto"/>
          <w:kern w:val="0"/>
          <w:sz w:val="24"/>
          <w:szCs w:val="24"/>
        </w:rPr>
      </w:pPr>
      <w:r>
        <w:rPr>
          <w:rFonts w:hint="eastAsia" w:ascii="宋体" w:hAnsi="宋体" w:eastAsia="宋体" w:cs="宋体"/>
          <w:color w:val="auto"/>
          <w:sz w:val="24"/>
          <w:szCs w:val="24"/>
        </w:rPr>
        <w:t>11、</w:t>
      </w:r>
      <w:r>
        <w:rPr>
          <w:rFonts w:hint="eastAsia" w:ascii="宋体" w:hAnsi="宋体" w:eastAsia="宋体" w:cs="宋体"/>
          <w:color w:val="auto"/>
          <w:sz w:val="24"/>
          <w:szCs w:val="24"/>
          <w:lang w:val="en-US"/>
        </w:rPr>
        <w:t>其他需要落实的政府采购政策。</w:t>
      </w:r>
      <w:r>
        <w:rPr>
          <w:rFonts w:hint="eastAsia" w:ascii="宋体" w:hAnsi="宋体" w:eastAsia="宋体" w:cs="宋体"/>
          <w:color w:val="auto"/>
          <w:sz w:val="24"/>
          <w:szCs w:val="24"/>
        </w:rPr>
        <w:t xml:space="preserve"> </w:t>
      </w:r>
    </w:p>
    <w:p w14:paraId="3610D325">
      <w:pPr>
        <w:widowControl/>
        <w:tabs>
          <w:tab w:val="left" w:pos="1620"/>
        </w:tabs>
        <w:wordWrap w:val="0"/>
        <w:spacing w:line="360" w:lineRule="auto"/>
        <w:ind w:right="-197" w:rightChars="-94"/>
        <w:jc w:val="left"/>
        <w:rPr>
          <w:rFonts w:hint="eastAsia" w:ascii="宋体" w:hAnsi="宋体" w:cs="宋体"/>
          <w:color w:val="000000"/>
          <w:kern w:val="0"/>
          <w:sz w:val="24"/>
        </w:rPr>
      </w:pPr>
      <w:r>
        <w:rPr>
          <w:rFonts w:hint="eastAsia" w:ascii="宋体" w:hAnsi="宋体" w:cs="宋体"/>
          <w:color w:val="000000"/>
          <w:kern w:val="0"/>
          <w:sz w:val="24"/>
        </w:rPr>
        <w:t>八、</w:t>
      </w:r>
      <w:r>
        <w:rPr>
          <w:rFonts w:hint="eastAsia" w:ascii="宋体" w:hAnsi="宋体" w:cs="宋体"/>
          <w:color w:val="000000"/>
          <w:kern w:val="0"/>
          <w:sz w:val="24"/>
          <w:lang w:eastAsia="zh-CN"/>
        </w:rPr>
        <w:t>磋商文件</w:t>
      </w:r>
      <w:r>
        <w:rPr>
          <w:rFonts w:hint="eastAsia" w:ascii="宋体" w:hAnsi="宋体" w:cs="宋体"/>
          <w:color w:val="000000"/>
          <w:kern w:val="0"/>
          <w:sz w:val="24"/>
        </w:rPr>
        <w:t xml:space="preserve">的获取： </w:t>
      </w:r>
    </w:p>
    <w:p w14:paraId="0CB8786C">
      <w:pPr>
        <w:keepNext w:val="0"/>
        <w:keepLines w:val="0"/>
        <w:pageBreakBefore w:val="0"/>
        <w:kinsoku/>
        <w:wordWrap/>
        <w:overflowPunct/>
        <w:topLinePunct w:val="0"/>
        <w:autoSpaceDE/>
        <w:autoSpaceDN/>
        <w:bidi w:val="0"/>
        <w:spacing w:line="360" w:lineRule="auto"/>
        <w:ind w:left="0" w:leftChars="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领取</w:t>
      </w:r>
      <w:r>
        <w:rPr>
          <w:rFonts w:hint="eastAsia" w:ascii="宋体" w:hAnsi="宋体" w:eastAsia="宋体" w:cs="宋体"/>
          <w:color w:val="auto"/>
          <w:sz w:val="24"/>
          <w:szCs w:val="24"/>
        </w:rPr>
        <w:t>时间：</w:t>
      </w:r>
      <w:r>
        <w:rPr>
          <w:rFonts w:hint="eastAsia" w:ascii="宋体" w:hAnsi="宋体" w:cs="宋体"/>
          <w:color w:val="auto"/>
          <w:sz w:val="24"/>
          <w:szCs w:val="24"/>
          <w:lang w:eastAsia="zh-CN"/>
        </w:rPr>
        <w:t>2026年5月14日</w:t>
      </w:r>
      <w:r>
        <w:rPr>
          <w:rFonts w:hint="eastAsia" w:ascii="宋体" w:hAnsi="宋体" w:eastAsia="宋体" w:cs="宋体"/>
          <w:color w:val="auto"/>
          <w:sz w:val="24"/>
          <w:szCs w:val="24"/>
        </w:rPr>
        <w:t>-</w:t>
      </w:r>
      <w:r>
        <w:rPr>
          <w:rFonts w:hint="eastAsia" w:ascii="宋体" w:hAnsi="宋体" w:cs="宋体"/>
          <w:color w:val="auto"/>
          <w:sz w:val="24"/>
          <w:szCs w:val="24"/>
          <w:lang w:eastAsia="zh-CN"/>
        </w:rPr>
        <w:t>2026年5月20日</w:t>
      </w:r>
    </w:p>
    <w:p w14:paraId="08F9AF83">
      <w:pPr>
        <w:keepNext w:val="0"/>
        <w:keepLines w:val="0"/>
        <w:pageBreakBefore w:val="0"/>
        <w:kinsoku/>
        <w:wordWrap/>
        <w:overflowPunct/>
        <w:topLinePunct w:val="0"/>
        <w:autoSpaceDE/>
        <w:autoSpaceDN/>
        <w:bidi w:val="0"/>
        <w:spacing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（0</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:00-12:00,14:00-1</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:00时）</w:t>
      </w:r>
    </w:p>
    <w:p w14:paraId="2FE69368">
      <w:pPr>
        <w:keepNext w:val="0"/>
        <w:keepLines w:val="0"/>
        <w:pageBreakBefore w:val="0"/>
        <w:numPr>
          <w:ilvl w:val="0"/>
          <w:numId w:val="0"/>
        </w:numPr>
        <w:kinsoku/>
        <w:wordWrap/>
        <w:overflowPunct/>
        <w:topLinePunct w:val="0"/>
        <w:autoSpaceDE/>
        <w:autoSpaceDN/>
        <w:bidi w:val="0"/>
        <w:spacing w:line="360" w:lineRule="auto"/>
        <w:ind w:left="0" w:lef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sz w:val="24"/>
          <w:szCs w:val="24"/>
          <w:lang w:eastAsia="zh-CN"/>
        </w:rPr>
        <w:t>领取</w:t>
      </w:r>
      <w:r>
        <w:rPr>
          <w:rFonts w:hint="eastAsia" w:ascii="宋体" w:hAnsi="宋体" w:eastAsia="宋体" w:cs="宋体"/>
          <w:color w:val="auto"/>
          <w:sz w:val="24"/>
          <w:szCs w:val="24"/>
        </w:rPr>
        <w:t>地点：</w:t>
      </w:r>
      <w:r>
        <w:rPr>
          <w:rFonts w:hint="eastAsia" w:ascii="宋体" w:hAnsi="宋体" w:cs="宋体"/>
          <w:color w:val="auto"/>
          <w:sz w:val="24"/>
          <w:szCs w:val="24"/>
          <w:lang w:val="en-US" w:eastAsia="zh-CN"/>
        </w:rPr>
        <w:t>安康市汉滨区木竹桥安置点1栋3楼中源公司</w:t>
      </w:r>
    </w:p>
    <w:p w14:paraId="74A83C54">
      <w:pPr>
        <w:keepNext w:val="0"/>
        <w:keepLines w:val="0"/>
        <w:pageBreakBefore w:val="0"/>
        <w:numPr>
          <w:ilvl w:val="0"/>
          <w:numId w:val="0"/>
        </w:numPr>
        <w:kinsoku/>
        <w:wordWrap/>
        <w:overflowPunct/>
        <w:topLinePunct w:val="0"/>
        <w:autoSpaceDE/>
        <w:autoSpaceDN/>
        <w:bidi w:val="0"/>
        <w:spacing w:line="360" w:lineRule="auto"/>
        <w:ind w:left="0" w:leftChars="0" w:firstLine="480" w:firstLineChars="200"/>
        <w:textAlignment w:val="auto"/>
        <w:rPr>
          <w:rFonts w:hint="default" w:ascii="宋体" w:hAnsi="宋体" w:cs="宋体"/>
          <w:color w:val="000000"/>
          <w:kern w:val="0"/>
          <w:sz w:val="24"/>
          <w:lang w:val="en-US"/>
        </w:rPr>
      </w:pPr>
      <w:r>
        <w:rPr>
          <w:rFonts w:hint="eastAsia" w:ascii="宋体" w:hAnsi="宋体" w:eastAsia="宋体" w:cs="宋体"/>
          <w:color w:val="auto"/>
          <w:sz w:val="24"/>
          <w:szCs w:val="24"/>
          <w:lang w:val="en-US" w:eastAsia="zh-CN"/>
        </w:rPr>
        <w:t>3、售价：</w:t>
      </w:r>
      <w:r>
        <w:rPr>
          <w:rFonts w:hint="eastAsia" w:ascii="宋体" w:hAnsi="宋体" w:cs="宋体"/>
          <w:color w:val="auto"/>
          <w:sz w:val="24"/>
          <w:szCs w:val="24"/>
          <w:lang w:val="en-US" w:eastAsia="zh-CN"/>
        </w:rPr>
        <w:t>免费获取</w:t>
      </w:r>
    </w:p>
    <w:p w14:paraId="57087780">
      <w:pPr>
        <w:widowControl/>
        <w:tabs>
          <w:tab w:val="left" w:pos="1620"/>
        </w:tabs>
        <w:wordWrap w:val="0"/>
        <w:spacing w:line="360" w:lineRule="auto"/>
        <w:ind w:right="-197" w:rightChars="-94"/>
        <w:jc w:val="left"/>
        <w:rPr>
          <w:rFonts w:hint="eastAsia" w:ascii="宋体" w:hAnsi="宋体" w:cs="宋体"/>
          <w:kern w:val="0"/>
          <w:sz w:val="24"/>
        </w:rPr>
      </w:pPr>
      <w:r>
        <w:rPr>
          <w:rFonts w:hint="eastAsia" w:ascii="宋体" w:hAnsi="宋体" w:cs="宋体"/>
          <w:color w:val="000000"/>
          <w:kern w:val="0"/>
          <w:sz w:val="24"/>
        </w:rPr>
        <w:t>  4、获取方式：</w:t>
      </w:r>
      <w:r>
        <w:rPr>
          <w:rFonts w:hint="eastAsia" w:ascii="宋体" w:hAnsi="宋体" w:cs="宋体"/>
          <w:kern w:val="0"/>
          <w:sz w:val="24"/>
          <w:lang w:val="en-US" w:eastAsia="zh-CN"/>
        </w:rPr>
        <w:t>领取</w:t>
      </w:r>
      <w:r>
        <w:rPr>
          <w:rFonts w:hint="eastAsia" w:ascii="宋体" w:hAnsi="宋体" w:cs="宋体"/>
          <w:kern w:val="0"/>
          <w:sz w:val="24"/>
          <w:lang w:eastAsia="zh-CN"/>
        </w:rPr>
        <w:t>磋商文件</w:t>
      </w:r>
      <w:r>
        <w:rPr>
          <w:rFonts w:hint="eastAsia" w:ascii="宋体" w:hAnsi="宋体" w:cs="宋体"/>
          <w:kern w:val="0"/>
          <w:sz w:val="24"/>
        </w:rPr>
        <w:t>时须携带企业介绍信</w:t>
      </w:r>
      <w:r>
        <w:rPr>
          <w:rFonts w:hint="eastAsia" w:ascii="宋体" w:hAnsi="宋体" w:cs="宋体"/>
          <w:kern w:val="0"/>
          <w:sz w:val="24"/>
          <w:lang w:val="en-US" w:eastAsia="zh-CN"/>
        </w:rPr>
        <w:t>或</w:t>
      </w:r>
      <w:r>
        <w:rPr>
          <w:rFonts w:hint="eastAsia" w:ascii="宋体" w:hAnsi="宋体" w:cs="宋体"/>
          <w:kern w:val="0"/>
          <w:sz w:val="24"/>
        </w:rPr>
        <w:t>法人授权委托书、被授权人身份证</w:t>
      </w:r>
      <w:r>
        <w:rPr>
          <w:rFonts w:hint="eastAsia" w:ascii="宋体" w:hAnsi="宋体" w:cs="宋体"/>
          <w:kern w:val="0"/>
          <w:sz w:val="24"/>
          <w:lang w:val="en-US" w:eastAsia="zh-CN"/>
        </w:rPr>
        <w:t>扫描件</w:t>
      </w:r>
      <w:r>
        <w:rPr>
          <w:rFonts w:hint="eastAsia" w:ascii="宋体" w:hAnsi="宋体" w:cs="宋体"/>
          <w:kern w:val="0"/>
          <w:sz w:val="24"/>
        </w:rPr>
        <w:t>（加盖单位公章）</w:t>
      </w:r>
      <w:r>
        <w:rPr>
          <w:rFonts w:hint="eastAsia" w:ascii="宋体" w:hAnsi="宋体" w:cs="宋体"/>
          <w:kern w:val="0"/>
          <w:sz w:val="24"/>
          <w:lang w:eastAsia="zh-CN"/>
        </w:rPr>
        <w:t>；</w:t>
      </w:r>
      <w:r>
        <w:rPr>
          <w:rFonts w:hint="eastAsia" w:ascii="宋体" w:hAnsi="宋体" w:cs="宋体"/>
          <w:kern w:val="0"/>
          <w:sz w:val="24"/>
          <w:lang w:val="en-US" w:eastAsia="zh-CN"/>
        </w:rPr>
        <w:t>或将以上资料发送至邮箱（752171105@qq.com）并联系电话</w:t>
      </w:r>
      <w:r>
        <w:rPr>
          <w:rFonts w:hint="eastAsia" w:ascii="宋体" w:hAnsi="宋体" w:cs="宋体"/>
          <w:kern w:val="0"/>
          <w:sz w:val="24"/>
          <w:lang w:eastAsia="zh-CN"/>
        </w:rPr>
        <w:t>16609151911</w:t>
      </w:r>
      <w:r>
        <w:rPr>
          <w:rFonts w:hint="eastAsia" w:ascii="宋体" w:hAnsi="宋体" w:cs="宋体"/>
          <w:kern w:val="0"/>
          <w:sz w:val="24"/>
          <w:lang w:val="en-US" w:eastAsia="zh-CN"/>
        </w:rPr>
        <w:t>确认参与磋商</w:t>
      </w:r>
      <w:r>
        <w:rPr>
          <w:rFonts w:hint="eastAsia" w:ascii="宋体" w:hAnsi="宋体" w:cs="宋体"/>
          <w:kern w:val="0"/>
          <w:sz w:val="24"/>
        </w:rPr>
        <w:t>。</w:t>
      </w:r>
    </w:p>
    <w:p w14:paraId="311E565B">
      <w:pPr>
        <w:widowControl/>
        <w:tabs>
          <w:tab w:val="left" w:pos="1620"/>
        </w:tabs>
        <w:wordWrap w:val="0"/>
        <w:spacing w:line="360" w:lineRule="auto"/>
        <w:ind w:right="-197" w:rightChars="-94"/>
        <w:jc w:val="left"/>
        <w:outlineLvl w:val="0"/>
        <w:rPr>
          <w:rFonts w:hint="eastAsia" w:ascii="宋体" w:hAnsi="宋体" w:cs="宋体"/>
          <w:color w:val="000000"/>
          <w:kern w:val="0"/>
          <w:sz w:val="24"/>
        </w:rPr>
      </w:pPr>
      <w:bookmarkStart w:id="3" w:name="_Toc4311"/>
      <w:r>
        <w:rPr>
          <w:rFonts w:hint="eastAsia" w:ascii="宋体" w:hAnsi="宋体" w:cs="宋体"/>
          <w:color w:val="000000"/>
          <w:kern w:val="0"/>
          <w:sz w:val="24"/>
          <w:lang w:val="en-US" w:eastAsia="zh-CN"/>
        </w:rPr>
        <w:t>九</w:t>
      </w:r>
      <w:r>
        <w:rPr>
          <w:rFonts w:hint="eastAsia" w:ascii="宋体" w:hAnsi="宋体" w:cs="宋体"/>
          <w:color w:val="000000"/>
          <w:kern w:val="0"/>
          <w:sz w:val="24"/>
        </w:rPr>
        <w:t>、投标文件提交截止时间及开标时间和地点：</w:t>
      </w:r>
      <w:bookmarkEnd w:id="3"/>
      <w:r>
        <w:rPr>
          <w:rFonts w:hint="eastAsia" w:ascii="宋体" w:hAnsi="宋体" w:cs="宋体"/>
          <w:color w:val="000000"/>
          <w:kern w:val="0"/>
          <w:sz w:val="24"/>
        </w:rPr>
        <w:t xml:space="preserve"> </w:t>
      </w:r>
    </w:p>
    <w:p w14:paraId="1ACEA294">
      <w:pPr>
        <w:widowControl/>
        <w:tabs>
          <w:tab w:val="left" w:pos="1620"/>
        </w:tabs>
        <w:wordWrap w:val="0"/>
        <w:spacing w:line="360" w:lineRule="auto"/>
        <w:ind w:right="-197" w:rightChars="-94" w:firstLine="480" w:firstLineChars="200"/>
        <w:jc w:val="left"/>
        <w:rPr>
          <w:rFonts w:hint="eastAsia" w:ascii="宋体" w:hAnsi="宋体" w:cs="宋体"/>
          <w:color w:val="000000"/>
          <w:kern w:val="0"/>
          <w:sz w:val="24"/>
        </w:rPr>
      </w:pPr>
      <w:r>
        <w:rPr>
          <w:rFonts w:hint="eastAsia" w:ascii="宋体" w:hAnsi="宋体" w:cs="宋体"/>
          <w:color w:val="000000"/>
          <w:kern w:val="0"/>
          <w:sz w:val="24"/>
        </w:rPr>
        <w:t>1、</w:t>
      </w:r>
      <w:r>
        <w:rPr>
          <w:rFonts w:hint="eastAsia" w:ascii="宋体" w:hAnsi="宋体" w:cs="宋体"/>
          <w:color w:val="000000"/>
          <w:kern w:val="0"/>
          <w:sz w:val="24"/>
          <w:lang w:val="en-US" w:eastAsia="zh-CN"/>
        </w:rPr>
        <w:t>磋商响应</w:t>
      </w:r>
      <w:r>
        <w:rPr>
          <w:rFonts w:hint="eastAsia" w:ascii="宋体" w:hAnsi="宋体" w:cs="宋体"/>
          <w:color w:val="000000"/>
          <w:kern w:val="0"/>
          <w:sz w:val="24"/>
        </w:rPr>
        <w:t>文件提交截止时间：</w:t>
      </w:r>
      <w:r>
        <w:rPr>
          <w:rFonts w:hint="eastAsia" w:ascii="宋体" w:hAnsi="宋体" w:cs="宋体"/>
          <w:color w:val="000000"/>
          <w:kern w:val="0"/>
          <w:sz w:val="24"/>
          <w:lang w:eastAsia="zh-CN"/>
        </w:rPr>
        <w:t>2026年5月26日1</w:t>
      </w:r>
      <w:r>
        <w:rPr>
          <w:rFonts w:hint="eastAsia" w:ascii="宋体" w:hAnsi="宋体" w:cs="宋体"/>
          <w:color w:val="000000"/>
          <w:kern w:val="0"/>
          <w:sz w:val="24"/>
          <w:lang w:val="en-US" w:eastAsia="zh-CN"/>
        </w:rPr>
        <w:t>5</w:t>
      </w:r>
      <w:r>
        <w:rPr>
          <w:rFonts w:hint="eastAsia" w:ascii="宋体" w:hAnsi="宋体" w:cs="宋体"/>
          <w:color w:val="000000"/>
          <w:kern w:val="0"/>
          <w:sz w:val="24"/>
          <w:lang w:eastAsia="zh-CN"/>
        </w:rPr>
        <w:t>时00分</w:t>
      </w:r>
    </w:p>
    <w:p w14:paraId="52772E6E">
      <w:pPr>
        <w:widowControl/>
        <w:tabs>
          <w:tab w:val="left" w:pos="1620"/>
        </w:tabs>
        <w:wordWrap w:val="0"/>
        <w:spacing w:line="360" w:lineRule="auto"/>
        <w:ind w:right="-197" w:rightChars="-94" w:firstLine="480" w:firstLineChars="200"/>
        <w:jc w:val="left"/>
        <w:rPr>
          <w:rFonts w:hint="eastAsia" w:ascii="宋体" w:hAnsi="宋体" w:cs="宋体"/>
          <w:color w:val="FF0000"/>
          <w:kern w:val="0"/>
          <w:sz w:val="24"/>
        </w:rPr>
      </w:pPr>
      <w:r>
        <w:rPr>
          <w:rFonts w:hint="eastAsia" w:ascii="宋体" w:hAnsi="宋体" w:cs="宋体"/>
          <w:color w:val="000000"/>
          <w:kern w:val="0"/>
          <w:sz w:val="24"/>
        </w:rPr>
        <w:t>2、</w:t>
      </w:r>
      <w:r>
        <w:rPr>
          <w:rFonts w:hint="eastAsia" w:ascii="宋体" w:hAnsi="宋体" w:cs="宋体"/>
          <w:color w:val="000000"/>
          <w:kern w:val="0"/>
          <w:sz w:val="24"/>
          <w:lang w:val="en-US" w:eastAsia="zh-CN"/>
        </w:rPr>
        <w:t>磋商</w:t>
      </w:r>
      <w:r>
        <w:rPr>
          <w:rFonts w:hint="eastAsia" w:ascii="宋体" w:hAnsi="宋体" w:cs="宋体"/>
          <w:color w:val="000000"/>
          <w:kern w:val="0"/>
          <w:sz w:val="24"/>
        </w:rPr>
        <w:t>时间：</w:t>
      </w:r>
      <w:r>
        <w:rPr>
          <w:rFonts w:hint="eastAsia" w:ascii="宋体" w:hAnsi="宋体" w:cs="宋体"/>
          <w:color w:val="000000"/>
          <w:kern w:val="0"/>
          <w:sz w:val="24"/>
          <w:lang w:eastAsia="zh-CN"/>
        </w:rPr>
        <w:t>2026年5月26日1</w:t>
      </w:r>
      <w:r>
        <w:rPr>
          <w:rFonts w:hint="eastAsia" w:ascii="宋体" w:hAnsi="宋体" w:cs="宋体"/>
          <w:color w:val="000000"/>
          <w:kern w:val="0"/>
          <w:sz w:val="24"/>
          <w:lang w:val="en-US" w:eastAsia="zh-CN"/>
        </w:rPr>
        <w:t>5</w:t>
      </w:r>
      <w:r>
        <w:rPr>
          <w:rFonts w:hint="eastAsia" w:ascii="宋体" w:hAnsi="宋体" w:cs="宋体"/>
          <w:color w:val="000000"/>
          <w:kern w:val="0"/>
          <w:sz w:val="24"/>
          <w:lang w:eastAsia="zh-CN"/>
        </w:rPr>
        <w:t>时00分</w:t>
      </w:r>
      <w:r>
        <w:rPr>
          <w:rFonts w:hint="eastAsia" w:ascii="宋体" w:hAnsi="宋体" w:cs="宋体"/>
          <w:color w:val="FF0000"/>
          <w:kern w:val="0"/>
          <w:sz w:val="24"/>
        </w:rPr>
        <w:t xml:space="preserve"> </w:t>
      </w:r>
    </w:p>
    <w:p w14:paraId="2E8E4C6F">
      <w:pPr>
        <w:widowControl/>
        <w:tabs>
          <w:tab w:val="left" w:pos="1620"/>
        </w:tabs>
        <w:wordWrap w:val="0"/>
        <w:spacing w:line="360" w:lineRule="auto"/>
        <w:ind w:right="-197" w:rightChars="-94" w:firstLine="480" w:firstLineChars="200"/>
        <w:jc w:val="left"/>
        <w:rPr>
          <w:rFonts w:hint="eastAsia" w:ascii="宋体" w:hAnsi="宋体" w:eastAsia="宋体" w:cs="宋体"/>
          <w:color w:val="FF0000"/>
          <w:kern w:val="0"/>
          <w:sz w:val="24"/>
          <w:lang w:eastAsia="zh-CN"/>
        </w:rPr>
      </w:pPr>
      <w:r>
        <w:rPr>
          <w:rFonts w:hint="eastAsia" w:ascii="宋体" w:hAnsi="宋体" w:cs="宋体"/>
          <w:color w:val="000000"/>
          <w:kern w:val="0"/>
          <w:sz w:val="24"/>
        </w:rPr>
        <w:t>3、</w:t>
      </w:r>
      <w:r>
        <w:rPr>
          <w:rFonts w:hint="eastAsia" w:ascii="宋体" w:hAnsi="宋体" w:cs="宋体"/>
          <w:color w:val="000000"/>
          <w:kern w:val="0"/>
          <w:sz w:val="24"/>
          <w:lang w:val="en-US" w:eastAsia="zh-CN"/>
        </w:rPr>
        <w:t>磋商</w:t>
      </w:r>
      <w:r>
        <w:rPr>
          <w:rFonts w:hint="eastAsia" w:ascii="宋体" w:hAnsi="宋体" w:cs="宋体"/>
          <w:color w:val="000000"/>
          <w:kern w:val="0"/>
          <w:sz w:val="24"/>
        </w:rPr>
        <w:t>地点：</w:t>
      </w:r>
      <w:r>
        <w:rPr>
          <w:rFonts w:hint="eastAsia" w:ascii="宋体" w:hAnsi="宋体" w:cs="宋体"/>
          <w:color w:val="000000"/>
          <w:kern w:val="0"/>
          <w:sz w:val="24"/>
          <w:lang w:eastAsia="zh-CN"/>
        </w:rPr>
        <w:t>中源公司会议室</w:t>
      </w:r>
    </w:p>
    <w:p w14:paraId="5376E620">
      <w:pPr>
        <w:widowControl/>
        <w:tabs>
          <w:tab w:val="left" w:pos="1620"/>
        </w:tabs>
        <w:wordWrap w:val="0"/>
        <w:spacing w:line="360" w:lineRule="auto"/>
        <w:ind w:right="-197" w:rightChars="-94"/>
        <w:jc w:val="left"/>
        <w:outlineLvl w:val="0"/>
        <w:rPr>
          <w:rFonts w:hint="eastAsia" w:ascii="宋体" w:hAnsi="宋体" w:cs="宋体"/>
          <w:color w:val="000000"/>
          <w:kern w:val="0"/>
          <w:sz w:val="24"/>
        </w:rPr>
      </w:pPr>
      <w:bookmarkStart w:id="4" w:name="_Toc32311"/>
      <w:r>
        <w:rPr>
          <w:rFonts w:hint="eastAsia" w:ascii="宋体" w:hAnsi="宋体" w:cs="宋体"/>
          <w:color w:val="000000"/>
          <w:kern w:val="0"/>
          <w:sz w:val="24"/>
          <w:lang w:val="en-US" w:eastAsia="zh-CN"/>
        </w:rPr>
        <w:t>十</w:t>
      </w:r>
      <w:r>
        <w:rPr>
          <w:rFonts w:hint="eastAsia" w:ascii="宋体" w:hAnsi="宋体" w:cs="宋体"/>
          <w:color w:val="000000"/>
          <w:kern w:val="0"/>
          <w:sz w:val="24"/>
        </w:rPr>
        <w:t>、其他应说明的事项：</w:t>
      </w:r>
      <w:bookmarkEnd w:id="4"/>
    </w:p>
    <w:p w14:paraId="75394CB3">
      <w:pPr>
        <w:widowControl/>
        <w:tabs>
          <w:tab w:val="left" w:pos="1620"/>
        </w:tabs>
        <w:wordWrap w:val="0"/>
        <w:spacing w:line="360" w:lineRule="auto"/>
        <w:ind w:right="-197" w:rightChars="-94" w:firstLine="560"/>
        <w:jc w:val="left"/>
        <w:rPr>
          <w:rFonts w:hint="eastAsia" w:ascii="宋体" w:hAnsi="宋体" w:eastAsia="宋体" w:cs="宋体"/>
          <w:color w:val="000000"/>
          <w:kern w:val="0"/>
          <w:sz w:val="24"/>
          <w:lang w:eastAsia="zh-CN"/>
        </w:rPr>
      </w:pPr>
      <w:r>
        <w:rPr>
          <w:rFonts w:hint="eastAsia" w:ascii="宋体" w:hAnsi="宋体" w:cs="宋体"/>
          <w:color w:val="000000"/>
          <w:kern w:val="0"/>
          <w:sz w:val="24"/>
        </w:rPr>
        <w:t>1、采购项目联系人：</w:t>
      </w:r>
      <w:r>
        <w:rPr>
          <w:rFonts w:hint="eastAsia" w:ascii="宋体" w:hAnsi="宋体" w:cs="宋体"/>
          <w:color w:val="000000"/>
          <w:kern w:val="0"/>
          <w:sz w:val="24"/>
          <w:lang w:val="en-US" w:eastAsia="zh-CN"/>
        </w:rPr>
        <w:t>徐金金</w:t>
      </w:r>
    </w:p>
    <w:p w14:paraId="7390E874">
      <w:pPr>
        <w:widowControl/>
        <w:tabs>
          <w:tab w:val="left" w:pos="1620"/>
        </w:tabs>
        <w:wordWrap w:val="0"/>
        <w:spacing w:line="360" w:lineRule="auto"/>
        <w:ind w:right="-197" w:rightChars="-94" w:firstLine="560"/>
        <w:jc w:val="left"/>
        <w:rPr>
          <w:rFonts w:hint="eastAsia" w:ascii="宋体" w:hAnsi="宋体" w:eastAsia="宋体" w:cs="宋体"/>
          <w:kern w:val="0"/>
          <w:sz w:val="24"/>
          <w:lang w:eastAsia="zh-CN"/>
        </w:rPr>
      </w:pPr>
      <w:r>
        <w:rPr>
          <w:rFonts w:hint="eastAsia" w:ascii="宋体" w:hAnsi="宋体" w:cs="宋体"/>
          <w:color w:val="000000"/>
          <w:kern w:val="0"/>
          <w:sz w:val="24"/>
        </w:rPr>
        <w:t>2、联系方式：</w:t>
      </w:r>
      <w:r>
        <w:rPr>
          <w:rFonts w:hint="eastAsia" w:ascii="宋体" w:hAnsi="宋体" w:cs="宋体"/>
          <w:kern w:val="0"/>
          <w:sz w:val="24"/>
          <w:lang w:eastAsia="zh-CN"/>
        </w:rPr>
        <w:t>16609151911</w:t>
      </w:r>
    </w:p>
    <w:p w14:paraId="2253FAB7">
      <w:pPr>
        <w:rPr>
          <w:rFonts w:hint="eastAsia"/>
        </w:rPr>
      </w:pPr>
    </w:p>
    <w:p w14:paraId="613A979C">
      <w:pPr>
        <w:widowControl/>
        <w:tabs>
          <w:tab w:val="left" w:pos="1620"/>
        </w:tabs>
        <w:wordWrap w:val="0"/>
        <w:spacing w:line="360" w:lineRule="auto"/>
        <w:ind w:right="-197" w:rightChars="-94"/>
        <w:jc w:val="right"/>
        <w:rPr>
          <w:rFonts w:hint="eastAsia" w:ascii="宋体" w:hAnsi="宋体" w:eastAsia="宋体" w:cs="宋体"/>
          <w:color w:val="000000"/>
          <w:kern w:val="0"/>
          <w:sz w:val="24"/>
          <w:lang w:eastAsia="zh-CN"/>
        </w:rPr>
      </w:pPr>
      <w:r>
        <w:rPr>
          <w:rFonts w:hint="eastAsia" w:ascii="宋体" w:hAnsi="宋体" w:cs="宋体"/>
          <w:color w:val="000000"/>
          <w:kern w:val="0"/>
          <w:sz w:val="24"/>
          <w:lang w:eastAsia="zh-CN"/>
        </w:rPr>
        <w:t>陕西中源项目管理有限公司</w:t>
      </w:r>
    </w:p>
    <w:p w14:paraId="157B4684">
      <w:pPr>
        <w:widowControl/>
        <w:tabs>
          <w:tab w:val="left" w:pos="1620"/>
        </w:tabs>
        <w:wordWrap w:val="0"/>
        <w:spacing w:line="360" w:lineRule="auto"/>
        <w:ind w:right="-197" w:rightChars="-94"/>
        <w:jc w:val="right"/>
        <w:rPr>
          <w:rFonts w:hint="eastAsia" w:ascii="宋体" w:hAnsi="宋体" w:cs="宋体"/>
          <w:bCs w:val="0"/>
          <w:szCs w:val="32"/>
        </w:rPr>
      </w:pPr>
      <w:r>
        <w:rPr>
          <w:rFonts w:hint="eastAsia" w:ascii="宋体" w:hAnsi="宋体" w:cs="宋体"/>
          <w:color w:val="000000"/>
          <w:kern w:val="0"/>
          <w:sz w:val="24"/>
        </w:rPr>
        <w:t xml:space="preserve">                                         </w:t>
      </w:r>
      <w:r>
        <w:rPr>
          <w:rFonts w:hint="eastAsia" w:ascii="宋体" w:hAnsi="宋体" w:cs="宋体"/>
          <w:color w:val="984806"/>
          <w:kern w:val="0"/>
          <w:sz w:val="24"/>
        </w:rPr>
        <w:t xml:space="preserve"> </w:t>
      </w:r>
      <w:bookmarkStart w:id="5" w:name="_Toc15374"/>
      <w:bookmarkStart w:id="6" w:name="_Toc25211"/>
      <w:r>
        <w:rPr>
          <w:rFonts w:hint="eastAsia" w:ascii="宋体" w:hAnsi="宋体" w:cs="宋体"/>
          <w:color w:val="000000"/>
          <w:kern w:val="0"/>
          <w:sz w:val="24"/>
          <w:lang w:eastAsia="zh-CN"/>
        </w:rPr>
        <w:t>2026年5月14日</w:t>
      </w:r>
    </w:p>
    <w:p w14:paraId="717E33FC">
      <w:pPr>
        <w:rPr>
          <w:rFonts w:hint="eastAsia" w:ascii="宋体" w:hAnsi="宋体" w:cs="宋体"/>
          <w:bCs w:val="0"/>
          <w:szCs w:val="32"/>
        </w:rPr>
      </w:pPr>
      <w:r>
        <w:rPr>
          <w:rFonts w:hint="eastAsia" w:ascii="宋体" w:hAnsi="宋体" w:cs="宋体"/>
          <w:bCs w:val="0"/>
          <w:szCs w:val="32"/>
        </w:rPr>
        <w:br w:type="page"/>
      </w:r>
    </w:p>
    <w:p w14:paraId="7E565768">
      <w:pPr>
        <w:pStyle w:val="2"/>
        <w:spacing w:before="0" w:after="0" w:line="240" w:lineRule="auto"/>
        <w:rPr>
          <w:rFonts w:ascii="宋体" w:hAnsi="宋体" w:cs="宋体"/>
          <w:szCs w:val="32"/>
        </w:rPr>
      </w:pPr>
      <w:r>
        <w:rPr>
          <w:rFonts w:hint="eastAsia" w:ascii="宋体" w:hAnsi="宋体" w:cs="宋体"/>
          <w:bCs w:val="0"/>
          <w:szCs w:val="32"/>
        </w:rPr>
        <w:t xml:space="preserve">第二章  </w:t>
      </w:r>
      <w:r>
        <w:rPr>
          <w:rFonts w:hint="eastAsia" w:ascii="宋体" w:hAnsi="宋体" w:cs="宋体"/>
          <w:bCs w:val="0"/>
          <w:szCs w:val="32"/>
          <w:lang w:eastAsia="zh-CN"/>
        </w:rPr>
        <w:t>磋商须知</w:t>
      </w:r>
      <w:r>
        <w:rPr>
          <w:rFonts w:hint="eastAsia" w:ascii="宋体" w:hAnsi="宋体" w:cs="宋体"/>
          <w:bCs w:val="0"/>
          <w:szCs w:val="32"/>
        </w:rPr>
        <w:t>前附表</w:t>
      </w:r>
      <w:bookmarkEnd w:id="5"/>
      <w:bookmarkEnd w:id="6"/>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6"/>
        <w:gridCol w:w="2511"/>
        <w:gridCol w:w="6481"/>
      </w:tblGrid>
      <w:tr w14:paraId="2F1C8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exact"/>
          <w:jc w:val="center"/>
        </w:trPr>
        <w:tc>
          <w:tcPr>
            <w:tcW w:w="786" w:type="dxa"/>
            <w:noWrap w:val="0"/>
            <w:vAlign w:val="center"/>
          </w:tcPr>
          <w:p w14:paraId="366538E7">
            <w:pPr>
              <w:jc w:val="center"/>
              <w:rPr>
                <w:rFonts w:hint="eastAsia" w:ascii="宋体" w:hAnsi="宋体" w:cs="宋体"/>
                <w:sz w:val="22"/>
                <w:szCs w:val="22"/>
              </w:rPr>
            </w:pPr>
            <w:r>
              <w:rPr>
                <w:rFonts w:hint="eastAsia" w:ascii="宋体" w:hAnsi="宋体" w:cs="宋体"/>
                <w:sz w:val="22"/>
                <w:szCs w:val="22"/>
              </w:rPr>
              <w:t>序号</w:t>
            </w:r>
          </w:p>
        </w:tc>
        <w:tc>
          <w:tcPr>
            <w:tcW w:w="2511" w:type="dxa"/>
            <w:noWrap w:val="0"/>
            <w:vAlign w:val="center"/>
          </w:tcPr>
          <w:p w14:paraId="42D6EE6E">
            <w:pPr>
              <w:jc w:val="center"/>
              <w:rPr>
                <w:rFonts w:hint="eastAsia" w:ascii="宋体" w:hAnsi="宋体" w:cs="宋体"/>
                <w:sz w:val="22"/>
                <w:szCs w:val="22"/>
              </w:rPr>
            </w:pPr>
            <w:r>
              <w:rPr>
                <w:rFonts w:hint="eastAsia" w:ascii="宋体" w:hAnsi="宋体" w:cs="宋体"/>
                <w:sz w:val="22"/>
                <w:szCs w:val="22"/>
              </w:rPr>
              <w:t>内容</w:t>
            </w:r>
          </w:p>
        </w:tc>
        <w:tc>
          <w:tcPr>
            <w:tcW w:w="6481" w:type="dxa"/>
            <w:noWrap w:val="0"/>
            <w:vAlign w:val="center"/>
          </w:tcPr>
          <w:p w14:paraId="2A0EC761">
            <w:pPr>
              <w:jc w:val="center"/>
              <w:rPr>
                <w:rFonts w:hint="eastAsia" w:ascii="宋体" w:hAnsi="宋体" w:cs="宋体"/>
                <w:sz w:val="22"/>
                <w:szCs w:val="22"/>
              </w:rPr>
            </w:pPr>
            <w:r>
              <w:rPr>
                <w:rFonts w:hint="eastAsia" w:ascii="宋体" w:hAnsi="宋体" w:cs="宋体"/>
                <w:sz w:val="22"/>
                <w:szCs w:val="22"/>
              </w:rPr>
              <w:t>编  列  内  容</w:t>
            </w:r>
          </w:p>
        </w:tc>
      </w:tr>
      <w:tr w14:paraId="6C138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exact"/>
          <w:jc w:val="center"/>
        </w:trPr>
        <w:tc>
          <w:tcPr>
            <w:tcW w:w="786" w:type="dxa"/>
            <w:noWrap w:val="0"/>
            <w:vAlign w:val="center"/>
          </w:tcPr>
          <w:p w14:paraId="4FCBBE83">
            <w:pPr>
              <w:jc w:val="center"/>
              <w:rPr>
                <w:rFonts w:hint="eastAsia" w:ascii="宋体" w:hAnsi="宋体" w:cs="宋体"/>
                <w:sz w:val="22"/>
                <w:szCs w:val="22"/>
              </w:rPr>
            </w:pPr>
            <w:r>
              <w:rPr>
                <w:rFonts w:hint="eastAsia" w:ascii="宋体" w:hAnsi="宋体" w:cs="宋体"/>
                <w:sz w:val="22"/>
                <w:szCs w:val="22"/>
              </w:rPr>
              <w:t>1</w:t>
            </w:r>
          </w:p>
        </w:tc>
        <w:tc>
          <w:tcPr>
            <w:tcW w:w="2511" w:type="dxa"/>
            <w:noWrap w:val="0"/>
            <w:vAlign w:val="center"/>
          </w:tcPr>
          <w:p w14:paraId="00403D4C">
            <w:pPr>
              <w:jc w:val="center"/>
              <w:rPr>
                <w:rFonts w:hint="eastAsia" w:ascii="宋体" w:hAnsi="宋体" w:cs="宋体"/>
                <w:sz w:val="22"/>
                <w:szCs w:val="22"/>
              </w:rPr>
            </w:pPr>
            <w:r>
              <w:rPr>
                <w:rFonts w:hint="eastAsia" w:ascii="宋体" w:hAnsi="宋体" w:cs="宋体"/>
                <w:sz w:val="22"/>
                <w:szCs w:val="22"/>
              </w:rPr>
              <w:t>采购人</w:t>
            </w:r>
          </w:p>
        </w:tc>
        <w:tc>
          <w:tcPr>
            <w:tcW w:w="6481" w:type="dxa"/>
            <w:noWrap w:val="0"/>
            <w:vAlign w:val="center"/>
          </w:tcPr>
          <w:p w14:paraId="69803070">
            <w:pPr>
              <w:rPr>
                <w:rFonts w:hint="eastAsia" w:ascii="宋体" w:hAnsi="宋体" w:eastAsia="宋体" w:cs="宋体"/>
                <w:sz w:val="22"/>
                <w:szCs w:val="22"/>
                <w:lang w:eastAsia="zh-CN"/>
              </w:rPr>
            </w:pPr>
            <w:r>
              <w:rPr>
                <w:rFonts w:hint="eastAsia" w:ascii="宋体" w:hAnsi="宋体" w:cs="宋体"/>
                <w:sz w:val="22"/>
                <w:szCs w:val="22"/>
                <w:lang w:eastAsia="zh-CN"/>
              </w:rPr>
              <w:t>安康市公安局汉滨分局</w:t>
            </w:r>
          </w:p>
        </w:tc>
      </w:tr>
      <w:tr w14:paraId="51301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exact"/>
          <w:jc w:val="center"/>
        </w:trPr>
        <w:tc>
          <w:tcPr>
            <w:tcW w:w="786" w:type="dxa"/>
            <w:noWrap w:val="0"/>
            <w:vAlign w:val="center"/>
          </w:tcPr>
          <w:p w14:paraId="742B70D6">
            <w:pPr>
              <w:jc w:val="center"/>
              <w:rPr>
                <w:rFonts w:hint="eastAsia" w:ascii="宋体" w:hAnsi="宋体" w:cs="宋体"/>
                <w:sz w:val="22"/>
                <w:szCs w:val="22"/>
              </w:rPr>
            </w:pPr>
            <w:r>
              <w:rPr>
                <w:rFonts w:hint="eastAsia" w:ascii="宋体" w:hAnsi="宋体" w:cs="宋体"/>
                <w:sz w:val="22"/>
                <w:szCs w:val="22"/>
              </w:rPr>
              <w:t>2</w:t>
            </w:r>
          </w:p>
        </w:tc>
        <w:tc>
          <w:tcPr>
            <w:tcW w:w="2511" w:type="dxa"/>
            <w:noWrap w:val="0"/>
            <w:vAlign w:val="center"/>
          </w:tcPr>
          <w:p w14:paraId="3B153FF0">
            <w:pPr>
              <w:jc w:val="center"/>
              <w:rPr>
                <w:rFonts w:hint="eastAsia" w:ascii="宋体" w:hAnsi="宋体" w:cs="宋体"/>
                <w:sz w:val="22"/>
                <w:szCs w:val="22"/>
              </w:rPr>
            </w:pPr>
            <w:r>
              <w:rPr>
                <w:rFonts w:hint="eastAsia" w:ascii="宋体" w:hAnsi="宋体" w:cs="宋体"/>
                <w:sz w:val="22"/>
                <w:szCs w:val="22"/>
              </w:rPr>
              <w:t>采购代理</w:t>
            </w:r>
          </w:p>
        </w:tc>
        <w:tc>
          <w:tcPr>
            <w:tcW w:w="6481" w:type="dxa"/>
            <w:noWrap w:val="0"/>
            <w:vAlign w:val="center"/>
          </w:tcPr>
          <w:p w14:paraId="21FABE42">
            <w:pPr>
              <w:rPr>
                <w:rFonts w:hint="eastAsia" w:ascii="宋体" w:hAnsi="宋体" w:eastAsia="宋体" w:cs="宋体"/>
                <w:sz w:val="22"/>
                <w:szCs w:val="22"/>
                <w:lang w:eastAsia="zh-CN"/>
              </w:rPr>
            </w:pPr>
            <w:r>
              <w:rPr>
                <w:rFonts w:hint="eastAsia" w:ascii="宋体" w:hAnsi="宋体" w:cs="宋体"/>
                <w:sz w:val="22"/>
                <w:szCs w:val="22"/>
                <w:lang w:eastAsia="zh-CN"/>
              </w:rPr>
              <w:t>陕西中源项目管理有限公司</w:t>
            </w:r>
          </w:p>
        </w:tc>
      </w:tr>
      <w:tr w14:paraId="4A210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exact"/>
          <w:jc w:val="center"/>
        </w:trPr>
        <w:tc>
          <w:tcPr>
            <w:tcW w:w="786" w:type="dxa"/>
            <w:noWrap w:val="0"/>
            <w:vAlign w:val="center"/>
          </w:tcPr>
          <w:p w14:paraId="456C4011">
            <w:pPr>
              <w:jc w:val="center"/>
              <w:rPr>
                <w:rFonts w:hint="eastAsia" w:ascii="宋体" w:hAnsi="宋体" w:cs="宋体"/>
                <w:sz w:val="22"/>
                <w:szCs w:val="22"/>
              </w:rPr>
            </w:pPr>
            <w:r>
              <w:rPr>
                <w:rFonts w:hint="eastAsia" w:ascii="宋体" w:hAnsi="宋体" w:cs="宋体"/>
                <w:sz w:val="22"/>
                <w:szCs w:val="22"/>
              </w:rPr>
              <w:t>3</w:t>
            </w:r>
          </w:p>
        </w:tc>
        <w:tc>
          <w:tcPr>
            <w:tcW w:w="2511" w:type="dxa"/>
            <w:noWrap w:val="0"/>
            <w:vAlign w:val="center"/>
          </w:tcPr>
          <w:p w14:paraId="5F90286D">
            <w:pPr>
              <w:jc w:val="center"/>
              <w:rPr>
                <w:rFonts w:hint="eastAsia" w:ascii="宋体" w:hAnsi="宋体" w:cs="宋体"/>
                <w:sz w:val="22"/>
                <w:szCs w:val="22"/>
              </w:rPr>
            </w:pPr>
            <w:r>
              <w:rPr>
                <w:rFonts w:hint="eastAsia" w:ascii="宋体" w:hAnsi="宋体" w:cs="宋体"/>
                <w:sz w:val="22"/>
                <w:szCs w:val="22"/>
              </w:rPr>
              <w:t>项目名称</w:t>
            </w:r>
          </w:p>
        </w:tc>
        <w:tc>
          <w:tcPr>
            <w:tcW w:w="6481" w:type="dxa"/>
            <w:noWrap w:val="0"/>
            <w:vAlign w:val="center"/>
          </w:tcPr>
          <w:p w14:paraId="6E07E2C5">
            <w:pPr>
              <w:rPr>
                <w:rFonts w:hint="eastAsia" w:ascii="宋体" w:hAnsi="宋体" w:eastAsia="宋体" w:cs="宋体"/>
                <w:sz w:val="22"/>
                <w:szCs w:val="22"/>
                <w:lang w:eastAsia="zh-CN"/>
              </w:rPr>
            </w:pPr>
            <w:r>
              <w:rPr>
                <w:rFonts w:hint="eastAsia" w:ascii="宋体" w:hAnsi="宋体" w:cs="宋体"/>
                <w:sz w:val="22"/>
                <w:szCs w:val="22"/>
                <w:lang w:eastAsia="zh-CN"/>
              </w:rPr>
              <w:t>安康市公安局汉滨分局81条天眼视频监控线路项目</w:t>
            </w:r>
          </w:p>
        </w:tc>
      </w:tr>
      <w:tr w14:paraId="16F34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786" w:type="dxa"/>
            <w:noWrap w:val="0"/>
            <w:vAlign w:val="center"/>
          </w:tcPr>
          <w:p w14:paraId="60C02D4C">
            <w:pPr>
              <w:jc w:val="center"/>
              <w:rPr>
                <w:rFonts w:hint="eastAsia" w:ascii="宋体" w:hAnsi="宋体" w:cs="宋体"/>
                <w:sz w:val="22"/>
                <w:szCs w:val="22"/>
              </w:rPr>
            </w:pPr>
            <w:r>
              <w:rPr>
                <w:rFonts w:hint="eastAsia" w:ascii="宋体" w:hAnsi="宋体" w:cs="宋体"/>
                <w:sz w:val="22"/>
                <w:szCs w:val="22"/>
              </w:rPr>
              <w:t>4</w:t>
            </w:r>
          </w:p>
        </w:tc>
        <w:tc>
          <w:tcPr>
            <w:tcW w:w="2511" w:type="dxa"/>
            <w:noWrap w:val="0"/>
            <w:vAlign w:val="center"/>
          </w:tcPr>
          <w:p w14:paraId="402278BB">
            <w:pPr>
              <w:jc w:val="center"/>
              <w:rPr>
                <w:rFonts w:hint="eastAsia" w:ascii="宋体" w:hAnsi="宋体" w:cs="宋体"/>
                <w:sz w:val="22"/>
                <w:szCs w:val="22"/>
              </w:rPr>
            </w:pPr>
            <w:r>
              <w:rPr>
                <w:rFonts w:hint="eastAsia" w:ascii="宋体" w:hAnsi="宋体" w:cs="宋体"/>
                <w:sz w:val="22"/>
                <w:szCs w:val="22"/>
              </w:rPr>
              <w:t>采购类型</w:t>
            </w:r>
          </w:p>
        </w:tc>
        <w:tc>
          <w:tcPr>
            <w:tcW w:w="6481" w:type="dxa"/>
            <w:noWrap w:val="0"/>
            <w:vAlign w:val="center"/>
          </w:tcPr>
          <w:p w14:paraId="246E8991">
            <w:pPr>
              <w:rPr>
                <w:rFonts w:hint="eastAsia" w:ascii="宋体" w:hAnsi="宋体" w:cs="宋体"/>
                <w:sz w:val="22"/>
                <w:szCs w:val="22"/>
              </w:rPr>
            </w:pPr>
            <w:r>
              <w:rPr>
                <w:rFonts w:hint="eastAsia" w:ascii="宋体" w:hAnsi="宋体" w:cs="宋体"/>
                <w:sz w:val="22"/>
                <w:szCs w:val="22"/>
              </w:rPr>
              <w:t>竞争性磋商</w:t>
            </w:r>
          </w:p>
        </w:tc>
      </w:tr>
      <w:tr w14:paraId="29094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786" w:type="dxa"/>
            <w:noWrap w:val="0"/>
            <w:vAlign w:val="center"/>
          </w:tcPr>
          <w:p w14:paraId="41B545BF">
            <w:pPr>
              <w:jc w:val="center"/>
              <w:rPr>
                <w:rFonts w:hint="eastAsia" w:ascii="宋体" w:hAnsi="宋体" w:cs="宋体"/>
                <w:sz w:val="22"/>
                <w:szCs w:val="22"/>
              </w:rPr>
            </w:pPr>
            <w:r>
              <w:rPr>
                <w:rFonts w:hint="eastAsia" w:ascii="宋体" w:hAnsi="宋体" w:cs="宋体"/>
                <w:sz w:val="22"/>
                <w:szCs w:val="22"/>
              </w:rPr>
              <w:t>6</w:t>
            </w:r>
          </w:p>
        </w:tc>
        <w:tc>
          <w:tcPr>
            <w:tcW w:w="2511" w:type="dxa"/>
            <w:noWrap w:val="0"/>
            <w:vAlign w:val="center"/>
          </w:tcPr>
          <w:p w14:paraId="00E55928">
            <w:pPr>
              <w:jc w:val="center"/>
              <w:rPr>
                <w:rFonts w:hint="eastAsia" w:ascii="宋体" w:hAnsi="宋体" w:eastAsia="宋体" w:cs="宋体"/>
                <w:color w:val="FF0000"/>
                <w:sz w:val="22"/>
                <w:szCs w:val="22"/>
                <w:lang w:eastAsia="zh-CN"/>
              </w:rPr>
            </w:pPr>
            <w:r>
              <w:rPr>
                <w:rFonts w:hint="eastAsia" w:ascii="宋体" w:hAnsi="宋体" w:cs="宋体"/>
                <w:sz w:val="22"/>
                <w:szCs w:val="22"/>
                <w:lang w:val="en-US" w:eastAsia="zh-CN"/>
              </w:rPr>
              <w:t>采购预算</w:t>
            </w:r>
          </w:p>
        </w:tc>
        <w:tc>
          <w:tcPr>
            <w:tcW w:w="6481" w:type="dxa"/>
            <w:noWrap w:val="0"/>
            <w:vAlign w:val="center"/>
          </w:tcPr>
          <w:p w14:paraId="125E6183">
            <w:pPr>
              <w:rPr>
                <w:rFonts w:hint="eastAsia" w:ascii="宋体" w:hAnsi="宋体" w:cs="宋体"/>
                <w:color w:val="FF0000"/>
                <w:sz w:val="22"/>
                <w:szCs w:val="22"/>
              </w:rPr>
            </w:pPr>
            <w:r>
              <w:rPr>
                <w:rFonts w:hint="eastAsia" w:ascii="宋体" w:hAnsi="宋体" w:cs="宋体"/>
                <w:sz w:val="22"/>
                <w:szCs w:val="22"/>
              </w:rPr>
              <w:t>人民币：</w:t>
            </w:r>
            <w:r>
              <w:rPr>
                <w:rFonts w:hint="eastAsia" w:ascii="宋体" w:hAnsi="宋体" w:cs="宋体"/>
                <w:sz w:val="22"/>
                <w:szCs w:val="22"/>
                <w:lang w:val="en-US" w:eastAsia="zh-CN"/>
              </w:rPr>
              <w:t>220,000.00元</w:t>
            </w:r>
            <w:r>
              <w:rPr>
                <w:rFonts w:hint="eastAsia" w:ascii="宋体" w:hAnsi="宋体" w:cs="宋体"/>
                <w:sz w:val="22"/>
                <w:szCs w:val="22"/>
              </w:rPr>
              <w:t>，磋商响应报价不得超出限价金额，超出则废标。</w:t>
            </w:r>
          </w:p>
        </w:tc>
      </w:tr>
      <w:tr w14:paraId="01FC3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786" w:type="dxa"/>
            <w:noWrap w:val="0"/>
            <w:vAlign w:val="center"/>
          </w:tcPr>
          <w:p w14:paraId="45854546">
            <w:pPr>
              <w:jc w:val="center"/>
              <w:rPr>
                <w:rFonts w:hint="eastAsia" w:ascii="宋体" w:hAnsi="宋体" w:cs="宋体"/>
                <w:sz w:val="22"/>
                <w:szCs w:val="22"/>
              </w:rPr>
            </w:pPr>
            <w:r>
              <w:rPr>
                <w:rFonts w:hint="eastAsia" w:ascii="宋体" w:hAnsi="宋体" w:cs="宋体"/>
                <w:sz w:val="22"/>
                <w:szCs w:val="22"/>
              </w:rPr>
              <w:t>7</w:t>
            </w:r>
          </w:p>
        </w:tc>
        <w:tc>
          <w:tcPr>
            <w:tcW w:w="2511" w:type="dxa"/>
            <w:noWrap w:val="0"/>
            <w:vAlign w:val="center"/>
          </w:tcPr>
          <w:p w14:paraId="6D7DB801">
            <w:pPr>
              <w:jc w:val="center"/>
              <w:rPr>
                <w:rFonts w:hint="eastAsia" w:ascii="宋体" w:hAnsi="宋体" w:cs="宋体"/>
                <w:sz w:val="22"/>
                <w:szCs w:val="22"/>
              </w:rPr>
            </w:pPr>
            <w:r>
              <w:rPr>
                <w:rFonts w:hint="eastAsia" w:ascii="宋体" w:hAnsi="宋体" w:cs="宋体"/>
                <w:sz w:val="22"/>
                <w:szCs w:val="22"/>
              </w:rPr>
              <w:t>资金来源</w:t>
            </w:r>
          </w:p>
        </w:tc>
        <w:tc>
          <w:tcPr>
            <w:tcW w:w="6481" w:type="dxa"/>
            <w:noWrap w:val="0"/>
            <w:vAlign w:val="center"/>
          </w:tcPr>
          <w:p w14:paraId="68D0FC03">
            <w:pPr>
              <w:rPr>
                <w:rFonts w:hint="eastAsia" w:ascii="宋体" w:hAnsi="宋体" w:eastAsia="宋体" w:cs="宋体"/>
                <w:sz w:val="22"/>
                <w:szCs w:val="22"/>
                <w:lang w:eastAsia="zh-CN"/>
              </w:rPr>
            </w:pPr>
            <w:r>
              <w:rPr>
                <w:rFonts w:hint="eastAsia" w:ascii="宋体" w:hAnsi="宋体" w:cs="宋体"/>
                <w:sz w:val="22"/>
                <w:szCs w:val="22"/>
                <w:lang w:eastAsia="zh-CN"/>
              </w:rPr>
              <w:t>财政拨款</w:t>
            </w:r>
          </w:p>
        </w:tc>
      </w:tr>
      <w:tr w14:paraId="1C6C4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786" w:type="dxa"/>
            <w:noWrap w:val="0"/>
            <w:vAlign w:val="center"/>
          </w:tcPr>
          <w:p w14:paraId="7B734B39">
            <w:pPr>
              <w:jc w:val="center"/>
              <w:rPr>
                <w:rFonts w:hint="eastAsia" w:ascii="宋体" w:hAnsi="宋体" w:cs="宋体"/>
                <w:sz w:val="22"/>
                <w:szCs w:val="22"/>
              </w:rPr>
            </w:pPr>
            <w:r>
              <w:rPr>
                <w:rFonts w:hint="eastAsia" w:ascii="宋体" w:hAnsi="宋体" w:cs="宋体"/>
                <w:sz w:val="22"/>
                <w:szCs w:val="22"/>
              </w:rPr>
              <w:t>8</w:t>
            </w:r>
          </w:p>
        </w:tc>
        <w:tc>
          <w:tcPr>
            <w:tcW w:w="2511" w:type="dxa"/>
            <w:noWrap w:val="0"/>
            <w:vAlign w:val="center"/>
          </w:tcPr>
          <w:p w14:paraId="00121DE5">
            <w:pPr>
              <w:jc w:val="center"/>
              <w:rPr>
                <w:rFonts w:hint="eastAsia" w:ascii="宋体" w:hAnsi="宋体" w:cs="宋体"/>
                <w:sz w:val="22"/>
                <w:szCs w:val="22"/>
              </w:rPr>
            </w:pPr>
            <w:r>
              <w:rPr>
                <w:rFonts w:hint="eastAsia" w:ascii="宋体" w:hAnsi="宋体" w:cs="宋体"/>
                <w:sz w:val="22"/>
                <w:szCs w:val="22"/>
              </w:rPr>
              <w:t>磋商响应文件有效期</w:t>
            </w:r>
          </w:p>
        </w:tc>
        <w:tc>
          <w:tcPr>
            <w:tcW w:w="6481" w:type="dxa"/>
            <w:noWrap w:val="0"/>
            <w:vAlign w:val="center"/>
          </w:tcPr>
          <w:p w14:paraId="540796A0">
            <w:pPr>
              <w:rPr>
                <w:rFonts w:hint="eastAsia" w:ascii="宋体" w:hAnsi="宋体" w:cs="宋体"/>
                <w:sz w:val="22"/>
                <w:szCs w:val="22"/>
              </w:rPr>
            </w:pPr>
            <w:r>
              <w:rPr>
                <w:rFonts w:hint="eastAsia" w:ascii="宋体" w:hAnsi="宋体" w:cs="宋体"/>
                <w:sz w:val="22"/>
                <w:szCs w:val="22"/>
              </w:rPr>
              <w:t>从磋商之日起</w:t>
            </w:r>
            <w:r>
              <w:rPr>
                <w:rFonts w:hint="eastAsia" w:ascii="宋体" w:hAnsi="宋体" w:cs="宋体"/>
                <w:sz w:val="22"/>
                <w:szCs w:val="22"/>
                <w:u w:val="single"/>
              </w:rPr>
              <w:t xml:space="preserve"> 90 </w:t>
            </w:r>
            <w:r>
              <w:rPr>
                <w:rFonts w:hint="eastAsia" w:ascii="宋体" w:hAnsi="宋体" w:cs="宋体"/>
                <w:sz w:val="22"/>
                <w:szCs w:val="22"/>
              </w:rPr>
              <w:t xml:space="preserve">天 </w:t>
            </w:r>
          </w:p>
        </w:tc>
      </w:tr>
      <w:tr w14:paraId="0CA0C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exact"/>
          <w:jc w:val="center"/>
        </w:trPr>
        <w:tc>
          <w:tcPr>
            <w:tcW w:w="786" w:type="dxa"/>
            <w:noWrap w:val="0"/>
            <w:vAlign w:val="center"/>
          </w:tcPr>
          <w:p w14:paraId="6236C0BE">
            <w:pPr>
              <w:jc w:val="center"/>
              <w:rPr>
                <w:rFonts w:hint="eastAsia" w:ascii="宋体" w:hAnsi="宋体" w:cs="宋体"/>
                <w:sz w:val="22"/>
                <w:szCs w:val="22"/>
              </w:rPr>
            </w:pPr>
            <w:r>
              <w:rPr>
                <w:rFonts w:hint="eastAsia" w:ascii="宋体" w:hAnsi="宋体" w:cs="宋体"/>
                <w:sz w:val="22"/>
                <w:szCs w:val="22"/>
              </w:rPr>
              <w:t>10</w:t>
            </w:r>
          </w:p>
        </w:tc>
        <w:tc>
          <w:tcPr>
            <w:tcW w:w="2511" w:type="dxa"/>
            <w:noWrap w:val="0"/>
            <w:vAlign w:val="center"/>
          </w:tcPr>
          <w:p w14:paraId="7093BBA5">
            <w:pPr>
              <w:jc w:val="center"/>
              <w:rPr>
                <w:rFonts w:hint="eastAsia" w:ascii="宋体" w:hAnsi="宋体" w:cs="宋体"/>
                <w:sz w:val="22"/>
                <w:szCs w:val="22"/>
              </w:rPr>
            </w:pPr>
            <w:r>
              <w:rPr>
                <w:rFonts w:hint="eastAsia" w:ascii="宋体" w:hAnsi="宋体" w:cs="宋体"/>
                <w:sz w:val="22"/>
                <w:szCs w:val="22"/>
              </w:rPr>
              <w:t>磋商保证金额</w:t>
            </w:r>
          </w:p>
        </w:tc>
        <w:tc>
          <w:tcPr>
            <w:tcW w:w="6481" w:type="dxa"/>
            <w:noWrap w:val="0"/>
            <w:vAlign w:val="center"/>
          </w:tcPr>
          <w:p w14:paraId="6D93C27B">
            <w:pPr>
              <w:rPr>
                <w:rFonts w:hint="eastAsia" w:ascii="宋体" w:hAnsi="宋体" w:eastAsia="宋体" w:cs="宋体"/>
                <w:sz w:val="22"/>
                <w:szCs w:val="22"/>
                <w:lang w:eastAsia="zh-CN"/>
              </w:rPr>
            </w:pPr>
            <w:r>
              <w:rPr>
                <w:rFonts w:hint="eastAsia" w:ascii="宋体" w:hAnsi="宋体" w:cs="宋体"/>
                <w:b/>
                <w:bCs/>
                <w:sz w:val="22"/>
                <w:szCs w:val="22"/>
                <w:lang w:eastAsia="zh-CN"/>
              </w:rPr>
              <w:t>不需要缴纳保证金</w:t>
            </w:r>
          </w:p>
        </w:tc>
      </w:tr>
      <w:tr w14:paraId="246D7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exact"/>
          <w:jc w:val="center"/>
        </w:trPr>
        <w:tc>
          <w:tcPr>
            <w:tcW w:w="786" w:type="dxa"/>
            <w:noWrap w:val="0"/>
            <w:vAlign w:val="center"/>
          </w:tcPr>
          <w:p w14:paraId="6E590B0E">
            <w:pPr>
              <w:jc w:val="center"/>
              <w:rPr>
                <w:rFonts w:hint="eastAsia" w:ascii="宋体" w:hAnsi="宋体" w:cs="宋体"/>
                <w:sz w:val="22"/>
                <w:szCs w:val="22"/>
              </w:rPr>
            </w:pPr>
            <w:r>
              <w:rPr>
                <w:rFonts w:hint="eastAsia" w:ascii="宋体" w:hAnsi="宋体" w:cs="宋体"/>
                <w:sz w:val="22"/>
                <w:szCs w:val="22"/>
              </w:rPr>
              <w:t>11</w:t>
            </w:r>
          </w:p>
        </w:tc>
        <w:tc>
          <w:tcPr>
            <w:tcW w:w="2511" w:type="dxa"/>
            <w:noWrap w:val="0"/>
            <w:vAlign w:val="center"/>
          </w:tcPr>
          <w:p w14:paraId="451B8046">
            <w:pPr>
              <w:jc w:val="center"/>
              <w:rPr>
                <w:rFonts w:hint="eastAsia" w:ascii="宋体" w:hAnsi="宋体" w:cs="宋体"/>
                <w:sz w:val="22"/>
                <w:szCs w:val="22"/>
              </w:rPr>
            </w:pPr>
            <w:r>
              <w:rPr>
                <w:rFonts w:hint="eastAsia" w:ascii="宋体" w:hAnsi="宋体" w:cs="宋体"/>
                <w:sz w:val="22"/>
                <w:szCs w:val="22"/>
              </w:rPr>
              <w:t>磋商响应文件份数</w:t>
            </w:r>
          </w:p>
        </w:tc>
        <w:tc>
          <w:tcPr>
            <w:tcW w:w="6481" w:type="dxa"/>
            <w:noWrap w:val="0"/>
            <w:vAlign w:val="center"/>
          </w:tcPr>
          <w:p w14:paraId="04EDE559">
            <w:pPr>
              <w:rPr>
                <w:rFonts w:hint="eastAsia" w:ascii="宋体" w:hAnsi="宋体" w:cs="宋体"/>
                <w:color w:val="FF0000"/>
                <w:sz w:val="22"/>
                <w:szCs w:val="22"/>
              </w:rPr>
            </w:pPr>
            <w:r>
              <w:rPr>
                <w:rFonts w:hint="eastAsia" w:ascii="宋体" w:hAnsi="宋体" w:cs="宋体"/>
                <w:sz w:val="22"/>
                <w:szCs w:val="22"/>
              </w:rPr>
              <w:t xml:space="preserve">正本1份，副本 </w:t>
            </w:r>
            <w:r>
              <w:rPr>
                <w:rFonts w:hint="eastAsia" w:ascii="宋体" w:hAnsi="宋体" w:cs="宋体"/>
                <w:sz w:val="22"/>
                <w:szCs w:val="22"/>
                <w:lang w:val="en-US" w:eastAsia="zh-CN"/>
              </w:rPr>
              <w:t>1</w:t>
            </w:r>
            <w:r>
              <w:rPr>
                <w:rFonts w:hint="eastAsia" w:ascii="宋体" w:hAnsi="宋体" w:cs="宋体"/>
                <w:sz w:val="22"/>
                <w:szCs w:val="22"/>
              </w:rPr>
              <w:t>份，正、副本分开密封为两袋。</w:t>
            </w:r>
          </w:p>
        </w:tc>
      </w:tr>
      <w:tr w14:paraId="1919F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exact"/>
          <w:jc w:val="center"/>
        </w:trPr>
        <w:tc>
          <w:tcPr>
            <w:tcW w:w="786" w:type="dxa"/>
            <w:noWrap w:val="0"/>
            <w:vAlign w:val="center"/>
          </w:tcPr>
          <w:p w14:paraId="07456399">
            <w:pPr>
              <w:jc w:val="center"/>
              <w:rPr>
                <w:rFonts w:hint="eastAsia" w:ascii="宋体" w:hAnsi="宋体" w:cs="宋体"/>
                <w:sz w:val="22"/>
                <w:szCs w:val="22"/>
              </w:rPr>
            </w:pPr>
            <w:r>
              <w:rPr>
                <w:rFonts w:hint="eastAsia" w:ascii="宋体" w:hAnsi="宋体" w:cs="宋体"/>
                <w:sz w:val="22"/>
                <w:szCs w:val="22"/>
              </w:rPr>
              <w:t>12</w:t>
            </w:r>
          </w:p>
        </w:tc>
        <w:tc>
          <w:tcPr>
            <w:tcW w:w="2511" w:type="dxa"/>
            <w:noWrap w:val="0"/>
            <w:vAlign w:val="center"/>
          </w:tcPr>
          <w:p w14:paraId="6F1B4BEB">
            <w:pPr>
              <w:jc w:val="center"/>
              <w:rPr>
                <w:rFonts w:hint="eastAsia" w:ascii="宋体" w:hAnsi="宋体" w:cs="宋体"/>
                <w:sz w:val="22"/>
                <w:szCs w:val="22"/>
              </w:rPr>
            </w:pPr>
            <w:r>
              <w:rPr>
                <w:rFonts w:hint="eastAsia" w:ascii="宋体" w:hAnsi="宋体" w:cs="宋体"/>
                <w:sz w:val="22"/>
                <w:szCs w:val="22"/>
              </w:rPr>
              <w:t>磋商时间</w:t>
            </w:r>
          </w:p>
        </w:tc>
        <w:tc>
          <w:tcPr>
            <w:tcW w:w="6481" w:type="dxa"/>
            <w:noWrap w:val="0"/>
            <w:vAlign w:val="center"/>
          </w:tcPr>
          <w:p w14:paraId="62F1480F">
            <w:pPr>
              <w:rPr>
                <w:rFonts w:hint="eastAsia" w:ascii="宋体" w:hAnsi="宋体" w:cs="宋体"/>
                <w:sz w:val="22"/>
                <w:szCs w:val="22"/>
              </w:rPr>
            </w:pPr>
            <w:r>
              <w:rPr>
                <w:rFonts w:hint="eastAsia" w:ascii="宋体" w:hAnsi="宋体" w:cs="宋体"/>
                <w:sz w:val="22"/>
                <w:szCs w:val="22"/>
                <w:lang w:eastAsia="zh-CN"/>
              </w:rPr>
              <w:t>2026年5月26日15时00分</w:t>
            </w:r>
          </w:p>
        </w:tc>
      </w:tr>
      <w:tr w14:paraId="28887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86" w:type="dxa"/>
            <w:noWrap w:val="0"/>
            <w:vAlign w:val="center"/>
          </w:tcPr>
          <w:p w14:paraId="38B464BB">
            <w:pPr>
              <w:jc w:val="center"/>
              <w:rPr>
                <w:rFonts w:hint="eastAsia" w:ascii="宋体" w:hAnsi="宋体" w:cs="宋体"/>
                <w:sz w:val="22"/>
                <w:szCs w:val="22"/>
              </w:rPr>
            </w:pPr>
            <w:r>
              <w:rPr>
                <w:rFonts w:hint="eastAsia" w:ascii="宋体" w:hAnsi="宋体" w:cs="宋体"/>
                <w:sz w:val="22"/>
                <w:szCs w:val="22"/>
              </w:rPr>
              <w:t>13</w:t>
            </w:r>
          </w:p>
        </w:tc>
        <w:tc>
          <w:tcPr>
            <w:tcW w:w="2511" w:type="dxa"/>
            <w:noWrap w:val="0"/>
            <w:vAlign w:val="center"/>
          </w:tcPr>
          <w:p w14:paraId="67DCA57A">
            <w:pPr>
              <w:jc w:val="center"/>
              <w:rPr>
                <w:rFonts w:hint="eastAsia" w:ascii="宋体" w:hAnsi="宋体" w:cs="宋体"/>
                <w:sz w:val="22"/>
                <w:szCs w:val="22"/>
              </w:rPr>
            </w:pPr>
            <w:r>
              <w:rPr>
                <w:rFonts w:hint="eastAsia" w:ascii="宋体" w:hAnsi="宋体" w:cs="宋体"/>
                <w:sz w:val="22"/>
                <w:szCs w:val="22"/>
              </w:rPr>
              <w:t>磋商地点</w:t>
            </w:r>
          </w:p>
        </w:tc>
        <w:tc>
          <w:tcPr>
            <w:tcW w:w="6481" w:type="dxa"/>
            <w:noWrap w:val="0"/>
            <w:vAlign w:val="center"/>
          </w:tcPr>
          <w:p w14:paraId="2F9D7FFE">
            <w:pPr>
              <w:rPr>
                <w:rFonts w:hint="eastAsia" w:ascii="宋体" w:hAnsi="宋体" w:eastAsia="宋体" w:cs="宋体"/>
                <w:sz w:val="22"/>
                <w:szCs w:val="22"/>
                <w:lang w:eastAsia="zh-CN"/>
              </w:rPr>
            </w:pPr>
            <w:r>
              <w:rPr>
                <w:rFonts w:hint="eastAsia" w:ascii="宋体" w:hAnsi="宋体" w:cs="宋体"/>
                <w:sz w:val="22"/>
                <w:szCs w:val="22"/>
                <w:lang w:eastAsia="zh-CN"/>
              </w:rPr>
              <w:t>中源公司会议室</w:t>
            </w:r>
          </w:p>
        </w:tc>
      </w:tr>
      <w:tr w14:paraId="138E2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86" w:type="dxa"/>
            <w:noWrap w:val="0"/>
            <w:vAlign w:val="center"/>
          </w:tcPr>
          <w:p w14:paraId="27552EAE">
            <w:pPr>
              <w:jc w:val="center"/>
              <w:rPr>
                <w:rFonts w:hint="eastAsia" w:ascii="宋体" w:hAnsi="宋体" w:cs="宋体"/>
                <w:sz w:val="22"/>
                <w:szCs w:val="22"/>
              </w:rPr>
            </w:pPr>
            <w:r>
              <w:rPr>
                <w:rFonts w:hint="eastAsia" w:ascii="宋体" w:hAnsi="宋体" w:cs="宋体"/>
                <w:sz w:val="22"/>
                <w:szCs w:val="22"/>
              </w:rPr>
              <w:t>14</w:t>
            </w:r>
          </w:p>
        </w:tc>
        <w:tc>
          <w:tcPr>
            <w:tcW w:w="2511" w:type="dxa"/>
            <w:noWrap w:val="0"/>
            <w:vAlign w:val="center"/>
          </w:tcPr>
          <w:p w14:paraId="123C0E9C">
            <w:pPr>
              <w:jc w:val="center"/>
              <w:rPr>
                <w:rFonts w:hint="eastAsia" w:ascii="宋体" w:hAnsi="宋体" w:cs="宋体"/>
                <w:sz w:val="22"/>
                <w:szCs w:val="22"/>
              </w:rPr>
            </w:pPr>
            <w:r>
              <w:rPr>
                <w:rFonts w:hint="eastAsia" w:ascii="宋体" w:hAnsi="宋体" w:cs="宋体"/>
                <w:sz w:val="22"/>
                <w:szCs w:val="22"/>
              </w:rPr>
              <w:t>磋商文件递交截止期</w:t>
            </w:r>
          </w:p>
        </w:tc>
        <w:tc>
          <w:tcPr>
            <w:tcW w:w="6481" w:type="dxa"/>
            <w:noWrap w:val="0"/>
            <w:vAlign w:val="center"/>
          </w:tcPr>
          <w:p w14:paraId="6A8E9B60">
            <w:pPr>
              <w:rPr>
                <w:rFonts w:hint="eastAsia" w:ascii="宋体" w:hAnsi="宋体" w:cs="宋体"/>
                <w:sz w:val="22"/>
                <w:szCs w:val="22"/>
              </w:rPr>
            </w:pPr>
            <w:r>
              <w:rPr>
                <w:rFonts w:hint="eastAsia" w:ascii="宋体" w:hAnsi="宋体" w:cs="宋体"/>
                <w:sz w:val="22"/>
                <w:szCs w:val="22"/>
                <w:lang w:eastAsia="zh-CN"/>
              </w:rPr>
              <w:t>2026年5月26日15时00分</w:t>
            </w:r>
            <w:r>
              <w:rPr>
                <w:rFonts w:hint="eastAsia" w:ascii="宋体" w:hAnsi="宋体" w:cs="宋体"/>
                <w:sz w:val="22"/>
                <w:szCs w:val="22"/>
              </w:rPr>
              <w:t>之前</w:t>
            </w:r>
          </w:p>
        </w:tc>
      </w:tr>
      <w:tr w14:paraId="081C5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86" w:type="dxa"/>
            <w:noWrap w:val="0"/>
            <w:vAlign w:val="center"/>
          </w:tcPr>
          <w:p w14:paraId="6DE33A59">
            <w:pPr>
              <w:jc w:val="center"/>
              <w:rPr>
                <w:rFonts w:hint="eastAsia" w:ascii="宋体" w:hAnsi="宋体" w:cs="宋体"/>
                <w:sz w:val="22"/>
                <w:szCs w:val="22"/>
              </w:rPr>
            </w:pPr>
            <w:r>
              <w:rPr>
                <w:rFonts w:hint="eastAsia" w:ascii="宋体" w:hAnsi="宋体" w:cs="宋体"/>
                <w:sz w:val="22"/>
                <w:szCs w:val="22"/>
              </w:rPr>
              <w:t>15</w:t>
            </w:r>
          </w:p>
        </w:tc>
        <w:tc>
          <w:tcPr>
            <w:tcW w:w="2511" w:type="dxa"/>
            <w:noWrap w:val="0"/>
            <w:vAlign w:val="center"/>
          </w:tcPr>
          <w:p w14:paraId="2345A9FD">
            <w:pPr>
              <w:jc w:val="center"/>
              <w:rPr>
                <w:rFonts w:hint="eastAsia" w:ascii="宋体" w:hAnsi="宋体" w:cs="宋体"/>
                <w:sz w:val="22"/>
                <w:szCs w:val="22"/>
              </w:rPr>
            </w:pPr>
            <w:r>
              <w:rPr>
                <w:rFonts w:hint="eastAsia" w:ascii="宋体" w:hAnsi="宋体" w:cs="宋体"/>
                <w:sz w:val="22"/>
                <w:szCs w:val="22"/>
              </w:rPr>
              <w:t>中标人签署合同书期限</w:t>
            </w:r>
          </w:p>
        </w:tc>
        <w:tc>
          <w:tcPr>
            <w:tcW w:w="6481" w:type="dxa"/>
            <w:noWrap w:val="0"/>
            <w:vAlign w:val="center"/>
          </w:tcPr>
          <w:p w14:paraId="7ECACF44">
            <w:pPr>
              <w:rPr>
                <w:rFonts w:hint="eastAsia" w:ascii="宋体" w:hAnsi="宋体" w:cs="宋体"/>
                <w:sz w:val="22"/>
                <w:szCs w:val="22"/>
              </w:rPr>
            </w:pPr>
            <w:r>
              <w:rPr>
                <w:rFonts w:hint="eastAsia" w:ascii="宋体" w:hAnsi="宋体" w:cs="宋体"/>
                <w:sz w:val="22"/>
                <w:szCs w:val="22"/>
              </w:rPr>
              <w:t>收到中标通知书后</w:t>
            </w:r>
            <w:r>
              <w:rPr>
                <w:rFonts w:hint="eastAsia" w:ascii="宋体" w:hAnsi="宋体" w:cs="宋体"/>
                <w:sz w:val="22"/>
                <w:szCs w:val="22"/>
                <w:u w:val="single"/>
              </w:rPr>
              <w:t xml:space="preserve"> 30 </w:t>
            </w:r>
            <w:r>
              <w:rPr>
                <w:rFonts w:hint="eastAsia" w:ascii="宋体" w:hAnsi="宋体" w:cs="宋体"/>
                <w:sz w:val="22"/>
                <w:szCs w:val="22"/>
              </w:rPr>
              <w:t>天内</w:t>
            </w:r>
          </w:p>
        </w:tc>
      </w:tr>
      <w:tr w14:paraId="7F2F3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exact"/>
          <w:jc w:val="center"/>
        </w:trPr>
        <w:tc>
          <w:tcPr>
            <w:tcW w:w="786" w:type="dxa"/>
            <w:noWrap w:val="0"/>
            <w:vAlign w:val="center"/>
          </w:tcPr>
          <w:p w14:paraId="248E9FD0">
            <w:pPr>
              <w:jc w:val="center"/>
              <w:rPr>
                <w:rFonts w:hint="eastAsia" w:ascii="宋体" w:hAnsi="宋体" w:cs="宋体"/>
                <w:sz w:val="22"/>
                <w:szCs w:val="22"/>
              </w:rPr>
            </w:pPr>
            <w:r>
              <w:rPr>
                <w:rFonts w:hint="eastAsia" w:ascii="宋体" w:hAnsi="宋体" w:cs="宋体"/>
                <w:sz w:val="22"/>
                <w:szCs w:val="22"/>
              </w:rPr>
              <w:t>17</w:t>
            </w:r>
          </w:p>
        </w:tc>
        <w:tc>
          <w:tcPr>
            <w:tcW w:w="2511" w:type="dxa"/>
            <w:noWrap w:val="0"/>
            <w:vAlign w:val="center"/>
          </w:tcPr>
          <w:p w14:paraId="1D88AEA6">
            <w:pPr>
              <w:jc w:val="center"/>
              <w:rPr>
                <w:rFonts w:hint="eastAsia" w:ascii="宋体" w:hAnsi="宋体" w:eastAsia="宋体" w:cs="宋体"/>
                <w:sz w:val="22"/>
                <w:szCs w:val="22"/>
                <w:lang w:eastAsia="zh-CN"/>
              </w:rPr>
            </w:pPr>
            <w:r>
              <w:rPr>
                <w:rFonts w:hint="eastAsia" w:ascii="宋体" w:hAnsi="宋体" w:cs="宋体"/>
                <w:sz w:val="22"/>
                <w:szCs w:val="22"/>
                <w:lang w:eastAsia="zh-CN"/>
              </w:rPr>
              <w:t>服务期</w:t>
            </w:r>
          </w:p>
        </w:tc>
        <w:tc>
          <w:tcPr>
            <w:tcW w:w="6481" w:type="dxa"/>
            <w:noWrap w:val="0"/>
            <w:vAlign w:val="center"/>
          </w:tcPr>
          <w:p w14:paraId="02B774AF">
            <w:pPr>
              <w:rPr>
                <w:rFonts w:hint="eastAsia" w:ascii="宋体" w:hAnsi="宋体" w:eastAsia="宋体" w:cs="宋体"/>
                <w:sz w:val="22"/>
                <w:szCs w:val="22"/>
                <w:lang w:eastAsia="zh-CN"/>
              </w:rPr>
            </w:pPr>
            <w:r>
              <w:rPr>
                <w:rFonts w:hint="eastAsia" w:ascii="宋体" w:hAnsi="宋体" w:cs="宋体"/>
                <w:b w:val="0"/>
                <w:bCs w:val="0"/>
                <w:sz w:val="24"/>
                <w:szCs w:val="24"/>
                <w:lang w:eastAsia="zh-CN"/>
              </w:rPr>
              <w:t>1年</w:t>
            </w:r>
          </w:p>
        </w:tc>
      </w:tr>
      <w:tr w14:paraId="35841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exact"/>
          <w:jc w:val="center"/>
        </w:trPr>
        <w:tc>
          <w:tcPr>
            <w:tcW w:w="786" w:type="dxa"/>
            <w:noWrap w:val="0"/>
            <w:vAlign w:val="center"/>
          </w:tcPr>
          <w:p w14:paraId="4EE4AF06">
            <w:pPr>
              <w:jc w:val="center"/>
              <w:rPr>
                <w:rFonts w:hint="eastAsia" w:ascii="宋体" w:hAnsi="宋体" w:cs="宋体"/>
                <w:sz w:val="22"/>
                <w:szCs w:val="22"/>
              </w:rPr>
            </w:pPr>
            <w:r>
              <w:rPr>
                <w:rFonts w:hint="eastAsia" w:ascii="宋体" w:hAnsi="宋体" w:cs="宋体"/>
                <w:sz w:val="22"/>
                <w:szCs w:val="22"/>
              </w:rPr>
              <w:t>18</w:t>
            </w:r>
          </w:p>
        </w:tc>
        <w:tc>
          <w:tcPr>
            <w:tcW w:w="2511" w:type="dxa"/>
            <w:noWrap w:val="0"/>
            <w:vAlign w:val="center"/>
          </w:tcPr>
          <w:p w14:paraId="64C27334">
            <w:pPr>
              <w:jc w:val="center"/>
              <w:rPr>
                <w:rFonts w:hint="eastAsia" w:ascii="宋体" w:hAnsi="宋体" w:cs="宋体"/>
                <w:sz w:val="22"/>
                <w:szCs w:val="22"/>
              </w:rPr>
            </w:pPr>
            <w:r>
              <w:rPr>
                <w:rFonts w:hint="eastAsia" w:ascii="宋体" w:hAnsi="宋体" w:cs="宋体"/>
                <w:sz w:val="22"/>
                <w:szCs w:val="22"/>
              </w:rPr>
              <w:t>磋商小组成员</w:t>
            </w:r>
          </w:p>
        </w:tc>
        <w:tc>
          <w:tcPr>
            <w:tcW w:w="6481" w:type="dxa"/>
            <w:noWrap w:val="0"/>
            <w:vAlign w:val="center"/>
          </w:tcPr>
          <w:p w14:paraId="7BC5A89F">
            <w:pPr>
              <w:rPr>
                <w:rFonts w:hint="eastAsia" w:ascii="宋体" w:hAnsi="宋体" w:cs="宋体"/>
                <w:sz w:val="22"/>
                <w:szCs w:val="22"/>
              </w:rPr>
            </w:pPr>
            <w:r>
              <w:rPr>
                <w:rFonts w:hint="eastAsia" w:ascii="宋体" w:hAnsi="宋体" w:cs="宋体"/>
                <w:sz w:val="22"/>
                <w:szCs w:val="22"/>
              </w:rPr>
              <w:t>两名</w:t>
            </w:r>
            <w:r>
              <w:rPr>
                <w:rFonts w:hint="eastAsia" w:ascii="宋体" w:hAnsi="宋体" w:cs="宋体"/>
                <w:sz w:val="22"/>
                <w:szCs w:val="22"/>
                <w:lang w:val="en-US" w:eastAsia="zh-CN"/>
              </w:rPr>
              <w:t>政府</w:t>
            </w:r>
            <w:r>
              <w:rPr>
                <w:rFonts w:hint="eastAsia" w:ascii="宋体" w:hAnsi="宋体" w:cs="宋体"/>
                <w:sz w:val="22"/>
                <w:szCs w:val="22"/>
              </w:rPr>
              <w:t>采购专家</w:t>
            </w:r>
            <w:r>
              <w:rPr>
                <w:rFonts w:hint="eastAsia" w:ascii="宋体" w:hAnsi="宋体" w:cs="宋体"/>
                <w:sz w:val="22"/>
                <w:szCs w:val="22"/>
                <w:lang w:val="en-US" w:eastAsia="zh-CN"/>
              </w:rPr>
              <w:t>库的评审专家</w:t>
            </w:r>
            <w:r>
              <w:rPr>
                <w:rFonts w:hint="eastAsia" w:ascii="宋体" w:hAnsi="宋体" w:cs="宋体"/>
                <w:sz w:val="22"/>
                <w:szCs w:val="22"/>
              </w:rPr>
              <w:t>及一名采购人代表，共同组成三人磋商小组。</w:t>
            </w:r>
          </w:p>
        </w:tc>
      </w:tr>
      <w:tr w14:paraId="1CB11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7" w:hRule="exact"/>
          <w:jc w:val="center"/>
        </w:trPr>
        <w:tc>
          <w:tcPr>
            <w:tcW w:w="786" w:type="dxa"/>
            <w:noWrap w:val="0"/>
            <w:vAlign w:val="center"/>
          </w:tcPr>
          <w:p w14:paraId="3FF9072B">
            <w:pPr>
              <w:jc w:val="center"/>
              <w:rPr>
                <w:rFonts w:hint="eastAsia" w:ascii="宋体" w:hAnsi="宋体" w:cs="宋体"/>
                <w:sz w:val="22"/>
                <w:szCs w:val="22"/>
              </w:rPr>
            </w:pPr>
            <w:r>
              <w:rPr>
                <w:rFonts w:hint="eastAsia" w:ascii="宋体" w:hAnsi="宋体" w:cs="宋体"/>
                <w:sz w:val="22"/>
                <w:szCs w:val="22"/>
              </w:rPr>
              <w:t>19</w:t>
            </w:r>
          </w:p>
        </w:tc>
        <w:tc>
          <w:tcPr>
            <w:tcW w:w="2511" w:type="dxa"/>
            <w:noWrap w:val="0"/>
            <w:vAlign w:val="center"/>
          </w:tcPr>
          <w:p w14:paraId="44558E4D">
            <w:pPr>
              <w:jc w:val="center"/>
              <w:rPr>
                <w:rFonts w:hint="eastAsia" w:ascii="宋体" w:hAnsi="宋体" w:cs="宋体"/>
                <w:sz w:val="22"/>
                <w:szCs w:val="22"/>
              </w:rPr>
            </w:pPr>
            <w:r>
              <w:rPr>
                <w:rFonts w:hint="eastAsia" w:ascii="宋体" w:hAnsi="宋体" w:cs="宋体"/>
                <w:sz w:val="22"/>
                <w:szCs w:val="22"/>
              </w:rPr>
              <w:t>其他事项</w:t>
            </w:r>
          </w:p>
        </w:tc>
        <w:tc>
          <w:tcPr>
            <w:tcW w:w="6481" w:type="dxa"/>
            <w:noWrap w:val="0"/>
            <w:vAlign w:val="center"/>
          </w:tcPr>
          <w:p w14:paraId="4A32E22E">
            <w:pPr>
              <w:numPr>
                <w:ilvl w:val="0"/>
                <w:numId w:val="3"/>
              </w:numPr>
              <w:rPr>
                <w:rFonts w:hint="eastAsia" w:ascii="宋体" w:hAnsi="宋体" w:cs="宋体"/>
                <w:color w:val="000000"/>
                <w:kern w:val="0"/>
                <w:sz w:val="22"/>
                <w:szCs w:val="22"/>
              </w:rPr>
            </w:pPr>
            <w:r>
              <w:rPr>
                <w:rFonts w:hint="eastAsia" w:ascii="宋体" w:hAnsi="宋体" w:cs="宋体"/>
                <w:color w:val="000000"/>
                <w:kern w:val="0"/>
                <w:sz w:val="22"/>
                <w:szCs w:val="22"/>
              </w:rPr>
              <w:t>法人或其授权委托人参加磋商会，必须携带身份证</w:t>
            </w:r>
            <w:r>
              <w:rPr>
                <w:rFonts w:hint="eastAsia" w:ascii="宋体" w:hAnsi="宋体" w:cs="宋体"/>
                <w:color w:val="000000"/>
                <w:kern w:val="0"/>
                <w:sz w:val="22"/>
                <w:szCs w:val="22"/>
                <w:lang w:val="en-US" w:eastAsia="zh-CN"/>
              </w:rPr>
              <w:t>原件或能证明其身份的证件</w:t>
            </w:r>
            <w:r>
              <w:rPr>
                <w:rFonts w:hint="eastAsia" w:ascii="宋体" w:hAnsi="宋体" w:cs="宋体"/>
                <w:color w:val="000000"/>
                <w:kern w:val="0"/>
                <w:sz w:val="22"/>
                <w:szCs w:val="22"/>
              </w:rPr>
              <w:t>，委托人还需提供一份被授权委托书，由委托人签字。</w:t>
            </w:r>
          </w:p>
          <w:p w14:paraId="6C91B657">
            <w:pPr>
              <w:numPr>
                <w:ilvl w:val="0"/>
                <w:numId w:val="3"/>
              </w:numPr>
              <w:rPr>
                <w:rFonts w:hint="eastAsia" w:ascii="宋体" w:hAnsi="宋体" w:cs="宋体"/>
                <w:color w:val="000000"/>
                <w:kern w:val="0"/>
                <w:sz w:val="22"/>
                <w:szCs w:val="22"/>
              </w:rPr>
            </w:pPr>
            <w:r>
              <w:rPr>
                <w:rFonts w:hint="eastAsia" w:ascii="宋体" w:hAnsi="宋体" w:cs="宋体"/>
                <w:color w:val="000000"/>
                <w:kern w:val="0"/>
                <w:sz w:val="22"/>
                <w:szCs w:val="22"/>
              </w:rPr>
              <w:t>本竞争性磋商文件依据《中华人民共和国政府采购法》等编写，磋商响应单位应自备上述资料，如有未尽事项以上述资料为准。</w:t>
            </w:r>
          </w:p>
        </w:tc>
      </w:tr>
    </w:tbl>
    <w:p w14:paraId="6D65829D">
      <w:pPr>
        <w:rPr>
          <w:rFonts w:hint="eastAsia" w:ascii="宋体" w:hAnsi="宋体" w:cs="宋体"/>
          <w:bCs w:val="0"/>
          <w:szCs w:val="32"/>
        </w:rPr>
      </w:pPr>
      <w:bookmarkStart w:id="7" w:name="_Toc6511"/>
      <w:bookmarkStart w:id="8" w:name="_Toc1297"/>
      <w:r>
        <w:rPr>
          <w:rFonts w:hint="eastAsia" w:ascii="宋体" w:hAnsi="宋体" w:cs="宋体"/>
          <w:bCs w:val="0"/>
          <w:szCs w:val="32"/>
        </w:rPr>
        <w:br w:type="page"/>
      </w:r>
    </w:p>
    <w:p w14:paraId="1048CC74">
      <w:pPr>
        <w:pStyle w:val="2"/>
        <w:keepNext/>
        <w:keepLines/>
        <w:pageBreakBefore w:val="0"/>
        <w:widowControl w:val="0"/>
        <w:kinsoku/>
        <w:wordWrap/>
        <w:overflowPunct/>
        <w:topLinePunct w:val="0"/>
        <w:autoSpaceDE/>
        <w:autoSpaceDN/>
        <w:bidi w:val="0"/>
        <w:adjustRightInd/>
        <w:snapToGrid/>
        <w:spacing w:before="191" w:beforeLines="50" w:after="191" w:afterLines="50" w:line="480" w:lineRule="auto"/>
        <w:textAlignment w:val="auto"/>
        <w:rPr>
          <w:rFonts w:hint="eastAsia" w:ascii="宋体" w:hAnsi="宋体" w:eastAsia="宋体" w:cs="宋体"/>
          <w:b/>
          <w:color w:val="000000"/>
          <w:sz w:val="32"/>
          <w:szCs w:val="32"/>
        </w:rPr>
      </w:pPr>
      <w:r>
        <w:rPr>
          <w:rFonts w:hint="eastAsia" w:ascii="宋体" w:hAnsi="宋体" w:cs="宋体"/>
          <w:bCs w:val="0"/>
          <w:szCs w:val="32"/>
        </w:rPr>
        <w:t xml:space="preserve">第三章  </w:t>
      </w:r>
      <w:bookmarkEnd w:id="7"/>
      <w:bookmarkEnd w:id="8"/>
      <w:r>
        <w:rPr>
          <w:rFonts w:hint="eastAsia" w:ascii="宋体" w:hAnsi="宋体" w:eastAsia="宋体" w:cs="宋体"/>
          <w:b/>
          <w:color w:val="000000"/>
          <w:sz w:val="32"/>
          <w:szCs w:val="32"/>
          <w:lang w:val="en-US" w:eastAsia="zh-CN"/>
        </w:rPr>
        <w:t>磋商</w:t>
      </w:r>
      <w:r>
        <w:rPr>
          <w:rFonts w:hint="eastAsia" w:ascii="宋体" w:hAnsi="宋体" w:eastAsia="宋体" w:cs="宋体"/>
          <w:b/>
          <w:color w:val="000000"/>
          <w:sz w:val="32"/>
          <w:szCs w:val="32"/>
        </w:rPr>
        <w:t>须知</w:t>
      </w:r>
    </w:p>
    <w:p w14:paraId="1B126E03">
      <w:pPr>
        <w:spacing w:line="440" w:lineRule="exact"/>
        <w:jc w:val="center"/>
        <w:outlineLvl w:val="1"/>
        <w:rPr>
          <w:rFonts w:hint="eastAsia" w:ascii="宋体" w:hAnsi="宋体" w:eastAsia="宋体" w:cs="宋体"/>
          <w:b/>
          <w:color w:val="000000"/>
          <w:sz w:val="24"/>
          <w:szCs w:val="24"/>
        </w:rPr>
      </w:pPr>
      <w:r>
        <w:rPr>
          <w:rFonts w:hint="eastAsia" w:ascii="宋体" w:hAnsi="宋体" w:eastAsia="宋体" w:cs="宋体"/>
          <w:b/>
          <w:color w:val="000000"/>
          <w:sz w:val="24"/>
          <w:szCs w:val="24"/>
        </w:rPr>
        <w:t>一、 总 则</w:t>
      </w:r>
    </w:p>
    <w:p w14:paraId="0BF43F09">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snapToGrid w:val="0"/>
          <w:color w:val="000000"/>
          <w:kern w:val="0"/>
          <w:sz w:val="24"/>
          <w:szCs w:val="24"/>
        </w:rPr>
        <w:t>本次采购依据《中华人民共和国政府采购法》、</w:t>
      </w:r>
      <w:r>
        <w:rPr>
          <w:rFonts w:hint="eastAsia" w:ascii="宋体" w:hAnsi="宋体" w:eastAsia="宋体" w:cs="宋体"/>
          <w:color w:val="000000"/>
          <w:sz w:val="24"/>
          <w:szCs w:val="24"/>
        </w:rPr>
        <w:t>《财政部令第87号》、《财政部令第74号》、《陕财办采资（2014）143号》、</w:t>
      </w:r>
      <w:r>
        <w:rPr>
          <w:rFonts w:hint="eastAsia" w:ascii="宋体" w:hAnsi="宋体" w:eastAsia="宋体" w:cs="宋体"/>
          <w:snapToGrid w:val="0"/>
          <w:color w:val="000000"/>
          <w:kern w:val="0"/>
          <w:sz w:val="24"/>
          <w:szCs w:val="24"/>
        </w:rPr>
        <w:t>《中华人民共和国政府采购法实施条例</w:t>
      </w:r>
      <w:r>
        <w:rPr>
          <w:rFonts w:hint="eastAsia" w:ascii="宋体" w:hAnsi="宋体" w:eastAsia="宋体" w:cs="宋体"/>
          <w:color w:val="000000"/>
          <w:sz w:val="24"/>
          <w:szCs w:val="24"/>
        </w:rPr>
        <w:t>》文件及省市现行有关法律法规执行。</w:t>
      </w:r>
    </w:p>
    <w:p w14:paraId="19DCDBB8">
      <w:pPr>
        <w:keepNext w:val="0"/>
        <w:keepLines w:val="0"/>
        <w:pageBreakBefore w:val="0"/>
        <w:kinsoku/>
        <w:wordWrap/>
        <w:overflowPunct/>
        <w:topLinePunct w:val="0"/>
        <w:bidi w:val="0"/>
        <w:spacing w:after="191" w:afterLines="50" w:line="24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1．采购人、采购代理机构、监督管理机构</w:t>
      </w:r>
    </w:p>
    <w:p w14:paraId="677FE9C0">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kern w:val="0"/>
          <w:sz w:val="24"/>
          <w:szCs w:val="24"/>
          <w:lang w:val="en-US" w:eastAsia="zh-CN"/>
        </w:rPr>
      </w:pPr>
      <w:r>
        <w:rPr>
          <w:rFonts w:hint="eastAsia" w:ascii="宋体" w:hAnsi="宋体" w:eastAsia="宋体" w:cs="宋体"/>
          <w:color w:val="000000"/>
          <w:sz w:val="24"/>
          <w:szCs w:val="24"/>
        </w:rPr>
        <w:t>1.1 采   购   人：</w:t>
      </w:r>
      <w:r>
        <w:rPr>
          <w:rFonts w:hint="eastAsia" w:ascii="宋体" w:hAnsi="宋体" w:eastAsia="宋体" w:cs="宋体"/>
          <w:color w:val="000000"/>
          <w:kern w:val="0"/>
          <w:sz w:val="24"/>
          <w:szCs w:val="24"/>
          <w:lang w:val="en-US" w:eastAsia="zh-CN"/>
        </w:rPr>
        <w:t>安康市公安局汉滨分局</w:t>
      </w:r>
    </w:p>
    <w:p w14:paraId="1CF2F717">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1.2 采购代理机构：</w:t>
      </w:r>
      <w:r>
        <w:rPr>
          <w:rFonts w:hint="eastAsia" w:ascii="宋体" w:hAnsi="宋体" w:eastAsia="宋体" w:cs="宋体"/>
          <w:color w:val="000000"/>
          <w:kern w:val="0"/>
          <w:sz w:val="24"/>
          <w:szCs w:val="24"/>
          <w:lang w:eastAsia="zh-CN"/>
        </w:rPr>
        <w:t>陕西中源项目管理有限公司</w:t>
      </w:r>
    </w:p>
    <w:p w14:paraId="3D80A078">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1.3 招标采购单位：采购人及采购代理机构的统称</w:t>
      </w:r>
    </w:p>
    <w:p w14:paraId="29E26E88">
      <w:pPr>
        <w:keepNext w:val="0"/>
        <w:keepLines w:val="0"/>
        <w:pageBreakBefore w:val="0"/>
        <w:kinsoku/>
        <w:wordWrap/>
        <w:overflowPunct/>
        <w:topLinePunct w:val="0"/>
        <w:bidi w:val="0"/>
        <w:spacing w:after="191" w:afterLines="50" w:line="24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2．合格的投标人、合格的</w:t>
      </w:r>
      <w:r>
        <w:rPr>
          <w:rFonts w:hint="eastAsia" w:ascii="宋体" w:hAnsi="宋体" w:eastAsia="宋体" w:cs="宋体"/>
          <w:b/>
          <w:color w:val="000000"/>
          <w:sz w:val="24"/>
          <w:szCs w:val="24"/>
          <w:lang w:val="en-US" w:eastAsia="zh-CN"/>
        </w:rPr>
        <w:t>货物及</w:t>
      </w:r>
      <w:r>
        <w:rPr>
          <w:rFonts w:hint="eastAsia" w:ascii="宋体" w:hAnsi="宋体" w:eastAsia="宋体" w:cs="宋体"/>
          <w:b/>
          <w:color w:val="000000"/>
          <w:sz w:val="24"/>
          <w:szCs w:val="24"/>
        </w:rPr>
        <w:t>服务</w:t>
      </w:r>
    </w:p>
    <w:p w14:paraId="2D8AABDC">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2.1 </w:t>
      </w:r>
      <w:r>
        <w:rPr>
          <w:rFonts w:hint="eastAsia" w:ascii="宋体" w:hAnsi="宋体" w:eastAsia="宋体" w:cs="宋体"/>
          <w:color w:val="000000"/>
          <w:sz w:val="24"/>
          <w:szCs w:val="24"/>
          <w:lang w:val="en-US" w:eastAsia="zh-CN"/>
        </w:rPr>
        <w:t>基本资格条件：符合《中华人民共和国政府采购法》第二十二条的规定；</w:t>
      </w:r>
    </w:p>
    <w:p w14:paraId="744A27AF">
      <w:pPr>
        <w:keepNext w:val="0"/>
        <w:keepLines w:val="0"/>
        <w:pageBreakBefore w:val="0"/>
        <w:tabs>
          <w:tab w:val="left" w:pos="9030"/>
        </w:tabs>
        <w:kinsoku/>
        <w:wordWrap/>
        <w:overflowPunct/>
        <w:topLinePunct w:val="0"/>
        <w:bidi w:val="0"/>
        <w:snapToGrid w:val="0"/>
        <w:spacing w:after="191" w:afterLines="50" w:line="240" w:lineRule="auto"/>
        <w:ind w:right="-65"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2.1.1</w:t>
      </w:r>
      <w:r>
        <w:rPr>
          <w:rFonts w:hint="eastAsia" w:ascii="宋体" w:hAnsi="宋体" w:eastAsia="宋体" w:cs="宋体"/>
          <w:color w:val="000000"/>
          <w:sz w:val="24"/>
          <w:szCs w:val="24"/>
          <w:lang w:val="en-US" w:eastAsia="zh-CN"/>
        </w:rPr>
        <w:t>特定资格条件：</w:t>
      </w:r>
    </w:p>
    <w:p w14:paraId="3CB7ACED">
      <w:pPr>
        <w:pStyle w:val="24"/>
        <w:keepNext w:val="0"/>
        <w:keepLines w:val="0"/>
        <w:pageBreakBefore w:val="0"/>
        <w:widowControl/>
        <w:suppressLineNumbers w:val="0"/>
        <w:kinsoku/>
        <w:wordWrap/>
        <w:overflowPunct/>
        <w:topLinePunct w:val="0"/>
        <w:autoSpaceDE/>
        <w:autoSpaceDN/>
        <w:bidi w:val="0"/>
        <w:adjustRightInd/>
        <w:snapToGrid/>
        <w:spacing w:before="0" w:beforeLines="0" w:beforeAutospacing="0" w:after="191" w:afterLines="50" w:afterAutospacing="0" w:line="24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具有独立承担民事责任的能力，提供营业执照、税务登记证、组织机构代码证或登载有统一社会信用代码的营业执照（或《事业单位法人证书》或其他合法组织登记证书、自然人只须提交身份证复印件）；</w:t>
      </w:r>
    </w:p>
    <w:p w14:paraId="21295750">
      <w:pPr>
        <w:pStyle w:val="24"/>
        <w:keepNext w:val="0"/>
        <w:keepLines w:val="0"/>
        <w:pageBreakBefore w:val="0"/>
        <w:widowControl/>
        <w:suppressLineNumbers w:val="0"/>
        <w:kinsoku/>
        <w:wordWrap/>
        <w:overflowPunct/>
        <w:topLinePunct w:val="0"/>
        <w:autoSpaceDE/>
        <w:autoSpaceDN/>
        <w:bidi w:val="0"/>
        <w:adjustRightInd/>
        <w:snapToGrid/>
        <w:spacing w:before="0" w:beforeLines="0" w:beforeAutospacing="0" w:after="191" w:afterLines="50" w:afterAutospacing="0" w:line="24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提供法定代表人授权书（附法定代表人身份证复印件）及被授权代表身份证复印件（法定代表人直接参加只须提供法定代表人身份证复印件）；</w:t>
      </w:r>
    </w:p>
    <w:p w14:paraId="0E8EFF9B">
      <w:pPr>
        <w:pStyle w:val="24"/>
        <w:keepNext w:val="0"/>
        <w:keepLines w:val="0"/>
        <w:pageBreakBefore w:val="0"/>
        <w:widowControl/>
        <w:suppressLineNumbers w:val="0"/>
        <w:kinsoku/>
        <w:wordWrap/>
        <w:overflowPunct/>
        <w:topLinePunct w:val="0"/>
        <w:autoSpaceDE/>
        <w:autoSpaceDN/>
        <w:bidi w:val="0"/>
        <w:adjustRightInd/>
        <w:snapToGrid/>
        <w:spacing w:before="0" w:beforeLines="0" w:beforeAutospacing="0" w:after="191" w:afterLines="50" w:afterAutospacing="0" w:line="24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税收缴纳证明:自</w:t>
      </w:r>
      <w:r>
        <w:rPr>
          <w:rFonts w:hint="eastAsia" w:cs="宋体"/>
          <w:color w:val="auto"/>
          <w:sz w:val="24"/>
          <w:szCs w:val="24"/>
          <w:lang w:eastAsia="zh-CN"/>
        </w:rPr>
        <w:t>2025年11月</w:t>
      </w:r>
      <w:r>
        <w:rPr>
          <w:rFonts w:hint="eastAsia" w:ascii="宋体" w:hAnsi="宋体" w:eastAsia="宋体" w:cs="宋体"/>
          <w:color w:val="auto"/>
          <w:sz w:val="24"/>
          <w:szCs w:val="24"/>
        </w:rPr>
        <w:t>至今至少1个月的纳税证明或完税证明(提供增值税、企业所得税至少一种),纳税证明或完税证明上应有代收机构或税务机关的公章或业务专用章。依法免税的供应商应提供相关文件证明；</w:t>
      </w:r>
    </w:p>
    <w:p w14:paraId="5E4BE667">
      <w:pPr>
        <w:pStyle w:val="24"/>
        <w:keepNext w:val="0"/>
        <w:keepLines w:val="0"/>
        <w:pageBreakBefore w:val="0"/>
        <w:widowControl/>
        <w:suppressLineNumbers w:val="0"/>
        <w:kinsoku/>
        <w:wordWrap/>
        <w:overflowPunct/>
        <w:topLinePunct w:val="0"/>
        <w:autoSpaceDE/>
        <w:autoSpaceDN/>
        <w:bidi w:val="0"/>
        <w:adjustRightInd/>
        <w:snapToGrid/>
        <w:spacing w:before="0" w:beforeLines="0" w:beforeAutospacing="0" w:after="191" w:afterLines="50" w:afterAutospacing="0" w:line="24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社会保障资金缴纳证明:自</w:t>
      </w:r>
      <w:r>
        <w:rPr>
          <w:rFonts w:hint="eastAsia" w:cs="宋体"/>
          <w:color w:val="auto"/>
          <w:sz w:val="24"/>
          <w:szCs w:val="24"/>
          <w:lang w:eastAsia="zh-CN"/>
        </w:rPr>
        <w:t>2025年11月</w:t>
      </w:r>
      <w:r>
        <w:rPr>
          <w:rFonts w:hint="eastAsia" w:ascii="宋体" w:hAnsi="宋体" w:eastAsia="宋体" w:cs="宋体"/>
          <w:color w:val="auto"/>
          <w:sz w:val="24"/>
          <w:szCs w:val="24"/>
        </w:rPr>
        <w:t>至今已缴存的至少1个月的社会保障资金缴存单据或社保机构开具的社会保险参保缴费情况证明，单据或证明上应有社保机构或代收机构的印章。依法不需要缴纳社会保障资金的供应商应提供相关文件证明；</w:t>
      </w:r>
    </w:p>
    <w:p w14:paraId="22B90545">
      <w:pPr>
        <w:pStyle w:val="24"/>
        <w:keepNext w:val="0"/>
        <w:keepLines w:val="0"/>
        <w:pageBreakBefore w:val="0"/>
        <w:widowControl/>
        <w:suppressLineNumbers w:val="0"/>
        <w:kinsoku/>
        <w:wordWrap/>
        <w:overflowPunct/>
        <w:topLinePunct w:val="0"/>
        <w:autoSpaceDE/>
        <w:autoSpaceDN/>
        <w:bidi w:val="0"/>
        <w:adjustRightInd/>
        <w:snapToGrid/>
        <w:spacing w:before="0" w:beforeLines="0" w:beforeAutospacing="0" w:after="191" w:afterLines="50" w:afterAutospacing="0" w:line="240" w:lineRule="auto"/>
        <w:ind w:left="0" w:leftChars="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w:t>
      </w:r>
      <w:r>
        <w:rPr>
          <w:rFonts w:hint="eastAsia" w:cs="宋体"/>
          <w:color w:val="auto"/>
          <w:sz w:val="24"/>
          <w:szCs w:val="24"/>
          <w:lang w:eastAsia="zh-CN"/>
        </w:rPr>
        <w:t>财务状况报告:提供近三年任意一年度经审计的财务会计报告（至少应包含资产负债表、利润表和现金流量表，成立时间至提交投标文件截止时间不足一年的可提供成立后任意时段的资产负债表）；或其基本存款账户开户银行出具的资信证明及基本存款账户开户许可证；或政府采购信用担保机构出具的投标担保函；</w:t>
      </w:r>
    </w:p>
    <w:p w14:paraId="18B6244E">
      <w:pPr>
        <w:pStyle w:val="24"/>
        <w:keepNext w:val="0"/>
        <w:keepLines w:val="0"/>
        <w:pageBreakBefore w:val="0"/>
        <w:widowControl/>
        <w:suppressLineNumbers w:val="0"/>
        <w:kinsoku/>
        <w:wordWrap/>
        <w:overflowPunct/>
        <w:topLinePunct w:val="0"/>
        <w:autoSpaceDE/>
        <w:autoSpaceDN/>
        <w:bidi w:val="0"/>
        <w:adjustRightInd/>
        <w:snapToGrid/>
        <w:spacing w:before="0" w:beforeLines="0" w:beforeAutospacing="0" w:after="191" w:afterLines="50" w:afterAutospacing="0" w:line="24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参加政府采购活动前3年内（2023年1月至今）在经营活动中没有重大违法记录的书面声明（供应商自行出具声明书并加盖公章）；</w:t>
      </w:r>
    </w:p>
    <w:p w14:paraId="7207F810">
      <w:pPr>
        <w:pStyle w:val="24"/>
        <w:keepNext w:val="0"/>
        <w:keepLines w:val="0"/>
        <w:pageBreakBefore w:val="0"/>
        <w:widowControl/>
        <w:suppressLineNumbers w:val="0"/>
        <w:kinsoku/>
        <w:wordWrap/>
        <w:overflowPunct/>
        <w:topLinePunct w:val="0"/>
        <w:autoSpaceDE/>
        <w:autoSpaceDN/>
        <w:bidi w:val="0"/>
        <w:adjustRightInd/>
        <w:snapToGrid/>
        <w:spacing w:before="0" w:beforeLines="0" w:beforeAutospacing="0" w:after="191" w:afterLines="50" w:afterAutospacing="0" w:line="240" w:lineRule="auto"/>
        <w:ind w:left="0" w:leftChars="0" w:firstLine="480" w:firstLineChars="200"/>
        <w:textAlignment w:val="auto"/>
        <w:rPr>
          <w:rFonts w:hint="eastAsia" w:ascii="宋体" w:hAnsi="宋体" w:eastAsia="宋体" w:cs="宋体"/>
          <w:color w:val="auto"/>
          <w:sz w:val="24"/>
          <w:szCs w:val="24"/>
        </w:rPr>
      </w:pPr>
      <w:r>
        <w:rPr>
          <w:rFonts w:hint="eastAsia" w:cs="宋体"/>
          <w:color w:val="auto"/>
          <w:sz w:val="24"/>
          <w:szCs w:val="24"/>
          <w:lang w:val="en-US" w:eastAsia="zh-CN"/>
        </w:rPr>
        <w:t>（7）</w:t>
      </w:r>
      <w:r>
        <w:rPr>
          <w:rFonts w:hint="eastAsia" w:ascii="宋体" w:hAnsi="宋体" w:eastAsia="宋体" w:cs="宋体"/>
          <w:color w:val="auto"/>
          <w:sz w:val="24"/>
          <w:szCs w:val="24"/>
        </w:rPr>
        <w:t>本项目不接受联合投标。</w:t>
      </w:r>
    </w:p>
    <w:p w14:paraId="46D2F455">
      <w:pPr>
        <w:pStyle w:val="24"/>
        <w:keepNext w:val="0"/>
        <w:keepLines w:val="0"/>
        <w:pageBreakBefore w:val="0"/>
        <w:widowControl/>
        <w:suppressLineNumbers w:val="0"/>
        <w:kinsoku/>
        <w:wordWrap/>
        <w:overflowPunct/>
        <w:topLinePunct w:val="0"/>
        <w:autoSpaceDE/>
        <w:autoSpaceDN/>
        <w:bidi w:val="0"/>
        <w:adjustRightInd/>
        <w:snapToGrid/>
        <w:spacing w:before="0" w:beforeLines="0" w:beforeAutospacing="0" w:after="191" w:afterLines="50" w:afterAutospacing="0" w:line="240" w:lineRule="auto"/>
        <w:ind w:left="0" w:leftChars="0" w:firstLine="480" w:firstLineChars="200"/>
        <w:textAlignment w:val="auto"/>
        <w:rPr>
          <w:rFonts w:hint="eastAsia" w:ascii="宋体" w:hAnsi="宋体" w:eastAsia="宋体" w:cs="宋体"/>
          <w:b w:val="0"/>
          <w:bCs w:val="0"/>
          <w:color w:val="000000"/>
          <w:sz w:val="24"/>
          <w:szCs w:val="24"/>
          <w:lang w:val="zh-CN"/>
        </w:rPr>
      </w:pPr>
      <w:r>
        <w:rPr>
          <w:rFonts w:hint="eastAsia" w:ascii="宋体" w:hAnsi="宋体" w:eastAsia="宋体" w:cs="宋体"/>
          <w:b w:val="0"/>
          <w:bCs w:val="0"/>
          <w:color w:val="000000"/>
          <w:sz w:val="24"/>
          <w:szCs w:val="24"/>
          <w:lang w:val="zh-CN"/>
        </w:rPr>
        <w:t>注：以上均为各供应商必备要求。在磋商时须提供以上资格要求文件复印件加盖公司公章（由</w:t>
      </w:r>
      <w:r>
        <w:rPr>
          <w:rFonts w:hint="eastAsia" w:ascii="宋体" w:hAnsi="宋体" w:eastAsia="宋体" w:cs="宋体"/>
          <w:b w:val="0"/>
          <w:bCs w:val="0"/>
          <w:color w:val="000000"/>
          <w:sz w:val="24"/>
          <w:szCs w:val="24"/>
          <w:lang w:val="en-US" w:eastAsia="zh-CN"/>
        </w:rPr>
        <w:t>磋商小组</w:t>
      </w:r>
      <w:r>
        <w:rPr>
          <w:rFonts w:hint="eastAsia" w:ascii="宋体" w:hAnsi="宋体" w:eastAsia="宋体" w:cs="宋体"/>
          <w:b w:val="0"/>
          <w:bCs w:val="0"/>
          <w:color w:val="000000"/>
          <w:sz w:val="24"/>
          <w:szCs w:val="24"/>
          <w:lang w:val="zh-CN"/>
        </w:rPr>
        <w:t>进行资格审查，无效或缺项将被视为无效投标）。</w:t>
      </w:r>
    </w:p>
    <w:p w14:paraId="4CE57BB5">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2.1.</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 xml:space="preserve"> 投标人必须从采购代理机构</w:t>
      </w:r>
      <w:r>
        <w:rPr>
          <w:rFonts w:hint="eastAsia" w:ascii="宋体" w:hAnsi="宋体" w:eastAsia="宋体" w:cs="宋体"/>
          <w:color w:val="000000"/>
          <w:sz w:val="24"/>
          <w:szCs w:val="24"/>
          <w:lang w:val="en-US" w:eastAsia="zh-CN"/>
        </w:rPr>
        <w:t>领取</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文件并登记备案，未从采购代理机构</w:t>
      </w:r>
      <w:r>
        <w:rPr>
          <w:rFonts w:hint="eastAsia" w:ascii="宋体" w:hAnsi="宋体" w:eastAsia="宋体" w:cs="宋体"/>
          <w:color w:val="000000"/>
          <w:sz w:val="24"/>
          <w:szCs w:val="24"/>
          <w:lang w:eastAsia="zh-CN"/>
        </w:rPr>
        <w:t>领取磋商</w:t>
      </w:r>
      <w:r>
        <w:rPr>
          <w:rFonts w:hint="eastAsia" w:ascii="宋体" w:hAnsi="宋体" w:eastAsia="宋体" w:cs="宋体"/>
          <w:color w:val="000000"/>
          <w:sz w:val="24"/>
          <w:szCs w:val="24"/>
        </w:rPr>
        <w:t>文件并登记备案的潜在投标人均无资格参加</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w:t>
      </w:r>
    </w:p>
    <w:p w14:paraId="5230FEA6">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2.1.</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本项目不接受联合体</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w:t>
      </w:r>
    </w:p>
    <w:p w14:paraId="47E397EF">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bookmarkStart w:id="9" w:name="_Toc169838519"/>
      <w:bookmarkStart w:id="10" w:name="_Toc175033579"/>
      <w:bookmarkStart w:id="11" w:name="_Toc170980539"/>
      <w:bookmarkStart w:id="12" w:name="_Toc208337151"/>
      <w:bookmarkStart w:id="13" w:name="_Toc207897903"/>
      <w:bookmarkStart w:id="14" w:name="_Toc244623578"/>
      <w:bookmarkStart w:id="15" w:name="_Toc154482466"/>
      <w:bookmarkStart w:id="16" w:name="_Toc167591030"/>
      <w:bookmarkStart w:id="17" w:name="_Toc167591317"/>
      <w:bookmarkStart w:id="18" w:name="_Toc167590762"/>
      <w:bookmarkStart w:id="19" w:name="_Toc173549965"/>
      <w:bookmarkStart w:id="20" w:name="_Toc169846763"/>
      <w:bookmarkStart w:id="21" w:name="_Toc245658521"/>
      <w:bookmarkStart w:id="22" w:name="_Toc175032424"/>
      <w:bookmarkStart w:id="23" w:name="_Toc170980441"/>
      <w:bookmarkStart w:id="24" w:name="_Toc167849347"/>
      <w:bookmarkStart w:id="25" w:name="_Toc245176652"/>
      <w:bookmarkStart w:id="26" w:name="_Toc167591131"/>
      <w:bookmarkStart w:id="27" w:name="_Toc169846860"/>
      <w:bookmarkStart w:id="28" w:name="_Toc167591479"/>
      <w:bookmarkStart w:id="29" w:name="_Toc245657540"/>
      <w:r>
        <w:rPr>
          <w:rFonts w:hint="eastAsia" w:ascii="宋体" w:hAnsi="宋体" w:eastAsia="宋体" w:cs="宋体"/>
          <w:color w:val="000000"/>
          <w:sz w:val="24"/>
          <w:szCs w:val="24"/>
        </w:rPr>
        <w:t>2.2 合格的货物与服务</w:t>
      </w:r>
    </w:p>
    <w:p w14:paraId="71F97793">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2.2.1 投标所用货物及其有关服务，均应来自上述2.1条款所规定的合格供应商。</w:t>
      </w:r>
    </w:p>
    <w:p w14:paraId="03A882DB">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2.2.2 服务系指文件规定的，投标人须承担的所有相关服务。</w:t>
      </w:r>
    </w:p>
    <w:p w14:paraId="04F09B0D">
      <w:pPr>
        <w:keepNext w:val="0"/>
        <w:keepLines w:val="0"/>
        <w:pageBreakBefore w:val="0"/>
        <w:kinsoku/>
        <w:wordWrap/>
        <w:overflowPunct/>
        <w:topLinePunct w:val="0"/>
        <w:bidi w:val="0"/>
        <w:spacing w:after="191" w:afterLines="50" w:line="240" w:lineRule="auto"/>
        <w:ind w:firstLine="482" w:firstLineChars="200"/>
        <w:rPr>
          <w:rFonts w:hint="eastAsia" w:ascii="宋体" w:hAnsi="宋体" w:eastAsia="宋体" w:cs="宋体"/>
          <w:color w:val="000000"/>
          <w:sz w:val="24"/>
          <w:szCs w:val="24"/>
        </w:rPr>
      </w:pPr>
      <w:r>
        <w:rPr>
          <w:rFonts w:hint="eastAsia" w:ascii="宋体" w:hAnsi="宋体" w:eastAsia="宋体" w:cs="宋体"/>
          <w:b/>
          <w:color w:val="000000"/>
          <w:sz w:val="24"/>
          <w:szCs w:val="24"/>
        </w:rPr>
        <w:t>3．</w:t>
      </w:r>
      <w:r>
        <w:rPr>
          <w:rFonts w:hint="eastAsia" w:ascii="宋体" w:hAnsi="宋体" w:eastAsia="宋体" w:cs="宋体"/>
          <w:b/>
          <w:color w:val="000000"/>
          <w:sz w:val="24"/>
          <w:szCs w:val="24"/>
          <w:lang w:eastAsia="zh-CN"/>
        </w:rPr>
        <w:t>磋商</w:t>
      </w:r>
      <w:r>
        <w:rPr>
          <w:rFonts w:hint="eastAsia" w:ascii="宋体" w:hAnsi="宋体" w:eastAsia="宋体" w:cs="宋体"/>
          <w:b/>
          <w:color w:val="000000"/>
          <w:sz w:val="24"/>
          <w:szCs w:val="24"/>
        </w:rPr>
        <w:t xml:space="preserve">费用    </w:t>
      </w:r>
    </w:p>
    <w:p w14:paraId="59447A08">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投标人应承担所有与准备和参加</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有关的全部费用。</w:t>
      </w:r>
    </w:p>
    <w:p w14:paraId="5917F6F3">
      <w:pPr>
        <w:keepNext w:val="0"/>
        <w:keepLines w:val="0"/>
        <w:pageBreakBefore w:val="0"/>
        <w:kinsoku/>
        <w:wordWrap/>
        <w:overflowPunct/>
        <w:topLinePunct w:val="0"/>
        <w:bidi w:val="0"/>
        <w:spacing w:after="191" w:afterLines="50" w:line="240" w:lineRule="auto"/>
        <w:jc w:val="center"/>
        <w:outlineLvl w:val="1"/>
        <w:rPr>
          <w:rFonts w:hint="eastAsia" w:ascii="宋体" w:hAnsi="宋体" w:eastAsia="宋体" w:cs="宋体"/>
          <w:b/>
          <w:color w:val="000000"/>
          <w:sz w:val="24"/>
          <w:szCs w:val="24"/>
        </w:rPr>
      </w:pPr>
      <w:r>
        <w:rPr>
          <w:rFonts w:hint="eastAsia" w:ascii="宋体" w:hAnsi="宋体" w:eastAsia="宋体" w:cs="宋体"/>
          <w:b/>
          <w:color w:val="000000"/>
          <w:sz w:val="24"/>
          <w:szCs w:val="24"/>
        </w:rPr>
        <w:t>二、</w:t>
      </w:r>
      <w:r>
        <w:rPr>
          <w:rFonts w:hint="eastAsia" w:ascii="宋体" w:hAnsi="宋体" w:eastAsia="宋体" w:cs="宋体"/>
          <w:b/>
          <w:color w:val="000000"/>
          <w:sz w:val="24"/>
          <w:szCs w:val="24"/>
          <w:lang w:eastAsia="zh-CN"/>
        </w:rPr>
        <w:t>磋商</w:t>
      </w:r>
      <w:r>
        <w:rPr>
          <w:rFonts w:hint="eastAsia" w:ascii="宋体" w:hAnsi="宋体" w:eastAsia="宋体" w:cs="宋体"/>
          <w:b/>
          <w:color w:val="000000"/>
          <w:sz w:val="24"/>
          <w:szCs w:val="24"/>
        </w:rPr>
        <w:t>文件</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p w14:paraId="7153C48C">
      <w:pPr>
        <w:keepNext w:val="0"/>
        <w:keepLines w:val="0"/>
        <w:pageBreakBefore w:val="0"/>
        <w:kinsoku/>
        <w:wordWrap/>
        <w:overflowPunct/>
        <w:topLinePunct w:val="0"/>
        <w:bidi w:val="0"/>
        <w:spacing w:after="191" w:afterLines="50" w:line="24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4．</w:t>
      </w:r>
      <w:r>
        <w:rPr>
          <w:rFonts w:hint="eastAsia" w:ascii="宋体" w:hAnsi="宋体" w:eastAsia="宋体" w:cs="宋体"/>
          <w:b/>
          <w:color w:val="000000"/>
          <w:sz w:val="24"/>
          <w:szCs w:val="24"/>
          <w:lang w:eastAsia="zh-CN"/>
        </w:rPr>
        <w:t>磋商</w:t>
      </w:r>
      <w:r>
        <w:rPr>
          <w:rFonts w:hint="eastAsia" w:ascii="宋体" w:hAnsi="宋体" w:eastAsia="宋体" w:cs="宋体"/>
          <w:b/>
          <w:color w:val="000000"/>
          <w:sz w:val="24"/>
          <w:szCs w:val="24"/>
        </w:rPr>
        <w:t>文件构成</w:t>
      </w:r>
    </w:p>
    <w:p w14:paraId="03C32CBB">
      <w:pPr>
        <w:keepNext w:val="0"/>
        <w:keepLines w:val="0"/>
        <w:pageBreakBefore w:val="0"/>
        <w:kinsoku/>
        <w:wordWrap/>
        <w:overflowPunct/>
        <w:topLinePunct w:val="0"/>
        <w:bidi w:val="0"/>
        <w:spacing w:after="191" w:afterLines="50" w:line="240" w:lineRule="auto"/>
        <w:ind w:firstLine="470" w:firstLineChars="196"/>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文件包括下列内容：</w:t>
      </w:r>
    </w:p>
    <w:p w14:paraId="1D344DD8">
      <w:pPr>
        <w:keepNext w:val="0"/>
        <w:keepLines w:val="0"/>
        <w:pageBreakBefore w:val="0"/>
        <w:kinsoku/>
        <w:wordWrap/>
        <w:overflowPunct/>
        <w:topLinePunct w:val="0"/>
        <w:bidi w:val="0"/>
        <w:spacing w:after="191" w:afterLines="50" w:line="240" w:lineRule="auto"/>
        <w:ind w:firstLine="470" w:firstLineChars="19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第一章  </w:t>
      </w:r>
      <w:r>
        <w:rPr>
          <w:rFonts w:hint="eastAsia" w:ascii="宋体" w:hAnsi="宋体" w:eastAsia="宋体" w:cs="宋体"/>
          <w:color w:val="000000"/>
          <w:sz w:val="24"/>
          <w:szCs w:val="24"/>
          <w:lang w:eastAsia="zh-CN"/>
        </w:rPr>
        <w:t>竞争性磋商公告</w:t>
      </w:r>
      <w:r>
        <w:rPr>
          <w:rFonts w:hint="eastAsia" w:ascii="宋体" w:hAnsi="宋体" w:eastAsia="宋体" w:cs="宋体"/>
          <w:color w:val="000000"/>
          <w:sz w:val="24"/>
          <w:szCs w:val="24"/>
        </w:rPr>
        <w:t>；</w:t>
      </w:r>
    </w:p>
    <w:p w14:paraId="70234385">
      <w:pPr>
        <w:keepNext w:val="0"/>
        <w:keepLines w:val="0"/>
        <w:pageBreakBefore w:val="0"/>
        <w:kinsoku/>
        <w:wordWrap/>
        <w:overflowPunct/>
        <w:topLinePunct w:val="0"/>
        <w:bidi w:val="0"/>
        <w:spacing w:after="191" w:afterLines="50" w:line="240" w:lineRule="auto"/>
        <w:ind w:firstLine="470" w:firstLineChars="19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第二章  </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须知；</w:t>
      </w:r>
    </w:p>
    <w:p w14:paraId="16A8E2E3">
      <w:pPr>
        <w:keepNext w:val="0"/>
        <w:keepLines w:val="0"/>
        <w:pageBreakBefore w:val="0"/>
        <w:kinsoku/>
        <w:wordWrap/>
        <w:overflowPunct/>
        <w:topLinePunct w:val="0"/>
        <w:bidi w:val="0"/>
        <w:spacing w:after="191" w:afterLines="50" w:line="240" w:lineRule="auto"/>
        <w:ind w:firstLine="470" w:firstLineChars="196"/>
        <w:rPr>
          <w:rFonts w:hint="eastAsia" w:ascii="宋体" w:hAnsi="宋体" w:eastAsia="宋体" w:cs="宋体"/>
          <w:color w:val="000000"/>
          <w:sz w:val="24"/>
          <w:szCs w:val="24"/>
        </w:rPr>
      </w:pPr>
      <w:r>
        <w:rPr>
          <w:rFonts w:hint="eastAsia" w:ascii="宋体" w:hAnsi="宋体" w:eastAsia="宋体" w:cs="宋体"/>
          <w:color w:val="000000"/>
          <w:sz w:val="24"/>
          <w:szCs w:val="24"/>
        </w:rPr>
        <w:t>第三章  商务及合同主要条款；</w:t>
      </w:r>
    </w:p>
    <w:p w14:paraId="0CC77FF2">
      <w:pPr>
        <w:keepNext w:val="0"/>
        <w:keepLines w:val="0"/>
        <w:pageBreakBefore w:val="0"/>
        <w:kinsoku/>
        <w:wordWrap/>
        <w:overflowPunct/>
        <w:topLinePunct w:val="0"/>
        <w:bidi w:val="0"/>
        <w:spacing w:after="191" w:afterLines="50" w:line="240" w:lineRule="auto"/>
        <w:ind w:firstLine="470" w:firstLineChars="19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第四章  </w:t>
      </w:r>
      <w:r>
        <w:rPr>
          <w:rFonts w:hint="eastAsia" w:ascii="宋体" w:hAnsi="宋体" w:eastAsia="宋体" w:cs="宋体"/>
          <w:color w:val="000000"/>
          <w:sz w:val="24"/>
          <w:szCs w:val="24"/>
          <w:lang w:eastAsia="zh-CN"/>
        </w:rPr>
        <w:t>技术商务要求</w:t>
      </w:r>
      <w:r>
        <w:rPr>
          <w:rFonts w:hint="eastAsia" w:ascii="宋体" w:hAnsi="宋体" w:eastAsia="宋体" w:cs="宋体"/>
          <w:color w:val="000000"/>
          <w:sz w:val="24"/>
          <w:szCs w:val="24"/>
        </w:rPr>
        <w:t>；</w:t>
      </w:r>
    </w:p>
    <w:p w14:paraId="55B49498">
      <w:pPr>
        <w:keepNext w:val="0"/>
        <w:keepLines w:val="0"/>
        <w:pageBreakBefore w:val="0"/>
        <w:kinsoku/>
        <w:wordWrap/>
        <w:overflowPunct/>
        <w:topLinePunct w:val="0"/>
        <w:bidi w:val="0"/>
        <w:spacing w:after="191" w:afterLines="50" w:line="240" w:lineRule="auto"/>
        <w:ind w:firstLine="470" w:firstLineChars="19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第五章  </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响应文件格式。</w:t>
      </w:r>
    </w:p>
    <w:p w14:paraId="128AF586">
      <w:pPr>
        <w:keepNext w:val="0"/>
        <w:keepLines w:val="0"/>
        <w:pageBreakBefore w:val="0"/>
        <w:kinsoku/>
        <w:wordWrap/>
        <w:overflowPunct/>
        <w:topLinePunct w:val="0"/>
        <w:bidi w:val="0"/>
        <w:spacing w:after="191" w:afterLines="50" w:line="24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5．</w:t>
      </w:r>
      <w:r>
        <w:rPr>
          <w:rFonts w:hint="eastAsia" w:ascii="宋体" w:hAnsi="宋体" w:eastAsia="宋体" w:cs="宋体"/>
          <w:b/>
          <w:color w:val="000000"/>
          <w:sz w:val="24"/>
          <w:szCs w:val="24"/>
          <w:lang w:eastAsia="zh-CN"/>
        </w:rPr>
        <w:t>磋商</w:t>
      </w:r>
      <w:r>
        <w:rPr>
          <w:rFonts w:hint="eastAsia" w:ascii="宋体" w:hAnsi="宋体" w:eastAsia="宋体" w:cs="宋体"/>
          <w:b/>
          <w:color w:val="000000"/>
          <w:sz w:val="24"/>
          <w:szCs w:val="24"/>
        </w:rPr>
        <w:t>文件的澄清和修改</w:t>
      </w:r>
    </w:p>
    <w:p w14:paraId="4F044FF3">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kern w:val="0"/>
          <w:sz w:val="24"/>
          <w:szCs w:val="24"/>
        </w:rPr>
      </w:pPr>
      <w:r>
        <w:rPr>
          <w:rFonts w:hint="eastAsia" w:ascii="宋体" w:hAnsi="宋体" w:eastAsia="宋体" w:cs="宋体"/>
          <w:color w:val="000000"/>
          <w:sz w:val="24"/>
          <w:szCs w:val="24"/>
        </w:rPr>
        <w:t>5.1</w:t>
      </w:r>
      <w:r>
        <w:rPr>
          <w:rFonts w:hint="eastAsia" w:ascii="宋体" w:hAnsi="宋体" w:eastAsia="宋体" w:cs="宋体"/>
          <w:color w:val="000000"/>
          <w:kern w:val="0"/>
          <w:sz w:val="24"/>
          <w:szCs w:val="24"/>
        </w:rPr>
        <w:t xml:space="preserve"> </w:t>
      </w:r>
      <w:r>
        <w:rPr>
          <w:rFonts w:hint="eastAsia" w:ascii="宋体" w:hAnsi="宋体" w:eastAsia="宋体" w:cs="宋体"/>
          <w:color w:val="000000"/>
          <w:sz w:val="24"/>
          <w:szCs w:val="24"/>
        </w:rPr>
        <w:t>任何要求对</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文件进行澄清的响应投标人均应在</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响应文件递交截止期3日前以书面形式通知采购代理机构，采购代理机构对投标人所要求澄清的内容以书面形式予以答复。投标人在规定的时间内未要求对</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文件澄清或提出疑问的，将视其为无异议。对</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文件中描述有歧意或前后不一致的地方，</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小组有权进行评判，但对同一条款的评判应适用于每个投标人。</w:t>
      </w:r>
    </w:p>
    <w:p w14:paraId="6CD39A21">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5.2 采购代理机构对</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文件的修改将以书面形式发给所有</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文件收受人，该修改文件将构成</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文件的一部分,对投标人有约束力。投标人在收到通知后应立即以电话、传真或其他书面形式予以确认。</w:t>
      </w:r>
    </w:p>
    <w:p w14:paraId="4564680C">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5.3 在</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过程中，</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文件如有实质性变动的，</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小组应当以书面形式通知所有参加</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的投标人。</w:t>
      </w:r>
    </w:p>
    <w:p w14:paraId="5EF90BFC">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 </w:t>
      </w:r>
      <w:r>
        <w:rPr>
          <w:rFonts w:hint="eastAsia" w:ascii="宋体" w:hAnsi="宋体" w:eastAsia="宋体" w:cs="宋体"/>
          <w:color w:val="000000"/>
          <w:kern w:val="0"/>
          <w:sz w:val="24"/>
          <w:szCs w:val="24"/>
        </w:rPr>
        <w:t>采购单位可以视采购具体情况，延长</w:t>
      </w:r>
      <w:r>
        <w:rPr>
          <w:rFonts w:hint="eastAsia" w:ascii="宋体" w:hAnsi="宋体" w:eastAsia="宋体" w:cs="宋体"/>
          <w:color w:val="000000"/>
          <w:kern w:val="0"/>
          <w:sz w:val="24"/>
          <w:szCs w:val="24"/>
          <w:lang w:eastAsia="zh-CN"/>
        </w:rPr>
        <w:t>磋商</w:t>
      </w:r>
      <w:r>
        <w:rPr>
          <w:rFonts w:hint="eastAsia" w:ascii="宋体" w:hAnsi="宋体" w:eastAsia="宋体" w:cs="宋体"/>
          <w:color w:val="000000"/>
          <w:kern w:val="0"/>
          <w:sz w:val="24"/>
          <w:szCs w:val="24"/>
        </w:rPr>
        <w:t>截止时间和</w:t>
      </w:r>
      <w:r>
        <w:rPr>
          <w:rFonts w:hint="eastAsia" w:ascii="宋体" w:hAnsi="宋体" w:eastAsia="宋体" w:cs="宋体"/>
          <w:color w:val="000000"/>
          <w:kern w:val="0"/>
          <w:sz w:val="24"/>
          <w:szCs w:val="24"/>
          <w:lang w:eastAsia="zh-CN"/>
        </w:rPr>
        <w:t>磋商</w:t>
      </w:r>
      <w:r>
        <w:rPr>
          <w:rFonts w:hint="eastAsia" w:ascii="宋体" w:hAnsi="宋体" w:eastAsia="宋体" w:cs="宋体"/>
          <w:color w:val="000000"/>
          <w:kern w:val="0"/>
          <w:sz w:val="24"/>
          <w:szCs w:val="24"/>
        </w:rPr>
        <w:t>时间，</w:t>
      </w:r>
      <w:r>
        <w:rPr>
          <w:rFonts w:hint="eastAsia" w:ascii="宋体" w:hAnsi="宋体" w:eastAsia="宋体" w:cs="宋体"/>
          <w:color w:val="000000"/>
          <w:sz w:val="24"/>
          <w:szCs w:val="24"/>
        </w:rPr>
        <w:t>并</w:t>
      </w:r>
      <w:r>
        <w:rPr>
          <w:rFonts w:hint="eastAsia" w:ascii="宋体" w:hAnsi="宋体" w:eastAsia="宋体" w:cs="宋体"/>
          <w:color w:val="000000"/>
          <w:kern w:val="0"/>
          <w:sz w:val="24"/>
          <w:szCs w:val="24"/>
        </w:rPr>
        <w:t>将变更时间书面通知所有</w:t>
      </w:r>
      <w:r>
        <w:rPr>
          <w:rFonts w:hint="eastAsia" w:ascii="宋体" w:hAnsi="宋体" w:eastAsia="宋体" w:cs="宋体"/>
          <w:color w:val="000000"/>
          <w:kern w:val="0"/>
          <w:sz w:val="24"/>
          <w:szCs w:val="24"/>
          <w:lang w:eastAsia="zh-CN"/>
        </w:rPr>
        <w:t>磋商</w:t>
      </w:r>
      <w:r>
        <w:rPr>
          <w:rFonts w:hint="eastAsia" w:ascii="宋体" w:hAnsi="宋体" w:eastAsia="宋体" w:cs="宋体"/>
          <w:color w:val="000000"/>
          <w:kern w:val="0"/>
          <w:sz w:val="24"/>
          <w:szCs w:val="24"/>
        </w:rPr>
        <w:t>文件收受人。</w:t>
      </w:r>
    </w:p>
    <w:p w14:paraId="3FCD2732">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文件的解释权归采购人及代理机构。</w:t>
      </w:r>
      <w:bookmarkStart w:id="30" w:name="_Toc173549966"/>
      <w:bookmarkStart w:id="31" w:name="_Toc167590763"/>
      <w:bookmarkStart w:id="32" w:name="_Toc245657541"/>
      <w:bookmarkStart w:id="33" w:name="_Toc207897904"/>
      <w:bookmarkStart w:id="34" w:name="_Toc245658522"/>
      <w:bookmarkStart w:id="35" w:name="_Toc169846764"/>
      <w:bookmarkStart w:id="36" w:name="_Toc208337152"/>
      <w:bookmarkStart w:id="37" w:name="_Toc167849348"/>
      <w:bookmarkStart w:id="38" w:name="_Toc175032425"/>
      <w:bookmarkStart w:id="39" w:name="_Toc167591031"/>
      <w:bookmarkStart w:id="40" w:name="_Toc154482467"/>
      <w:bookmarkStart w:id="41" w:name="_Toc170980540"/>
      <w:bookmarkStart w:id="42" w:name="_Toc244623579"/>
      <w:bookmarkStart w:id="43" w:name="_Toc245176653"/>
      <w:bookmarkStart w:id="44" w:name="_Toc167591132"/>
      <w:bookmarkStart w:id="45" w:name="_Toc170980442"/>
      <w:bookmarkStart w:id="46" w:name="_Toc175033580"/>
      <w:bookmarkStart w:id="47" w:name="_Toc167591318"/>
      <w:bookmarkStart w:id="48" w:name="_Toc167591480"/>
      <w:bookmarkStart w:id="49" w:name="_Toc169846861"/>
      <w:bookmarkStart w:id="50" w:name="_Toc169838520"/>
    </w:p>
    <w:p w14:paraId="25B021E8">
      <w:pPr>
        <w:keepNext w:val="0"/>
        <w:keepLines w:val="0"/>
        <w:pageBreakBefore w:val="0"/>
        <w:kinsoku/>
        <w:wordWrap/>
        <w:overflowPunct/>
        <w:topLinePunct w:val="0"/>
        <w:bidi w:val="0"/>
        <w:spacing w:after="191" w:afterLines="50" w:line="240" w:lineRule="auto"/>
        <w:jc w:val="center"/>
        <w:outlineLvl w:val="1"/>
        <w:rPr>
          <w:rFonts w:hint="eastAsia" w:ascii="宋体" w:hAnsi="宋体" w:eastAsia="宋体" w:cs="宋体"/>
          <w:b/>
          <w:color w:val="000000"/>
          <w:sz w:val="24"/>
          <w:szCs w:val="24"/>
        </w:rPr>
      </w:pPr>
      <w:r>
        <w:rPr>
          <w:rFonts w:hint="eastAsia" w:ascii="宋体" w:hAnsi="宋体" w:eastAsia="宋体" w:cs="宋体"/>
          <w:b/>
          <w:color w:val="000000"/>
          <w:sz w:val="24"/>
          <w:szCs w:val="24"/>
        </w:rPr>
        <w:t>三、</w:t>
      </w:r>
      <w:r>
        <w:rPr>
          <w:rFonts w:hint="eastAsia" w:ascii="宋体" w:hAnsi="宋体" w:eastAsia="宋体" w:cs="宋体"/>
          <w:b/>
          <w:color w:val="000000"/>
          <w:sz w:val="24"/>
          <w:szCs w:val="24"/>
          <w:lang w:eastAsia="zh-CN"/>
        </w:rPr>
        <w:t>磋商</w:t>
      </w:r>
      <w:r>
        <w:rPr>
          <w:rFonts w:hint="eastAsia" w:ascii="宋体" w:hAnsi="宋体" w:eastAsia="宋体" w:cs="宋体"/>
          <w:b/>
          <w:color w:val="000000"/>
          <w:sz w:val="24"/>
          <w:szCs w:val="24"/>
        </w:rPr>
        <w:t>响应文件的编制</w:t>
      </w:r>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p>
    <w:p w14:paraId="5F22B1A4">
      <w:pPr>
        <w:keepNext w:val="0"/>
        <w:keepLines w:val="0"/>
        <w:pageBreakBefore w:val="0"/>
        <w:kinsoku/>
        <w:wordWrap/>
        <w:overflowPunct/>
        <w:topLinePunct w:val="0"/>
        <w:bidi w:val="0"/>
        <w:spacing w:after="191" w:afterLines="50" w:line="24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7．编制要求                    </w:t>
      </w:r>
    </w:p>
    <w:p w14:paraId="140EE2F5">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7.1投标人应认真阅读</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文件的所有内容，严格按照</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文件的要求编制和提供</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响应文件，并保证所提供的全部资料的真实性，使</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响应文件对</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文件作出实质性响应。如果投标人在</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响应文件中没有按照</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文件要求提交全部资料或者</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响应文件没有对</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文件在各方面都做出实质性响应，其</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将被拒绝。</w:t>
      </w:r>
    </w:p>
    <w:p w14:paraId="197657C3">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7.2投标人提交的</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响应文件以及投标人与采购代理机构就有关</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的所有来往函电均应以中文书写。</w:t>
      </w:r>
    </w:p>
    <w:p w14:paraId="76D147F1">
      <w:pPr>
        <w:keepNext w:val="0"/>
        <w:keepLines w:val="0"/>
        <w:pageBreakBefore w:val="0"/>
        <w:kinsoku/>
        <w:wordWrap/>
        <w:overflowPunct/>
        <w:topLinePunct w:val="0"/>
        <w:bidi w:val="0"/>
        <w:spacing w:after="191" w:afterLines="50" w:line="24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8．</w:t>
      </w:r>
      <w:r>
        <w:rPr>
          <w:rFonts w:hint="eastAsia" w:ascii="宋体" w:hAnsi="宋体" w:eastAsia="宋体" w:cs="宋体"/>
          <w:b/>
          <w:color w:val="000000"/>
          <w:sz w:val="24"/>
          <w:szCs w:val="24"/>
          <w:lang w:eastAsia="zh-CN"/>
        </w:rPr>
        <w:t>磋商</w:t>
      </w:r>
      <w:r>
        <w:rPr>
          <w:rFonts w:hint="eastAsia" w:ascii="宋体" w:hAnsi="宋体" w:eastAsia="宋体" w:cs="宋体"/>
          <w:b/>
          <w:color w:val="000000"/>
          <w:sz w:val="24"/>
          <w:szCs w:val="24"/>
        </w:rPr>
        <w:t>响应文件构成和格式</w:t>
      </w:r>
    </w:p>
    <w:p w14:paraId="7416EFDB">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8.1 投标人编写的</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响应文件应包括，但不限于下列部分，请按</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文件提供的相应格式并依照下列顺序编写：</w:t>
      </w:r>
    </w:p>
    <w:p w14:paraId="65E4195C">
      <w:pPr>
        <w:keepNext w:val="0"/>
        <w:keepLines w:val="0"/>
        <w:pageBreakBefore w:val="0"/>
        <w:kinsoku/>
        <w:wordWrap/>
        <w:overflowPunct/>
        <w:topLinePunct w:val="0"/>
        <w:bidi w:val="0"/>
        <w:spacing w:after="191" w:afterLines="50" w:line="240" w:lineRule="auto"/>
        <w:ind w:firstLine="360" w:firstLineChars="15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（一）竞争性磋商响应函</w:t>
      </w:r>
    </w:p>
    <w:p w14:paraId="15AC895F">
      <w:pPr>
        <w:keepNext w:val="0"/>
        <w:keepLines w:val="0"/>
        <w:pageBreakBefore w:val="0"/>
        <w:kinsoku/>
        <w:wordWrap/>
        <w:overflowPunct/>
        <w:topLinePunct w:val="0"/>
        <w:bidi w:val="0"/>
        <w:spacing w:after="191" w:afterLines="50" w:line="240" w:lineRule="auto"/>
        <w:ind w:firstLine="360" w:firstLineChars="15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（二）磋商报价表</w:t>
      </w:r>
    </w:p>
    <w:p w14:paraId="0F9CE727">
      <w:pPr>
        <w:keepNext w:val="0"/>
        <w:keepLines w:val="0"/>
        <w:pageBreakBefore w:val="0"/>
        <w:kinsoku/>
        <w:wordWrap/>
        <w:overflowPunct/>
        <w:topLinePunct w:val="0"/>
        <w:bidi w:val="0"/>
        <w:spacing w:after="191" w:afterLines="50" w:line="240" w:lineRule="auto"/>
        <w:ind w:firstLine="360" w:firstLineChars="15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（三）供应商资格证明文件</w:t>
      </w:r>
    </w:p>
    <w:p w14:paraId="737F2D44">
      <w:pPr>
        <w:keepNext w:val="0"/>
        <w:keepLines w:val="0"/>
        <w:pageBreakBefore w:val="0"/>
        <w:kinsoku/>
        <w:wordWrap/>
        <w:overflowPunct/>
        <w:topLinePunct w:val="0"/>
        <w:bidi w:val="0"/>
        <w:spacing w:after="191" w:afterLines="50" w:line="240" w:lineRule="auto"/>
        <w:ind w:firstLine="360" w:firstLineChars="15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（四）供应商拒绝政府采购领域商业贿赂承诺书</w:t>
      </w:r>
    </w:p>
    <w:p w14:paraId="0E5A3F41">
      <w:pPr>
        <w:keepNext w:val="0"/>
        <w:keepLines w:val="0"/>
        <w:pageBreakBefore w:val="0"/>
        <w:kinsoku/>
        <w:wordWrap/>
        <w:overflowPunct/>
        <w:topLinePunct w:val="0"/>
        <w:bidi w:val="0"/>
        <w:spacing w:after="191" w:afterLines="50" w:line="240" w:lineRule="auto"/>
        <w:ind w:firstLine="360" w:firstLineChars="15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（五）响应方案</w:t>
      </w:r>
    </w:p>
    <w:p w14:paraId="3466A93F">
      <w:pPr>
        <w:keepNext w:val="0"/>
        <w:keepLines w:val="0"/>
        <w:pageBreakBefore w:val="0"/>
        <w:kinsoku/>
        <w:wordWrap/>
        <w:overflowPunct/>
        <w:topLinePunct w:val="0"/>
        <w:bidi w:val="0"/>
        <w:spacing w:after="191" w:afterLines="50" w:line="240" w:lineRule="auto"/>
        <w:ind w:firstLine="360" w:firstLineChars="15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（六）项目业绩一览表</w:t>
      </w:r>
    </w:p>
    <w:p w14:paraId="771AD284">
      <w:pPr>
        <w:keepNext w:val="0"/>
        <w:keepLines w:val="0"/>
        <w:pageBreakBefore w:val="0"/>
        <w:kinsoku/>
        <w:wordWrap/>
        <w:overflowPunct/>
        <w:topLinePunct w:val="0"/>
        <w:autoSpaceDE w:val="0"/>
        <w:autoSpaceDN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8.2 供应商应按照本须知第8.1条的内容及第五章提供的格式编写及签署响应文件，不得缺少</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文件要求填写的表格或提交的资料。未按表格规定制作和签署，将被视为无效投标文件，按不合格处理。</w:t>
      </w:r>
    </w:p>
    <w:p w14:paraId="378E7598">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8.3 供应商应将</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文件按</w:t>
      </w:r>
      <w:r>
        <w:rPr>
          <w:rFonts w:hint="eastAsia" w:ascii="宋体" w:hAnsi="宋体" w:eastAsia="宋体" w:cs="宋体"/>
          <w:color w:val="000000"/>
          <w:sz w:val="24"/>
          <w:szCs w:val="24"/>
        </w:rPr>
        <w:t>本须知第8.1条规定的顺序编排、并应编制目录,逐页加盖原色公章，装订成册。</w:t>
      </w:r>
    </w:p>
    <w:p w14:paraId="7DC6AA03">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报价</w:t>
      </w:r>
    </w:p>
    <w:p w14:paraId="7A60A932">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9.1 投标报价为完成本项目所要求服务的全部内容、中标服务费及国家按现行税收政策征收的一切税费。</w:t>
      </w:r>
    </w:p>
    <w:p w14:paraId="67145375">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9.2 供应商应按照</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采购文件相关要求自行进行</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报价。</w:t>
      </w:r>
    </w:p>
    <w:p w14:paraId="34236672">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9.3 凡因磋商单位对磋商文件阅读不深、理解不透、误解、疏漏或因市场行情了解不清造成的后果和风险均由磋商单位自负。</w:t>
      </w:r>
    </w:p>
    <w:p w14:paraId="4D13BD2B">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9.4 所有根据合同或其它原因应由磋商单位支付的税款和其它</w:t>
      </w:r>
      <w:r>
        <w:rPr>
          <w:rFonts w:hint="eastAsia" w:ascii="宋体" w:hAnsi="宋体" w:eastAsia="宋体" w:cs="宋体"/>
          <w:color w:val="auto"/>
          <w:sz w:val="24"/>
          <w:szCs w:val="24"/>
          <w:lang w:val="en-US" w:eastAsia="zh-CN"/>
        </w:rPr>
        <w:t>应缴纳</w:t>
      </w:r>
      <w:r>
        <w:rPr>
          <w:rFonts w:hint="eastAsia" w:ascii="宋体" w:hAnsi="宋体" w:eastAsia="宋体" w:cs="宋体"/>
          <w:color w:val="000000"/>
          <w:sz w:val="24"/>
          <w:szCs w:val="24"/>
          <w:lang w:val="en-US" w:eastAsia="zh-CN"/>
        </w:rPr>
        <w:t>的费用都要包括在磋商单位提交的磋商报价中。</w:t>
      </w:r>
    </w:p>
    <w:p w14:paraId="14E402E6">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9.5 磋商单位所报的磋商价在合同执行过程中是固定不变的，不得以任何理由予以变更。任何包含价格调整要求的磋商，将被认为是非响应性磋商而按废标处理。</w:t>
      </w:r>
    </w:p>
    <w:p w14:paraId="0AD480DA">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9.6 踏勘现场</w:t>
      </w:r>
    </w:p>
    <w:p w14:paraId="77C83457">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9.6.1 经采购人允许，供应商可以踏勘为目的进入项目现场，但供应商不得因此使采购人承担有关的责任和蒙受损失。供应商应承担踏勘现场的责任和风险。</w:t>
      </w:r>
    </w:p>
    <w:p w14:paraId="2E42CCCB">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9.6.2 由供应商自行现场踏勘，供应商将需澄清的问题以书面形式提交，采购代理机构、采购人对供应商提出的问题或现场踏勘的问题进行答复，形成答疑纪要发送供应商。供应商承担踏勘现场所发生的自身费用。</w:t>
      </w:r>
    </w:p>
    <w:p w14:paraId="3E64515E">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9.6.3 采购人和采购代理机构向</w:t>
      </w:r>
      <w:r>
        <w:rPr>
          <w:rFonts w:hint="eastAsia" w:ascii="宋体" w:hAnsi="宋体" w:eastAsia="宋体" w:cs="宋体"/>
          <w:color w:val="auto"/>
          <w:sz w:val="24"/>
          <w:szCs w:val="24"/>
          <w:lang w:val="en-US" w:eastAsia="zh-CN"/>
        </w:rPr>
        <w:t>供应商提供的有关现场的数据和资料，</w:t>
      </w:r>
      <w:r>
        <w:rPr>
          <w:rFonts w:hint="eastAsia" w:ascii="宋体" w:hAnsi="宋体" w:eastAsia="宋体" w:cs="宋体"/>
          <w:color w:val="000000"/>
          <w:sz w:val="24"/>
          <w:szCs w:val="24"/>
          <w:lang w:val="en-US" w:eastAsia="zh-CN"/>
        </w:rPr>
        <w:t>是现有的能被供应商利用的资料，采购人和采购代理机构对供应商做出的任何推论、理解和结论均不承担责任。</w:t>
      </w:r>
    </w:p>
    <w:p w14:paraId="41FB40AD">
      <w:pPr>
        <w:keepNext w:val="0"/>
        <w:keepLines w:val="0"/>
        <w:pageBreakBefore w:val="0"/>
        <w:kinsoku/>
        <w:wordWrap/>
        <w:overflowPunct/>
        <w:topLinePunct w:val="0"/>
        <w:bidi w:val="0"/>
        <w:spacing w:after="191" w:afterLines="50" w:line="240" w:lineRule="auto"/>
        <w:ind w:firstLine="482" w:firstLineChars="20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9.</w:t>
      </w:r>
      <w:r>
        <w:rPr>
          <w:rFonts w:hint="eastAsia" w:ascii="宋体" w:hAnsi="宋体" w:eastAsia="宋体" w:cs="宋体"/>
          <w:b/>
          <w:bCs/>
          <w:color w:val="000000"/>
          <w:sz w:val="24"/>
          <w:szCs w:val="24"/>
          <w:lang w:val="en-US" w:eastAsia="zh-CN"/>
        </w:rPr>
        <w:t>7</w:t>
      </w:r>
      <w:r>
        <w:rPr>
          <w:rFonts w:hint="eastAsia" w:ascii="宋体" w:hAnsi="宋体" w:eastAsia="宋体" w:cs="宋体"/>
          <w:b/>
          <w:bCs/>
          <w:color w:val="000000"/>
          <w:sz w:val="24"/>
          <w:szCs w:val="24"/>
        </w:rPr>
        <w:t xml:space="preserve"> 本项目</w:t>
      </w:r>
      <w:r>
        <w:rPr>
          <w:rFonts w:hint="eastAsia" w:ascii="宋体" w:hAnsi="宋体" w:eastAsia="宋体" w:cs="宋体"/>
          <w:b/>
          <w:bCs/>
          <w:color w:val="000000"/>
          <w:sz w:val="24"/>
          <w:szCs w:val="24"/>
          <w:lang w:val="en-US" w:eastAsia="zh-CN"/>
        </w:rPr>
        <w:t>最高限价</w:t>
      </w:r>
      <w:r>
        <w:rPr>
          <w:rFonts w:hint="eastAsia" w:ascii="宋体" w:hAnsi="宋体" w:eastAsia="宋体" w:cs="宋体"/>
          <w:b/>
          <w:bCs/>
          <w:color w:val="000000"/>
          <w:sz w:val="24"/>
          <w:szCs w:val="24"/>
        </w:rPr>
        <w:t>为：</w:t>
      </w:r>
      <w:r>
        <w:rPr>
          <w:rFonts w:hint="eastAsia" w:ascii="宋体" w:hAnsi="宋体" w:eastAsia="宋体" w:cs="宋体"/>
          <w:b/>
          <w:bCs/>
          <w:color w:val="auto"/>
          <w:sz w:val="24"/>
          <w:szCs w:val="24"/>
          <w:lang w:val="en-US" w:eastAsia="zh-CN"/>
        </w:rPr>
        <w:t xml:space="preserve">贰拾贰万 </w:t>
      </w:r>
      <w:r>
        <w:rPr>
          <w:rFonts w:hint="eastAsia" w:ascii="宋体" w:hAnsi="宋体" w:eastAsia="宋体" w:cs="宋体"/>
          <w:b/>
          <w:bCs/>
          <w:color w:val="auto"/>
          <w:sz w:val="24"/>
          <w:szCs w:val="24"/>
        </w:rPr>
        <w:t>￥</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220,000.00</w:t>
      </w:r>
      <w:r>
        <w:rPr>
          <w:rFonts w:hint="eastAsia" w:ascii="宋体" w:hAnsi="宋体" w:eastAsia="宋体" w:cs="宋体"/>
          <w:b/>
          <w:bCs/>
          <w:color w:val="auto"/>
          <w:sz w:val="24"/>
          <w:szCs w:val="24"/>
        </w:rPr>
        <w:t>元</w:t>
      </w:r>
      <w:r>
        <w:rPr>
          <w:rFonts w:hint="eastAsia" w:ascii="宋体" w:hAnsi="宋体" w:eastAsia="宋体" w:cs="宋体"/>
          <w:b/>
          <w:bCs/>
          <w:color w:val="000000"/>
          <w:sz w:val="24"/>
          <w:szCs w:val="24"/>
        </w:rPr>
        <w:t>，</w:t>
      </w:r>
      <w:r>
        <w:rPr>
          <w:rFonts w:hint="eastAsia" w:ascii="宋体" w:hAnsi="宋体" w:eastAsia="宋体" w:cs="宋体"/>
          <w:b/>
          <w:bCs/>
          <w:color w:val="000000"/>
          <w:sz w:val="24"/>
          <w:szCs w:val="24"/>
          <w:lang w:eastAsia="zh-CN"/>
        </w:rPr>
        <w:t>磋商</w:t>
      </w:r>
      <w:r>
        <w:rPr>
          <w:rFonts w:hint="eastAsia" w:ascii="宋体" w:hAnsi="宋体" w:eastAsia="宋体" w:cs="宋体"/>
          <w:b/>
          <w:bCs/>
          <w:color w:val="000000"/>
          <w:sz w:val="24"/>
          <w:szCs w:val="24"/>
        </w:rPr>
        <w:t>报价大于或等于本采购预算则按废标处理。</w:t>
      </w:r>
    </w:p>
    <w:p w14:paraId="7FDB7A5F">
      <w:pPr>
        <w:keepNext w:val="0"/>
        <w:keepLines w:val="0"/>
        <w:pageBreakBefore w:val="0"/>
        <w:kinsoku/>
        <w:wordWrap/>
        <w:overflowPunct/>
        <w:topLinePunct w:val="0"/>
        <w:bidi w:val="0"/>
        <w:spacing w:after="191" w:afterLines="50" w:line="240" w:lineRule="auto"/>
        <w:ind w:firstLine="482" w:firstLineChars="200"/>
        <w:rPr>
          <w:rFonts w:hint="eastAsia" w:ascii="宋体" w:hAnsi="宋体" w:eastAsia="宋体" w:cs="宋体"/>
          <w:color w:val="000000"/>
          <w:sz w:val="24"/>
          <w:szCs w:val="24"/>
        </w:rPr>
      </w:pPr>
      <w:r>
        <w:rPr>
          <w:rFonts w:hint="eastAsia" w:ascii="宋体" w:hAnsi="宋体" w:eastAsia="宋体" w:cs="宋体"/>
          <w:b/>
          <w:bCs/>
          <w:color w:val="000000"/>
          <w:sz w:val="24"/>
          <w:szCs w:val="24"/>
        </w:rPr>
        <w:t>9.</w:t>
      </w:r>
      <w:r>
        <w:rPr>
          <w:rFonts w:hint="eastAsia" w:ascii="宋体" w:hAnsi="宋体" w:eastAsia="宋体" w:cs="宋体"/>
          <w:b/>
          <w:bCs/>
          <w:color w:val="000000"/>
          <w:sz w:val="24"/>
          <w:szCs w:val="24"/>
          <w:lang w:val="en-US" w:eastAsia="zh-CN"/>
        </w:rPr>
        <w:t>8</w:t>
      </w:r>
      <w:r>
        <w:rPr>
          <w:rFonts w:hint="eastAsia" w:ascii="宋体" w:hAnsi="宋体" w:eastAsia="宋体" w:cs="宋体"/>
          <w:b/>
          <w:bCs/>
          <w:color w:val="000000"/>
          <w:sz w:val="24"/>
          <w:szCs w:val="24"/>
        </w:rPr>
        <w:t xml:space="preserve"> 供应商不得以低于成本的报价参加</w:t>
      </w:r>
      <w:r>
        <w:rPr>
          <w:rFonts w:hint="eastAsia" w:ascii="宋体" w:hAnsi="宋体" w:eastAsia="宋体" w:cs="宋体"/>
          <w:b/>
          <w:bCs/>
          <w:color w:val="000000"/>
          <w:sz w:val="24"/>
          <w:szCs w:val="24"/>
          <w:lang w:eastAsia="zh-CN"/>
        </w:rPr>
        <w:t>磋商</w:t>
      </w:r>
      <w:r>
        <w:rPr>
          <w:rFonts w:hint="eastAsia" w:ascii="宋体" w:hAnsi="宋体" w:eastAsia="宋体" w:cs="宋体"/>
          <w:b/>
          <w:bCs/>
          <w:color w:val="000000"/>
          <w:sz w:val="24"/>
          <w:szCs w:val="24"/>
        </w:rPr>
        <w:t>，供应商的投标报价明显低于其他供应商的报价，经</w:t>
      </w:r>
      <w:r>
        <w:rPr>
          <w:rFonts w:hint="eastAsia" w:ascii="宋体" w:hAnsi="宋体" w:eastAsia="宋体" w:cs="宋体"/>
          <w:b/>
          <w:bCs/>
          <w:color w:val="000000"/>
          <w:sz w:val="24"/>
          <w:szCs w:val="24"/>
          <w:lang w:eastAsia="zh-CN"/>
        </w:rPr>
        <w:t>磋商</w:t>
      </w:r>
      <w:r>
        <w:rPr>
          <w:rFonts w:hint="eastAsia" w:ascii="宋体" w:hAnsi="宋体" w:eastAsia="宋体" w:cs="宋体"/>
          <w:b/>
          <w:bCs/>
          <w:color w:val="000000"/>
          <w:sz w:val="24"/>
          <w:szCs w:val="24"/>
        </w:rPr>
        <w:t>小组质询后不能在规定时间内说明理由，或说明理由经</w:t>
      </w:r>
      <w:r>
        <w:rPr>
          <w:rFonts w:hint="eastAsia" w:ascii="宋体" w:hAnsi="宋体" w:eastAsia="宋体" w:cs="宋体"/>
          <w:b/>
          <w:bCs/>
          <w:color w:val="000000"/>
          <w:sz w:val="24"/>
          <w:szCs w:val="24"/>
          <w:lang w:eastAsia="zh-CN"/>
        </w:rPr>
        <w:t>磋商</w:t>
      </w:r>
      <w:r>
        <w:rPr>
          <w:rFonts w:hint="eastAsia" w:ascii="宋体" w:hAnsi="宋体" w:eastAsia="宋体" w:cs="宋体"/>
          <w:b/>
          <w:bCs/>
          <w:color w:val="000000"/>
          <w:sz w:val="24"/>
          <w:szCs w:val="24"/>
        </w:rPr>
        <w:t>小组认为不成立，则按无效标处理。</w:t>
      </w:r>
    </w:p>
    <w:p w14:paraId="347828AC">
      <w:pPr>
        <w:keepNext w:val="0"/>
        <w:keepLines w:val="0"/>
        <w:pageBreakBefore w:val="0"/>
        <w:kinsoku/>
        <w:wordWrap/>
        <w:overflowPunct/>
        <w:topLinePunct w:val="0"/>
        <w:bidi w:val="0"/>
        <w:spacing w:after="191" w:afterLines="50" w:line="24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10．</w:t>
      </w:r>
      <w:r>
        <w:rPr>
          <w:rFonts w:hint="eastAsia" w:ascii="宋体" w:hAnsi="宋体" w:eastAsia="宋体" w:cs="宋体"/>
          <w:b/>
          <w:color w:val="000000"/>
          <w:sz w:val="24"/>
          <w:szCs w:val="24"/>
          <w:lang w:eastAsia="zh-CN"/>
        </w:rPr>
        <w:t>磋商</w:t>
      </w:r>
      <w:r>
        <w:rPr>
          <w:rFonts w:hint="eastAsia" w:ascii="宋体" w:hAnsi="宋体" w:eastAsia="宋体" w:cs="宋体"/>
          <w:b/>
          <w:color w:val="000000"/>
          <w:sz w:val="24"/>
          <w:szCs w:val="24"/>
        </w:rPr>
        <w:t>货币</w:t>
      </w:r>
    </w:p>
    <w:p w14:paraId="5C776BD4">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10.1 供应商提供的服务一律以人民币报价。</w:t>
      </w:r>
    </w:p>
    <w:p w14:paraId="21892A42">
      <w:pPr>
        <w:keepNext w:val="0"/>
        <w:keepLines w:val="0"/>
        <w:pageBreakBefore w:val="0"/>
        <w:kinsoku/>
        <w:wordWrap/>
        <w:overflowPunct/>
        <w:topLinePunct w:val="0"/>
        <w:bidi w:val="0"/>
        <w:spacing w:after="191" w:afterLines="50" w:line="240" w:lineRule="auto"/>
        <w:ind w:firstLine="482" w:firstLineChars="200"/>
        <w:textAlignment w:val="auto"/>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rPr>
        <w:t>11．</w:t>
      </w:r>
      <w:r>
        <w:rPr>
          <w:rFonts w:hint="eastAsia" w:ascii="宋体" w:hAnsi="宋体" w:eastAsia="宋体" w:cs="宋体"/>
          <w:b/>
          <w:color w:val="000000"/>
          <w:sz w:val="24"/>
          <w:szCs w:val="24"/>
          <w:lang w:val="en-US" w:eastAsia="zh-CN"/>
        </w:rPr>
        <w:t>磋商保证金</w:t>
      </w:r>
    </w:p>
    <w:p w14:paraId="1690C75C">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11.1本项目不要求投标保证金</w:t>
      </w:r>
      <w:r>
        <w:rPr>
          <w:rFonts w:hint="eastAsia" w:ascii="宋体" w:hAnsi="宋体" w:eastAsia="宋体" w:cs="宋体"/>
          <w:color w:val="000000"/>
          <w:sz w:val="24"/>
          <w:szCs w:val="24"/>
        </w:rPr>
        <w:t>。</w:t>
      </w:r>
    </w:p>
    <w:p w14:paraId="4C89FB46">
      <w:pPr>
        <w:keepNext w:val="0"/>
        <w:keepLines w:val="0"/>
        <w:pageBreakBefore w:val="0"/>
        <w:kinsoku/>
        <w:wordWrap/>
        <w:overflowPunct/>
        <w:topLinePunct w:val="0"/>
        <w:autoSpaceDE w:val="0"/>
        <w:autoSpaceDN w:val="0"/>
        <w:bidi w:val="0"/>
        <w:spacing w:after="191" w:afterLines="50" w:line="24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12．</w:t>
      </w:r>
      <w:r>
        <w:rPr>
          <w:rFonts w:hint="eastAsia" w:ascii="宋体" w:hAnsi="宋体" w:eastAsia="宋体" w:cs="宋体"/>
          <w:b/>
          <w:color w:val="000000"/>
          <w:sz w:val="24"/>
          <w:szCs w:val="24"/>
          <w:lang w:eastAsia="zh-CN"/>
        </w:rPr>
        <w:t>磋商</w:t>
      </w:r>
      <w:r>
        <w:rPr>
          <w:rFonts w:hint="eastAsia" w:ascii="宋体" w:hAnsi="宋体" w:eastAsia="宋体" w:cs="宋体"/>
          <w:b/>
          <w:color w:val="000000"/>
          <w:sz w:val="24"/>
          <w:szCs w:val="24"/>
        </w:rPr>
        <w:t>有效期</w:t>
      </w:r>
    </w:p>
    <w:p w14:paraId="33F0D14B">
      <w:pPr>
        <w:keepNext w:val="0"/>
        <w:keepLines w:val="0"/>
        <w:pageBreakBefore w:val="0"/>
        <w:kinsoku/>
        <w:wordWrap/>
        <w:overflowPunct/>
        <w:topLinePunct w:val="0"/>
        <w:autoSpaceDE w:val="0"/>
        <w:autoSpaceDN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 </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有效期为</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之日起</w:t>
      </w:r>
      <w:r>
        <w:rPr>
          <w:rFonts w:hint="eastAsia" w:ascii="宋体" w:hAnsi="宋体" w:eastAsia="宋体" w:cs="宋体"/>
          <w:color w:val="000000"/>
          <w:sz w:val="24"/>
          <w:szCs w:val="24"/>
          <w:lang w:val="en-US" w:eastAsia="zh-CN"/>
        </w:rPr>
        <w:t>九</w:t>
      </w:r>
      <w:r>
        <w:rPr>
          <w:rFonts w:hint="eastAsia" w:ascii="宋体" w:hAnsi="宋体" w:eastAsia="宋体" w:cs="宋体"/>
          <w:color w:val="000000"/>
          <w:sz w:val="24"/>
          <w:szCs w:val="24"/>
        </w:rPr>
        <w:t>十（</w:t>
      </w:r>
      <w:r>
        <w:rPr>
          <w:rFonts w:hint="eastAsia" w:ascii="宋体" w:hAnsi="宋体" w:eastAsia="宋体" w:cs="宋体"/>
          <w:color w:val="000000"/>
          <w:sz w:val="24"/>
          <w:szCs w:val="24"/>
          <w:lang w:val="en-US" w:eastAsia="zh-CN"/>
        </w:rPr>
        <w:t>90</w:t>
      </w:r>
      <w:r>
        <w:rPr>
          <w:rFonts w:hint="eastAsia" w:ascii="宋体" w:hAnsi="宋体" w:eastAsia="宋体" w:cs="宋体"/>
          <w:color w:val="000000"/>
          <w:sz w:val="24"/>
          <w:szCs w:val="24"/>
        </w:rPr>
        <w:t>）个日历日（成交供应商的</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响应文件有效期与合同有效期一致）。投标人的</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有效期比</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文件规定短的将被视为非响应性</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而予以拒绝。</w:t>
      </w:r>
    </w:p>
    <w:p w14:paraId="1E583BA8">
      <w:pPr>
        <w:keepNext w:val="0"/>
        <w:keepLines w:val="0"/>
        <w:pageBreakBefore w:val="0"/>
        <w:kinsoku/>
        <w:wordWrap/>
        <w:overflowPunct/>
        <w:topLinePunct w:val="0"/>
        <w:autoSpaceDE w:val="0"/>
        <w:autoSpaceDN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12.2 在特殊情况下，在原</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有效期期满之前，招标采购单位可征得供应商同意延长</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有效期。这种要求与答复均应为书面形式提交。</w:t>
      </w:r>
    </w:p>
    <w:p w14:paraId="7D82375A">
      <w:pPr>
        <w:keepNext w:val="0"/>
        <w:keepLines w:val="0"/>
        <w:pageBreakBefore w:val="0"/>
        <w:kinsoku/>
        <w:wordWrap/>
        <w:overflowPunct/>
        <w:topLinePunct w:val="0"/>
        <w:autoSpaceDE w:val="0"/>
        <w:autoSpaceDN w:val="0"/>
        <w:bidi w:val="0"/>
        <w:spacing w:after="191" w:afterLines="50" w:line="24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13．</w:t>
      </w:r>
      <w:r>
        <w:rPr>
          <w:rFonts w:hint="eastAsia" w:ascii="宋体" w:hAnsi="宋体" w:eastAsia="宋体" w:cs="宋体"/>
          <w:b/>
          <w:color w:val="000000"/>
          <w:sz w:val="24"/>
          <w:szCs w:val="24"/>
          <w:lang w:eastAsia="zh-CN"/>
        </w:rPr>
        <w:t>磋商</w:t>
      </w:r>
      <w:r>
        <w:rPr>
          <w:rFonts w:hint="eastAsia" w:ascii="宋体" w:hAnsi="宋体" w:eastAsia="宋体" w:cs="宋体"/>
          <w:b/>
          <w:color w:val="000000"/>
          <w:sz w:val="24"/>
          <w:szCs w:val="24"/>
        </w:rPr>
        <w:t>响应文件的制作和签署</w:t>
      </w:r>
    </w:p>
    <w:p w14:paraId="7B825CA2">
      <w:pPr>
        <w:keepNext w:val="0"/>
        <w:keepLines w:val="0"/>
        <w:pageBreakBefore w:val="0"/>
        <w:kinsoku/>
        <w:wordWrap/>
        <w:overflowPunct/>
        <w:topLinePunct w:val="0"/>
        <w:bidi w:val="0"/>
        <w:spacing w:after="191" w:afterLines="50" w:line="240" w:lineRule="auto"/>
        <w:ind w:firstLine="480"/>
        <w:rPr>
          <w:rFonts w:hint="eastAsia" w:ascii="宋体" w:hAnsi="宋体" w:eastAsia="宋体" w:cs="宋体"/>
          <w:color w:val="000000"/>
          <w:sz w:val="24"/>
          <w:szCs w:val="24"/>
        </w:rPr>
      </w:pPr>
      <w:bookmarkStart w:id="51" w:name="_Toc244623580"/>
      <w:bookmarkStart w:id="52" w:name="_Toc245658523"/>
      <w:bookmarkStart w:id="53" w:name="_Toc170980443"/>
      <w:bookmarkStart w:id="54" w:name="_Toc167591319"/>
      <w:bookmarkStart w:id="55" w:name="_Toc175033581"/>
      <w:bookmarkStart w:id="56" w:name="_Toc245657542"/>
      <w:bookmarkStart w:id="57" w:name="_Toc167591032"/>
      <w:bookmarkStart w:id="58" w:name="_Toc167849349"/>
      <w:bookmarkStart w:id="59" w:name="_Toc167590764"/>
      <w:bookmarkStart w:id="60" w:name="_Toc207897905"/>
      <w:bookmarkStart w:id="61" w:name="_Toc208337153"/>
      <w:bookmarkStart w:id="62" w:name="_Toc245176654"/>
      <w:bookmarkStart w:id="63" w:name="_Toc167591481"/>
      <w:bookmarkStart w:id="64" w:name="_Toc154482468"/>
      <w:bookmarkStart w:id="65" w:name="_Toc167591133"/>
      <w:bookmarkStart w:id="66" w:name="_Toc170980541"/>
      <w:bookmarkStart w:id="67" w:name="_Toc169846862"/>
      <w:bookmarkStart w:id="68" w:name="_Toc173549967"/>
      <w:bookmarkStart w:id="69" w:name="_Toc169838521"/>
      <w:bookmarkStart w:id="70" w:name="_Toc175032426"/>
      <w:bookmarkStart w:id="71" w:name="_Toc169846765"/>
      <w:r>
        <w:rPr>
          <w:rFonts w:hint="eastAsia" w:ascii="宋体" w:hAnsi="宋体" w:eastAsia="宋体" w:cs="宋体"/>
          <w:color w:val="000000"/>
          <w:sz w:val="24"/>
          <w:szCs w:val="24"/>
        </w:rPr>
        <w:t>13.1 投标人应提交</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响应文件正本1份和</w:t>
      </w:r>
      <w:r>
        <w:rPr>
          <w:rFonts w:hint="eastAsia" w:ascii="宋体" w:hAnsi="宋体" w:eastAsia="宋体" w:cs="宋体"/>
          <w:color w:val="000000"/>
          <w:sz w:val="24"/>
          <w:szCs w:val="24"/>
          <w:lang w:eastAsia="zh-CN"/>
        </w:rPr>
        <w:t>副本1份</w:t>
      </w:r>
      <w:r>
        <w:rPr>
          <w:rFonts w:hint="eastAsia" w:ascii="宋体" w:hAnsi="宋体" w:eastAsia="宋体" w:cs="宋体"/>
          <w:color w:val="000000"/>
          <w:sz w:val="24"/>
          <w:szCs w:val="24"/>
        </w:rPr>
        <w:t>、电子版(U盘）1份且与文字版一致。每套</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响应文件须清楚地标明“正本”、“副本”。一旦正本和副本不符，以正本为准。</w:t>
      </w:r>
    </w:p>
    <w:p w14:paraId="24698B59">
      <w:pPr>
        <w:keepNext w:val="0"/>
        <w:keepLines w:val="0"/>
        <w:pageBreakBefore w:val="0"/>
        <w:kinsoku/>
        <w:wordWrap/>
        <w:overflowPunct/>
        <w:topLinePunct w:val="0"/>
        <w:bidi w:val="0"/>
        <w:spacing w:after="191" w:afterLines="50" w:line="24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 </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响应文件应加盖供应商公章</w:t>
      </w:r>
      <w:r>
        <w:rPr>
          <w:rFonts w:hint="eastAsia" w:ascii="宋体" w:hAnsi="宋体" w:eastAsia="宋体" w:cs="宋体"/>
          <w:color w:val="000000"/>
          <w:sz w:val="24"/>
          <w:szCs w:val="24"/>
          <w:lang w:eastAsia="zh-CN"/>
        </w:rPr>
        <w:t>和法人或委托人签字或盖章</w:t>
      </w:r>
      <w:r>
        <w:rPr>
          <w:rFonts w:hint="eastAsia" w:ascii="宋体" w:hAnsi="宋体" w:eastAsia="宋体" w:cs="宋体"/>
          <w:color w:val="000000"/>
          <w:sz w:val="24"/>
          <w:szCs w:val="24"/>
        </w:rPr>
        <w:t>。由委托代理人签字或盖章的，在</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响应文件中须同时提交法定代表人授权委托书。</w:t>
      </w:r>
    </w:p>
    <w:p w14:paraId="7F2A3E40">
      <w:pPr>
        <w:keepNext w:val="0"/>
        <w:keepLines w:val="0"/>
        <w:pageBreakBefore w:val="0"/>
        <w:kinsoku/>
        <w:wordWrap/>
        <w:overflowPunct/>
        <w:topLinePunct w:val="0"/>
        <w:autoSpaceDE w:val="0"/>
        <w:autoSpaceDN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 </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响应文件的正本和副本应分别单独采用A4纸单面胶粘装订成册，装订应牢固，不易拆散，不得夹页、换页，不得采用活页装订，应编制目录，逐页标注连续页码，字迹应清晰易于辨认，文件编制应符合8.1至8.</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项要求。</w:t>
      </w:r>
    </w:p>
    <w:p w14:paraId="72B4C0B6">
      <w:pPr>
        <w:keepNext w:val="0"/>
        <w:keepLines w:val="0"/>
        <w:pageBreakBefore w:val="0"/>
        <w:kinsoku/>
        <w:wordWrap/>
        <w:overflowPunct/>
        <w:topLinePunct w:val="0"/>
        <w:autoSpaceDE w:val="0"/>
        <w:autoSpaceDN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13.4 除投标人对</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响应文件错处做必要修改外，</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响应文件不得行间插字、涂改和增删，如有修改错漏处，必须由投标人的法人或其授权代表在修改处签字后才有效。</w:t>
      </w:r>
    </w:p>
    <w:p w14:paraId="77E18964">
      <w:pPr>
        <w:keepNext w:val="0"/>
        <w:keepLines w:val="0"/>
        <w:pageBreakBefore w:val="0"/>
        <w:kinsoku/>
        <w:wordWrap/>
        <w:overflowPunct/>
        <w:topLinePunct w:val="0"/>
        <w:autoSpaceDE w:val="0"/>
        <w:autoSpaceDN w:val="0"/>
        <w:bidi w:val="0"/>
        <w:spacing w:after="191" w:afterLines="50" w:line="240" w:lineRule="auto"/>
        <w:ind w:firstLine="482" w:firstLineChars="200"/>
        <w:rPr>
          <w:rFonts w:hint="eastAsia" w:ascii="宋体" w:hAnsi="宋体" w:eastAsia="宋体" w:cs="宋体"/>
          <w:color w:val="000000"/>
          <w:sz w:val="24"/>
          <w:szCs w:val="24"/>
        </w:rPr>
      </w:pPr>
      <w:r>
        <w:rPr>
          <w:rFonts w:hint="eastAsia" w:ascii="宋体" w:hAnsi="宋体" w:eastAsia="宋体" w:cs="宋体"/>
          <w:b/>
          <w:color w:val="000000"/>
          <w:sz w:val="24"/>
          <w:szCs w:val="24"/>
        </w:rPr>
        <w:t>13.5</w:t>
      </w:r>
      <w:r>
        <w:rPr>
          <w:rFonts w:hint="eastAsia" w:ascii="宋体" w:hAnsi="宋体" w:eastAsia="宋体" w:cs="宋体"/>
          <w:b/>
          <w:color w:val="000000"/>
          <w:sz w:val="24"/>
          <w:szCs w:val="24"/>
          <w:lang w:val="en-US" w:eastAsia="zh-CN"/>
        </w:rPr>
        <w:t xml:space="preserve"> </w:t>
      </w:r>
      <w:r>
        <w:rPr>
          <w:rFonts w:hint="eastAsia" w:ascii="宋体" w:hAnsi="宋体" w:eastAsia="宋体" w:cs="宋体"/>
          <w:b/>
          <w:color w:val="000000"/>
          <w:sz w:val="24"/>
          <w:szCs w:val="24"/>
        </w:rPr>
        <w:t>因投标单位表述不清所引起的后果由投标单位负责。</w:t>
      </w:r>
    </w:p>
    <w:p w14:paraId="31BFC9DB">
      <w:pPr>
        <w:keepNext w:val="0"/>
        <w:keepLines w:val="0"/>
        <w:pageBreakBefore w:val="0"/>
        <w:kinsoku/>
        <w:wordWrap/>
        <w:overflowPunct/>
        <w:topLinePunct w:val="0"/>
        <w:bidi w:val="0"/>
        <w:snapToGrid w:val="0"/>
        <w:spacing w:after="191" w:afterLines="50" w:line="240" w:lineRule="auto"/>
        <w:jc w:val="center"/>
        <w:outlineLvl w:val="1"/>
        <w:rPr>
          <w:rFonts w:hint="eastAsia" w:ascii="宋体" w:hAnsi="宋体" w:eastAsia="宋体" w:cs="宋体"/>
          <w:b/>
          <w:color w:val="000000"/>
          <w:sz w:val="24"/>
          <w:szCs w:val="24"/>
        </w:rPr>
      </w:pPr>
      <w:r>
        <w:rPr>
          <w:rFonts w:hint="eastAsia" w:ascii="宋体" w:hAnsi="宋体" w:eastAsia="宋体" w:cs="宋体"/>
          <w:b/>
          <w:color w:val="000000"/>
          <w:sz w:val="24"/>
          <w:szCs w:val="24"/>
        </w:rPr>
        <w:t>四、</w:t>
      </w:r>
      <w:r>
        <w:rPr>
          <w:rFonts w:hint="eastAsia" w:ascii="宋体" w:hAnsi="宋体" w:eastAsia="宋体" w:cs="宋体"/>
          <w:b/>
          <w:color w:val="000000"/>
          <w:sz w:val="24"/>
          <w:szCs w:val="24"/>
          <w:lang w:eastAsia="zh-CN"/>
        </w:rPr>
        <w:t>磋商</w:t>
      </w:r>
      <w:r>
        <w:rPr>
          <w:rFonts w:hint="eastAsia" w:ascii="宋体" w:hAnsi="宋体" w:eastAsia="宋体" w:cs="宋体"/>
          <w:b/>
          <w:color w:val="000000"/>
          <w:sz w:val="24"/>
          <w:szCs w:val="24"/>
        </w:rPr>
        <w:t>响应文件的递交</w:t>
      </w:r>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p w14:paraId="7E74A249">
      <w:pPr>
        <w:keepNext w:val="0"/>
        <w:keepLines w:val="0"/>
        <w:pageBreakBefore w:val="0"/>
        <w:kinsoku/>
        <w:wordWrap/>
        <w:overflowPunct/>
        <w:topLinePunct w:val="0"/>
        <w:bidi w:val="0"/>
        <w:snapToGrid w:val="0"/>
        <w:spacing w:after="191" w:afterLines="50" w:line="24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14．</w:t>
      </w:r>
      <w:r>
        <w:rPr>
          <w:rFonts w:hint="eastAsia" w:ascii="宋体" w:hAnsi="宋体" w:eastAsia="宋体" w:cs="宋体"/>
          <w:b/>
          <w:color w:val="000000"/>
          <w:sz w:val="24"/>
          <w:szCs w:val="24"/>
          <w:lang w:eastAsia="zh-CN"/>
        </w:rPr>
        <w:t>磋商</w:t>
      </w:r>
      <w:r>
        <w:rPr>
          <w:rFonts w:hint="eastAsia" w:ascii="宋体" w:hAnsi="宋体" w:eastAsia="宋体" w:cs="宋体"/>
          <w:b/>
          <w:color w:val="000000"/>
          <w:sz w:val="24"/>
          <w:szCs w:val="24"/>
        </w:rPr>
        <w:t>响应文件的密封和标记</w:t>
      </w:r>
    </w:p>
    <w:p w14:paraId="14FFE416">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 </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响应文件的“正本”与“副本”应分开包装，封套上应清楚地标记“正本”或“副本”字样。</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响应文件正本和副本应分别包装，</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响应文件电子版应与正本包在同一个封套里。标袋骑缝处必须粘贴密封封条，并加盖投标人公章。</w:t>
      </w:r>
    </w:p>
    <w:p w14:paraId="5996893A">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14.2 标记要求：</w:t>
      </w:r>
    </w:p>
    <w:p w14:paraId="6768079C">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(1)清楚标明“</w:t>
      </w:r>
      <w:r>
        <w:rPr>
          <w:rFonts w:hint="eastAsia" w:ascii="宋体" w:hAnsi="宋体" w:eastAsia="宋体" w:cs="宋体"/>
          <w:color w:val="auto"/>
          <w:sz w:val="24"/>
          <w:szCs w:val="24"/>
        </w:rPr>
        <w:t>递交至</w:t>
      </w:r>
      <w:r>
        <w:rPr>
          <w:rFonts w:hint="eastAsia" w:ascii="宋体" w:hAnsi="宋体" w:eastAsia="宋体" w:cs="宋体"/>
          <w:color w:val="auto"/>
          <w:sz w:val="24"/>
          <w:szCs w:val="24"/>
          <w:lang w:eastAsia="zh-CN"/>
        </w:rPr>
        <w:t>陕西中源项目管理有限公司</w:t>
      </w:r>
      <w:r>
        <w:rPr>
          <w:rFonts w:hint="eastAsia" w:ascii="宋体" w:hAnsi="宋体" w:eastAsia="宋体" w:cs="宋体"/>
          <w:color w:val="auto"/>
          <w:sz w:val="24"/>
          <w:szCs w:val="24"/>
        </w:rPr>
        <w:t>”；</w:t>
      </w:r>
    </w:p>
    <w:p w14:paraId="6E502026">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auto"/>
          <w:sz w:val="24"/>
          <w:szCs w:val="24"/>
        </w:rPr>
      </w:pPr>
      <w:r>
        <w:rPr>
          <w:rFonts w:hint="eastAsia" w:ascii="宋体" w:hAnsi="宋体" w:eastAsia="宋体" w:cs="宋体"/>
          <w:color w:val="000000"/>
          <w:sz w:val="24"/>
          <w:szCs w:val="24"/>
        </w:rPr>
        <w:t>(2)注明项目名称、</w:t>
      </w:r>
      <w:r>
        <w:rPr>
          <w:rFonts w:hint="eastAsia" w:ascii="宋体" w:hAnsi="宋体" w:eastAsia="宋体" w:cs="宋体"/>
          <w:color w:val="auto"/>
          <w:sz w:val="24"/>
          <w:szCs w:val="24"/>
        </w:rPr>
        <w:t>项目编号和“在</w:t>
      </w:r>
      <w:r>
        <w:rPr>
          <w:rFonts w:hint="eastAsia" w:ascii="宋体" w:hAnsi="宋体" w:eastAsia="宋体" w:cs="宋体"/>
          <w:color w:val="auto"/>
          <w:sz w:val="24"/>
          <w:szCs w:val="24"/>
          <w:lang w:eastAsia="zh-CN"/>
        </w:rPr>
        <w:t>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年</w:t>
      </w:r>
      <w:r>
        <w:rPr>
          <w:rFonts w:hint="eastAsia" w:ascii="宋体" w:hAnsi="宋体" w:cs="宋体"/>
          <w:color w:val="auto"/>
          <w:sz w:val="24"/>
          <w:szCs w:val="24"/>
          <w:lang w:val="en-US" w:eastAsia="zh-CN"/>
        </w:rPr>
        <w:t>5月26日</w:t>
      </w:r>
      <w:r>
        <w:rPr>
          <w:rFonts w:hint="eastAsia" w:ascii="宋体" w:hAnsi="宋体" w:eastAsia="宋体" w:cs="宋体"/>
          <w:color w:val="auto"/>
          <w:sz w:val="24"/>
          <w:szCs w:val="24"/>
          <w:lang w:val="en-US" w:eastAsia="zh-CN"/>
        </w:rPr>
        <w:t>15</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lang w:eastAsia="zh-CN"/>
        </w:rPr>
        <w:t>0时</w:t>
      </w:r>
      <w:r>
        <w:rPr>
          <w:rFonts w:hint="eastAsia" w:ascii="宋体" w:hAnsi="宋体" w:eastAsia="宋体" w:cs="宋体"/>
          <w:color w:val="auto"/>
          <w:sz w:val="24"/>
          <w:szCs w:val="24"/>
        </w:rPr>
        <w:t>不得启封”的字样；</w:t>
      </w:r>
    </w:p>
    <w:p w14:paraId="6EFBF95E">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(3)标明供应商名称和地址，法定代表人和被委托人签字确认并加盖供应商公章。</w:t>
      </w:r>
    </w:p>
    <w:p w14:paraId="6CCF29F3">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14.3 所有供应商须按14.1、14.2项要求密封并加写标记。</w:t>
      </w:r>
    </w:p>
    <w:p w14:paraId="3AF60ACF">
      <w:pPr>
        <w:keepNext w:val="0"/>
        <w:keepLines w:val="0"/>
        <w:pageBreakBefore w:val="0"/>
        <w:kinsoku/>
        <w:wordWrap/>
        <w:overflowPunct/>
        <w:topLinePunct w:val="0"/>
        <w:bidi w:val="0"/>
        <w:spacing w:after="191" w:afterLines="50" w:line="24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15．</w:t>
      </w:r>
      <w:r>
        <w:rPr>
          <w:rFonts w:hint="eastAsia" w:ascii="宋体" w:hAnsi="宋体" w:eastAsia="宋体" w:cs="宋体"/>
          <w:b/>
          <w:color w:val="000000"/>
          <w:sz w:val="24"/>
          <w:szCs w:val="24"/>
          <w:lang w:eastAsia="zh-CN"/>
        </w:rPr>
        <w:t>磋商</w:t>
      </w:r>
      <w:r>
        <w:rPr>
          <w:rFonts w:hint="eastAsia" w:ascii="宋体" w:hAnsi="宋体" w:eastAsia="宋体" w:cs="宋体"/>
          <w:b/>
          <w:color w:val="000000"/>
          <w:sz w:val="24"/>
          <w:szCs w:val="24"/>
        </w:rPr>
        <w:t>截止日期</w:t>
      </w:r>
    </w:p>
    <w:p w14:paraId="0061B8C5">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auto"/>
          <w:sz w:val="24"/>
          <w:szCs w:val="24"/>
        </w:rPr>
      </w:pPr>
      <w:r>
        <w:rPr>
          <w:rFonts w:hint="eastAsia" w:ascii="宋体" w:hAnsi="宋体" w:eastAsia="宋体" w:cs="宋体"/>
          <w:color w:val="000000"/>
          <w:sz w:val="24"/>
          <w:szCs w:val="24"/>
        </w:rPr>
        <w:t>15.1供应商应在不迟于</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文件中规定的</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截止时间将</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w:t>
      </w:r>
      <w:r>
        <w:rPr>
          <w:rFonts w:hint="eastAsia" w:ascii="宋体" w:hAnsi="宋体" w:eastAsia="宋体" w:cs="宋体"/>
          <w:color w:val="auto"/>
          <w:sz w:val="24"/>
          <w:szCs w:val="24"/>
        </w:rPr>
        <w:t>递交至采购代理机构。</w:t>
      </w:r>
    </w:p>
    <w:p w14:paraId="0EB9F720">
      <w:pPr>
        <w:keepNext w:val="0"/>
        <w:keepLines w:val="0"/>
        <w:pageBreakBefore w:val="0"/>
        <w:kinsoku/>
        <w:wordWrap/>
        <w:overflowPunct/>
        <w:topLinePunct w:val="0"/>
        <w:bidi w:val="0"/>
        <w:snapToGrid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15.2 采购代理机构可以按本须知</w:t>
      </w:r>
      <w:r>
        <w:rPr>
          <w:rFonts w:hint="eastAsia" w:ascii="宋体" w:hAnsi="宋体" w:eastAsia="宋体" w:cs="宋体"/>
          <w:snapToGrid w:val="0"/>
          <w:color w:val="000000"/>
          <w:kern w:val="24"/>
          <w:sz w:val="24"/>
          <w:szCs w:val="24"/>
        </w:rPr>
        <w:t>第5.3条</w:t>
      </w:r>
      <w:r>
        <w:rPr>
          <w:rFonts w:hint="eastAsia" w:ascii="宋体" w:hAnsi="宋体" w:eastAsia="宋体" w:cs="宋体"/>
          <w:snapToGrid w:val="0"/>
          <w:color w:val="000000"/>
          <w:sz w:val="24"/>
          <w:szCs w:val="24"/>
        </w:rPr>
        <w:t>规</w:t>
      </w:r>
      <w:r>
        <w:rPr>
          <w:rFonts w:hint="eastAsia" w:ascii="宋体" w:hAnsi="宋体" w:eastAsia="宋体" w:cs="宋体"/>
          <w:color w:val="000000"/>
          <w:sz w:val="24"/>
          <w:szCs w:val="24"/>
        </w:rPr>
        <w:t>定，通知因修改</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文件而适当延长</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截止期。在此情况下，招标采购单位和供应商受</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截止期制约的所有权利和义务均应延长至新的截止期。</w:t>
      </w:r>
    </w:p>
    <w:p w14:paraId="2B1F47F3">
      <w:pPr>
        <w:keepNext w:val="0"/>
        <w:keepLines w:val="0"/>
        <w:pageBreakBefore w:val="0"/>
        <w:kinsoku/>
        <w:wordWrap/>
        <w:overflowPunct/>
        <w:topLinePunct w:val="0"/>
        <w:bidi w:val="0"/>
        <w:spacing w:after="191" w:afterLines="50" w:line="24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16．迟交的</w:t>
      </w:r>
      <w:r>
        <w:rPr>
          <w:rFonts w:hint="eastAsia" w:ascii="宋体" w:hAnsi="宋体" w:eastAsia="宋体" w:cs="宋体"/>
          <w:b/>
          <w:color w:val="000000"/>
          <w:sz w:val="24"/>
          <w:szCs w:val="24"/>
          <w:lang w:eastAsia="zh-CN"/>
        </w:rPr>
        <w:t>磋商</w:t>
      </w:r>
      <w:r>
        <w:rPr>
          <w:rFonts w:hint="eastAsia" w:ascii="宋体" w:hAnsi="宋体" w:eastAsia="宋体" w:cs="宋体"/>
          <w:b/>
          <w:color w:val="000000"/>
          <w:sz w:val="24"/>
          <w:szCs w:val="24"/>
        </w:rPr>
        <w:t>响应文件</w:t>
      </w:r>
    </w:p>
    <w:p w14:paraId="315CB3CA">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16.1采购人及采购代理机构将拒绝接收</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截止期后送达的任何</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w:t>
      </w:r>
    </w:p>
    <w:p w14:paraId="67A57456">
      <w:pPr>
        <w:keepNext w:val="0"/>
        <w:keepLines w:val="0"/>
        <w:pageBreakBefore w:val="0"/>
        <w:kinsoku/>
        <w:wordWrap/>
        <w:overflowPunct/>
        <w:topLinePunct w:val="0"/>
        <w:bidi w:val="0"/>
        <w:spacing w:after="191" w:afterLines="50" w:line="240" w:lineRule="auto"/>
        <w:ind w:firstLine="482" w:firstLineChars="200"/>
        <w:rPr>
          <w:rFonts w:hint="eastAsia" w:ascii="宋体" w:hAnsi="宋体" w:eastAsia="宋体" w:cs="宋体"/>
          <w:color w:val="000000"/>
          <w:sz w:val="24"/>
          <w:szCs w:val="24"/>
        </w:rPr>
      </w:pPr>
      <w:r>
        <w:rPr>
          <w:rFonts w:hint="eastAsia" w:ascii="宋体" w:hAnsi="宋体" w:eastAsia="宋体" w:cs="宋体"/>
          <w:b/>
          <w:color w:val="000000"/>
          <w:sz w:val="24"/>
          <w:szCs w:val="24"/>
        </w:rPr>
        <w:t>17．</w:t>
      </w:r>
      <w:r>
        <w:rPr>
          <w:rFonts w:hint="eastAsia" w:ascii="宋体" w:hAnsi="宋体" w:eastAsia="宋体" w:cs="宋体"/>
          <w:b/>
          <w:color w:val="000000"/>
          <w:sz w:val="24"/>
          <w:szCs w:val="24"/>
          <w:lang w:eastAsia="zh-CN"/>
        </w:rPr>
        <w:t>磋商</w:t>
      </w:r>
      <w:r>
        <w:rPr>
          <w:rFonts w:hint="eastAsia" w:ascii="宋体" w:hAnsi="宋体" w:eastAsia="宋体" w:cs="宋体"/>
          <w:b/>
          <w:color w:val="000000"/>
          <w:sz w:val="24"/>
          <w:szCs w:val="24"/>
        </w:rPr>
        <w:t>响应文件的修改和撤回</w:t>
      </w:r>
    </w:p>
    <w:p w14:paraId="24C40DDE">
      <w:pPr>
        <w:keepNext w:val="0"/>
        <w:keepLines w:val="0"/>
        <w:pageBreakBefore w:val="0"/>
        <w:kinsoku/>
        <w:wordWrap/>
        <w:overflowPunct/>
        <w:topLinePunct w:val="0"/>
        <w:bidi w:val="0"/>
        <w:spacing w:after="191" w:afterLines="50" w:line="24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17.1 供应商在递交</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响应文件后，</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截止时间前，可以修改或撤回其</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响应文件。但供应商必须在规定的</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截止期之前将修改或撤回的书面通知递交到采购代理机构。</w:t>
      </w:r>
    </w:p>
    <w:p w14:paraId="3F2C9194">
      <w:pPr>
        <w:keepNext w:val="0"/>
        <w:keepLines w:val="0"/>
        <w:pageBreakBefore w:val="0"/>
        <w:kinsoku/>
        <w:wordWrap/>
        <w:overflowPunct/>
        <w:topLinePunct w:val="0"/>
        <w:bidi w:val="0"/>
        <w:spacing w:after="191" w:afterLines="50" w:line="24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17.2 供应商的修改或撤回通知书应按本须知第14条规定密封、标记和递交，并在内层封套上加注“修改”或“撤回”字样。</w:t>
      </w:r>
    </w:p>
    <w:p w14:paraId="7CA0C7E1">
      <w:pPr>
        <w:keepNext w:val="0"/>
        <w:keepLines w:val="0"/>
        <w:pageBreakBefore w:val="0"/>
        <w:kinsoku/>
        <w:wordWrap/>
        <w:overflowPunct/>
        <w:topLinePunct w:val="0"/>
        <w:bidi w:val="0"/>
        <w:spacing w:after="191" w:afterLines="50" w:line="24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17.3 在</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截止日期之后，供应商不得对其</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响应文件做任何修改。</w:t>
      </w:r>
    </w:p>
    <w:p w14:paraId="013D19A6">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b/>
          <w:color w:val="000000"/>
          <w:sz w:val="24"/>
          <w:szCs w:val="24"/>
        </w:rPr>
      </w:pPr>
      <w:r>
        <w:rPr>
          <w:rFonts w:hint="eastAsia" w:ascii="宋体" w:hAnsi="宋体" w:eastAsia="宋体" w:cs="宋体"/>
          <w:color w:val="000000"/>
          <w:sz w:val="24"/>
          <w:szCs w:val="24"/>
        </w:rPr>
        <w:t>17.4从</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截止期始至</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文件确定的</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有效期期满这段时间内，供应商不得撤回其</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w:t>
      </w:r>
      <w:r>
        <w:rPr>
          <w:rFonts w:hint="eastAsia" w:ascii="宋体" w:hAnsi="宋体" w:eastAsia="宋体" w:cs="宋体"/>
          <w:color w:val="auto"/>
          <w:sz w:val="24"/>
          <w:szCs w:val="24"/>
        </w:rPr>
        <w:t>件。</w:t>
      </w:r>
      <w:bookmarkStart w:id="72" w:name="_Toc167591033"/>
      <w:bookmarkStart w:id="73" w:name="_Toc167591320"/>
      <w:bookmarkStart w:id="74" w:name="_Toc167849350"/>
      <w:bookmarkStart w:id="75" w:name="_Toc169838522"/>
      <w:bookmarkStart w:id="76" w:name="_Toc208337154"/>
      <w:bookmarkStart w:id="77" w:name="_Toc167591134"/>
      <w:bookmarkStart w:id="78" w:name="_Toc170980444"/>
      <w:bookmarkStart w:id="79" w:name="_Toc173549968"/>
      <w:bookmarkStart w:id="80" w:name="_Toc245176655"/>
      <w:bookmarkStart w:id="81" w:name="_Toc245657543"/>
      <w:bookmarkStart w:id="82" w:name="_Toc170980542"/>
      <w:bookmarkStart w:id="83" w:name="_Toc175032427"/>
      <w:bookmarkStart w:id="84" w:name="_Toc244623581"/>
      <w:bookmarkStart w:id="85" w:name="_Toc154482469"/>
      <w:bookmarkStart w:id="86" w:name="_Toc167591482"/>
      <w:bookmarkStart w:id="87" w:name="_Toc169846766"/>
      <w:bookmarkStart w:id="88" w:name="_Toc245658524"/>
      <w:bookmarkStart w:id="89" w:name="_Toc167590765"/>
      <w:bookmarkStart w:id="90" w:name="_Toc207897906"/>
      <w:bookmarkStart w:id="91" w:name="_Toc169846863"/>
      <w:bookmarkStart w:id="92" w:name="_Toc175033582"/>
    </w:p>
    <w:p w14:paraId="40B1D4FA">
      <w:pPr>
        <w:keepNext w:val="0"/>
        <w:keepLines w:val="0"/>
        <w:pageBreakBefore w:val="0"/>
        <w:kinsoku/>
        <w:wordWrap/>
        <w:overflowPunct/>
        <w:topLinePunct w:val="0"/>
        <w:bidi w:val="0"/>
        <w:adjustRightInd w:val="0"/>
        <w:snapToGrid w:val="0"/>
        <w:spacing w:after="191" w:afterLines="50" w:line="240" w:lineRule="auto"/>
        <w:jc w:val="center"/>
        <w:outlineLvl w:val="1"/>
        <w:rPr>
          <w:rFonts w:hint="eastAsia" w:ascii="宋体" w:hAnsi="宋体" w:eastAsia="宋体" w:cs="宋体"/>
          <w:b/>
          <w:color w:val="000000"/>
          <w:sz w:val="24"/>
          <w:szCs w:val="24"/>
        </w:rPr>
      </w:pPr>
      <w:r>
        <w:rPr>
          <w:rFonts w:hint="eastAsia" w:ascii="宋体" w:hAnsi="宋体" w:eastAsia="宋体" w:cs="宋体"/>
          <w:b/>
          <w:color w:val="000000"/>
          <w:sz w:val="24"/>
          <w:szCs w:val="24"/>
        </w:rPr>
        <w:t>五、</w:t>
      </w:r>
      <w:r>
        <w:rPr>
          <w:rFonts w:hint="eastAsia" w:ascii="宋体" w:hAnsi="宋体" w:eastAsia="宋体" w:cs="宋体"/>
          <w:b/>
          <w:color w:val="000000"/>
          <w:sz w:val="24"/>
          <w:szCs w:val="24"/>
          <w:lang w:eastAsia="zh-CN"/>
        </w:rPr>
        <w:t>磋商</w:t>
      </w:r>
      <w:r>
        <w:rPr>
          <w:rFonts w:hint="eastAsia" w:ascii="宋体" w:hAnsi="宋体" w:eastAsia="宋体" w:cs="宋体"/>
          <w:b/>
          <w:color w:val="000000"/>
          <w:sz w:val="24"/>
          <w:szCs w:val="24"/>
        </w:rPr>
        <w:t>与评</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Pr>
          <w:rFonts w:hint="eastAsia" w:ascii="宋体" w:hAnsi="宋体" w:eastAsia="宋体" w:cs="宋体"/>
          <w:b/>
          <w:color w:val="000000"/>
          <w:sz w:val="24"/>
          <w:szCs w:val="24"/>
        </w:rPr>
        <w:t>审</w:t>
      </w:r>
    </w:p>
    <w:p w14:paraId="562C41E3">
      <w:pPr>
        <w:keepNext w:val="0"/>
        <w:keepLines w:val="0"/>
        <w:pageBreakBefore w:val="0"/>
        <w:kinsoku/>
        <w:wordWrap/>
        <w:overflowPunct/>
        <w:topLinePunct w:val="0"/>
        <w:bidi w:val="0"/>
        <w:adjustRightInd w:val="0"/>
        <w:snapToGrid w:val="0"/>
        <w:spacing w:after="191" w:afterLines="50" w:line="24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18．文件开启和评审</w:t>
      </w:r>
    </w:p>
    <w:p w14:paraId="18ADEA9F">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18.1 采购代理机构组织</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、文件开启、评审工作，</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整个过程接受监督部门的监督。</w:t>
      </w:r>
    </w:p>
    <w:p w14:paraId="20625AF8">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FF"/>
          <w:sz w:val="24"/>
          <w:szCs w:val="24"/>
        </w:rPr>
      </w:pPr>
      <w:r>
        <w:rPr>
          <w:rFonts w:hint="eastAsia" w:ascii="宋体" w:hAnsi="宋体" w:eastAsia="宋体" w:cs="宋体"/>
          <w:color w:val="auto"/>
          <w:sz w:val="24"/>
          <w:szCs w:val="24"/>
        </w:rPr>
        <w:t>18.</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 xml:space="preserve"> 采</w:t>
      </w:r>
      <w:r>
        <w:rPr>
          <w:rFonts w:hint="eastAsia" w:ascii="宋体" w:hAnsi="宋体" w:eastAsia="宋体" w:cs="宋体"/>
          <w:color w:val="000000"/>
          <w:sz w:val="24"/>
          <w:szCs w:val="24"/>
        </w:rPr>
        <w:t>购代理机构将在</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会议现场做</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记录，</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记录包括</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 xml:space="preserve">时宣读的全部内容。 </w:t>
      </w:r>
    </w:p>
    <w:p w14:paraId="508F1CC6">
      <w:pPr>
        <w:keepNext w:val="0"/>
        <w:keepLines w:val="0"/>
        <w:pageBreakBefore w:val="0"/>
        <w:kinsoku/>
        <w:wordWrap/>
        <w:overflowPunct/>
        <w:topLinePunct w:val="0"/>
        <w:bidi w:val="0"/>
        <w:spacing w:after="191" w:afterLines="50" w:line="240" w:lineRule="auto"/>
        <w:ind w:firstLine="482" w:firstLineChars="200"/>
        <w:rPr>
          <w:rFonts w:hint="eastAsia" w:ascii="宋体" w:hAnsi="宋体" w:eastAsia="宋体" w:cs="宋体"/>
          <w:b/>
          <w:color w:val="000000"/>
          <w:kern w:val="0"/>
          <w:sz w:val="24"/>
          <w:szCs w:val="24"/>
        </w:rPr>
      </w:pPr>
      <w:r>
        <w:rPr>
          <w:rFonts w:hint="eastAsia" w:ascii="宋体" w:hAnsi="宋体" w:eastAsia="宋体" w:cs="宋体"/>
          <w:b/>
          <w:color w:val="000000"/>
          <w:sz w:val="24"/>
          <w:szCs w:val="24"/>
        </w:rPr>
        <w:t>19．</w:t>
      </w:r>
      <w:r>
        <w:rPr>
          <w:rFonts w:hint="eastAsia" w:ascii="宋体" w:hAnsi="宋体" w:eastAsia="宋体" w:cs="宋体"/>
          <w:b/>
          <w:color w:val="000000"/>
          <w:sz w:val="24"/>
          <w:szCs w:val="24"/>
          <w:lang w:eastAsia="zh-CN"/>
        </w:rPr>
        <w:t>磋商</w:t>
      </w:r>
      <w:r>
        <w:rPr>
          <w:rFonts w:hint="eastAsia" w:ascii="宋体" w:hAnsi="宋体" w:eastAsia="宋体" w:cs="宋体"/>
          <w:b/>
          <w:color w:val="000000"/>
          <w:sz w:val="24"/>
          <w:szCs w:val="24"/>
        </w:rPr>
        <w:t>小组</w:t>
      </w:r>
    </w:p>
    <w:p w14:paraId="765052D5">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snapToGrid w:val="0"/>
          <w:color w:val="000000"/>
          <w:kern w:val="0"/>
          <w:sz w:val="24"/>
          <w:szCs w:val="24"/>
        </w:rPr>
      </w:pPr>
      <w:r>
        <w:rPr>
          <w:rFonts w:hint="eastAsia" w:ascii="宋体" w:hAnsi="宋体" w:eastAsia="宋体" w:cs="宋体"/>
          <w:color w:val="000000"/>
          <w:sz w:val="24"/>
          <w:szCs w:val="24"/>
        </w:rPr>
        <w:t>19.1招标采购单位</w:t>
      </w:r>
      <w:r>
        <w:rPr>
          <w:rFonts w:hint="eastAsia" w:ascii="宋体" w:hAnsi="宋体" w:eastAsia="宋体" w:cs="宋体"/>
          <w:snapToGrid w:val="0"/>
          <w:color w:val="000000"/>
          <w:kern w:val="0"/>
          <w:sz w:val="24"/>
          <w:szCs w:val="24"/>
        </w:rPr>
        <w:t>将按照《中华人民共和国政府采购法》、</w:t>
      </w:r>
      <w:r>
        <w:rPr>
          <w:rFonts w:hint="eastAsia" w:ascii="宋体" w:hAnsi="宋体" w:eastAsia="宋体" w:cs="宋体"/>
          <w:color w:val="000000"/>
          <w:sz w:val="24"/>
          <w:szCs w:val="24"/>
        </w:rPr>
        <w:t>《财政部令第74号</w:t>
      </w:r>
      <w:r>
        <w:rPr>
          <w:rFonts w:hint="eastAsia" w:ascii="宋体" w:hAnsi="宋体" w:eastAsia="宋体" w:cs="宋体"/>
          <w:snapToGrid w:val="0"/>
          <w:color w:val="000000"/>
          <w:kern w:val="0"/>
          <w:sz w:val="24"/>
          <w:szCs w:val="24"/>
        </w:rPr>
        <w:t>》及有关规定组建</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小组</w:t>
      </w:r>
      <w:r>
        <w:rPr>
          <w:rFonts w:hint="eastAsia" w:ascii="宋体" w:hAnsi="宋体" w:eastAsia="宋体" w:cs="宋体"/>
          <w:snapToGrid w:val="0"/>
          <w:color w:val="000000"/>
          <w:kern w:val="0"/>
          <w:sz w:val="24"/>
          <w:szCs w:val="24"/>
        </w:rPr>
        <w:t>。</w:t>
      </w:r>
    </w:p>
    <w:p w14:paraId="63E1F923">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.2 采购代理机构在规定的时间和地点组织</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，供应商须委派代表并签名报到以证明其出席。</w:t>
      </w:r>
    </w:p>
    <w:p w14:paraId="0E6994FB">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 xml:space="preserve">.3 </w:t>
      </w:r>
      <w:r>
        <w:rPr>
          <w:rFonts w:hint="eastAsia" w:ascii="宋体" w:hAnsi="宋体" w:eastAsia="宋体" w:cs="宋体"/>
          <w:color w:val="auto"/>
          <w:sz w:val="24"/>
          <w:szCs w:val="24"/>
          <w:lang w:eastAsia="zh-CN"/>
        </w:rPr>
        <w:t>磋</w:t>
      </w:r>
      <w:r>
        <w:rPr>
          <w:rFonts w:hint="eastAsia" w:ascii="宋体" w:hAnsi="宋体" w:eastAsia="宋体" w:cs="宋体"/>
          <w:color w:val="000000"/>
          <w:sz w:val="24"/>
          <w:szCs w:val="24"/>
          <w:lang w:eastAsia="zh-CN"/>
        </w:rPr>
        <w:t>商</w:t>
      </w:r>
      <w:r>
        <w:rPr>
          <w:rFonts w:hint="eastAsia" w:ascii="宋体" w:hAnsi="宋体" w:eastAsia="宋体" w:cs="宋体"/>
          <w:color w:val="000000"/>
          <w:sz w:val="24"/>
          <w:szCs w:val="24"/>
        </w:rPr>
        <w:t>时，由各供应商代表共同检查</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响应文件的密封</w:t>
      </w:r>
      <w:r>
        <w:rPr>
          <w:rFonts w:hint="eastAsia" w:ascii="宋体" w:hAnsi="宋体" w:eastAsia="宋体" w:cs="宋体"/>
          <w:color w:val="000000"/>
          <w:kern w:val="0"/>
          <w:sz w:val="24"/>
          <w:szCs w:val="24"/>
        </w:rPr>
        <w:t>情况</w:t>
      </w:r>
      <w:r>
        <w:rPr>
          <w:rFonts w:hint="eastAsia" w:ascii="宋体" w:hAnsi="宋体" w:eastAsia="宋体" w:cs="宋体"/>
          <w:color w:val="000000"/>
          <w:sz w:val="24"/>
          <w:szCs w:val="24"/>
        </w:rPr>
        <w:t>，经确认无误后由采购代理机构的工作人员当众拆封。密封不合格的</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响应文件以及按照第17条规定，提交了可接受的“撤回”通知书的</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响应文件将不予拆封。</w:t>
      </w:r>
    </w:p>
    <w:p w14:paraId="22FBF6BC">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19.</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小组由采购人代表及有关评审专家组成，评审专家从政府采购专家库中随机抽取产生。</w:t>
      </w:r>
    </w:p>
    <w:p w14:paraId="7385A47C">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b/>
          <w:color w:val="000000"/>
          <w:sz w:val="24"/>
          <w:szCs w:val="24"/>
        </w:rPr>
      </w:pPr>
      <w:r>
        <w:rPr>
          <w:rFonts w:hint="eastAsia" w:ascii="宋体" w:hAnsi="宋体" w:eastAsia="宋体" w:cs="宋体"/>
          <w:color w:val="000000"/>
          <w:sz w:val="24"/>
          <w:szCs w:val="24"/>
        </w:rPr>
        <w:t>19.</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小组负责</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工作，对</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响应文件进行审查和评估，并向招标采购单位提交书面评审报告，推荐成交候选人。</w:t>
      </w:r>
    </w:p>
    <w:p w14:paraId="708A9B5B">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b/>
          <w:color w:val="000000"/>
          <w:sz w:val="24"/>
          <w:szCs w:val="24"/>
        </w:rPr>
      </w:pPr>
      <w:r>
        <w:rPr>
          <w:rFonts w:hint="eastAsia" w:ascii="宋体" w:hAnsi="宋体" w:eastAsia="宋体" w:cs="宋体"/>
          <w:color w:val="000000"/>
          <w:sz w:val="24"/>
          <w:szCs w:val="24"/>
        </w:rPr>
        <w:t>19.</w:t>
      </w:r>
      <w:r>
        <w:rPr>
          <w:rFonts w:hint="eastAsia" w:ascii="宋体" w:hAnsi="宋体" w:eastAsia="宋体" w:cs="宋体"/>
          <w:color w:val="000000"/>
          <w:sz w:val="24"/>
          <w:szCs w:val="24"/>
          <w:lang w:val="en-US" w:eastAsia="zh-CN"/>
        </w:rPr>
        <w:t>6</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文件开启后，直到向成交的供应商</w:t>
      </w:r>
      <w:r>
        <w:rPr>
          <w:rFonts w:hint="eastAsia" w:ascii="宋体" w:hAnsi="宋体" w:eastAsia="宋体" w:cs="宋体"/>
          <w:color w:val="auto"/>
          <w:sz w:val="24"/>
          <w:szCs w:val="24"/>
        </w:rPr>
        <w:t>授予承包合同为止，凡与审查、澄清、评价和比较</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的有关资料及授标意见等内容，</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小</w:t>
      </w:r>
      <w:r>
        <w:rPr>
          <w:rFonts w:hint="eastAsia" w:ascii="宋体" w:hAnsi="宋体" w:eastAsia="宋体" w:cs="宋体"/>
          <w:color w:val="000000"/>
          <w:sz w:val="24"/>
          <w:szCs w:val="24"/>
        </w:rPr>
        <w:t>组均不得向其他供应商及与</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无关的其他人透露。</w:t>
      </w:r>
    </w:p>
    <w:p w14:paraId="2E0CE000">
      <w:pPr>
        <w:keepNext w:val="0"/>
        <w:keepLines w:val="0"/>
        <w:pageBreakBefore w:val="0"/>
        <w:kinsoku/>
        <w:wordWrap/>
        <w:overflowPunct/>
        <w:topLinePunct w:val="0"/>
        <w:bidi w:val="0"/>
        <w:adjustRightInd w:val="0"/>
        <w:snapToGrid w:val="0"/>
        <w:spacing w:after="191" w:afterLines="50" w:line="240" w:lineRule="auto"/>
        <w:ind w:firstLine="482" w:firstLineChars="20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20、</w:t>
      </w:r>
      <w:r>
        <w:rPr>
          <w:rFonts w:hint="eastAsia" w:ascii="宋体" w:hAnsi="宋体" w:eastAsia="宋体" w:cs="宋体"/>
          <w:b/>
          <w:bCs/>
          <w:color w:val="000000"/>
          <w:sz w:val="24"/>
          <w:szCs w:val="24"/>
          <w:lang w:eastAsia="zh-CN"/>
        </w:rPr>
        <w:t>磋商</w:t>
      </w:r>
      <w:r>
        <w:rPr>
          <w:rFonts w:hint="eastAsia" w:ascii="宋体" w:hAnsi="宋体" w:eastAsia="宋体" w:cs="宋体"/>
          <w:b/>
          <w:color w:val="000000"/>
          <w:sz w:val="24"/>
          <w:szCs w:val="24"/>
        </w:rPr>
        <w:t>办法及内容</w:t>
      </w:r>
    </w:p>
    <w:p w14:paraId="295EDAA0">
      <w:pPr>
        <w:keepNext w:val="0"/>
        <w:keepLines w:val="0"/>
        <w:pageBreakBefore w:val="0"/>
        <w:kinsoku/>
        <w:wordWrap/>
        <w:overflowPunct/>
        <w:topLinePunct w:val="0"/>
        <w:bidi w:val="0"/>
        <w:adjustRightInd w:val="0"/>
        <w:snapToGrid w:val="0"/>
        <w:spacing w:after="191" w:afterLines="50" w:line="240" w:lineRule="auto"/>
        <w:ind w:firstLine="480" w:firstLineChars="200"/>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20.1 </w:t>
      </w:r>
      <w:r>
        <w:rPr>
          <w:rFonts w:hint="eastAsia" w:ascii="宋体" w:hAnsi="宋体" w:eastAsia="宋体" w:cs="宋体"/>
          <w:b/>
          <w:color w:val="000000"/>
          <w:sz w:val="24"/>
          <w:szCs w:val="24"/>
          <w:lang w:eastAsia="zh-CN"/>
        </w:rPr>
        <w:t>磋商</w:t>
      </w:r>
      <w:r>
        <w:rPr>
          <w:rFonts w:hint="eastAsia" w:ascii="宋体" w:hAnsi="宋体" w:eastAsia="宋体" w:cs="宋体"/>
          <w:b/>
          <w:color w:val="000000"/>
          <w:sz w:val="24"/>
          <w:szCs w:val="24"/>
        </w:rPr>
        <w:t>原则：</w:t>
      </w:r>
    </w:p>
    <w:p w14:paraId="043723EC">
      <w:pPr>
        <w:keepNext w:val="0"/>
        <w:keepLines w:val="0"/>
        <w:pageBreakBefore w:val="0"/>
        <w:kinsoku/>
        <w:wordWrap/>
        <w:overflowPunct/>
        <w:topLinePunct w:val="0"/>
        <w:bidi w:val="0"/>
        <w:adjustRightInd w:val="0"/>
        <w:snapToGrid w:val="0"/>
        <w:spacing w:after="191" w:afterLines="50" w:line="240" w:lineRule="auto"/>
        <w:ind w:firstLine="480" w:firstLineChars="200"/>
        <w:rPr>
          <w:rFonts w:hint="eastAsia" w:ascii="宋体" w:hAnsi="宋体" w:eastAsia="宋体" w:cs="宋体"/>
          <w:b/>
          <w:bCs/>
          <w:color w:val="000000"/>
          <w:sz w:val="24"/>
          <w:szCs w:val="24"/>
        </w:rPr>
      </w:pPr>
      <w:r>
        <w:rPr>
          <w:rFonts w:hint="eastAsia" w:ascii="宋体" w:hAnsi="宋体" w:eastAsia="宋体" w:cs="宋体"/>
          <w:color w:val="000000"/>
          <w:sz w:val="24"/>
          <w:szCs w:val="24"/>
        </w:rPr>
        <w:t>（1）坚持</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机会均等，信息公开，公平竞争的原则。</w:t>
      </w:r>
    </w:p>
    <w:p w14:paraId="53B23ED0">
      <w:pPr>
        <w:keepNext w:val="0"/>
        <w:keepLines w:val="0"/>
        <w:pageBreakBefore w:val="0"/>
        <w:kinsoku/>
        <w:wordWrap/>
        <w:overflowPunct/>
        <w:topLinePunct w:val="0"/>
        <w:bidi w:val="0"/>
        <w:adjustRightInd w:val="0"/>
        <w:snapToGrid w:val="0"/>
        <w:spacing w:after="191" w:afterLines="50" w:line="240" w:lineRule="auto"/>
        <w:ind w:firstLine="480" w:firstLineChars="200"/>
        <w:rPr>
          <w:rFonts w:hint="eastAsia" w:ascii="宋体" w:hAnsi="宋体" w:eastAsia="宋体" w:cs="宋体"/>
          <w:b/>
          <w:bCs/>
          <w:color w:val="000000"/>
          <w:sz w:val="24"/>
          <w:szCs w:val="24"/>
        </w:rPr>
      </w:pPr>
      <w:r>
        <w:rPr>
          <w:rFonts w:hint="eastAsia" w:ascii="宋体" w:hAnsi="宋体" w:eastAsia="宋体" w:cs="宋体"/>
          <w:color w:val="000000"/>
          <w:sz w:val="24"/>
          <w:szCs w:val="24"/>
        </w:rPr>
        <w:t>（2）坚持竞争性、经济实效性和公平性原则。</w:t>
      </w:r>
    </w:p>
    <w:p w14:paraId="414DA23C">
      <w:pPr>
        <w:keepNext w:val="0"/>
        <w:keepLines w:val="0"/>
        <w:pageBreakBefore w:val="0"/>
        <w:kinsoku/>
        <w:wordWrap/>
        <w:overflowPunct/>
        <w:topLinePunct w:val="0"/>
        <w:bidi w:val="0"/>
        <w:adjustRightInd w:val="0"/>
        <w:snapToGrid w:val="0"/>
        <w:spacing w:after="191" w:afterLines="50" w:line="240" w:lineRule="auto"/>
        <w:ind w:firstLine="480" w:firstLineChars="200"/>
        <w:rPr>
          <w:rFonts w:hint="eastAsia" w:ascii="宋体" w:hAnsi="宋体" w:eastAsia="宋体" w:cs="宋体"/>
          <w:b/>
          <w:bCs/>
          <w:color w:val="000000"/>
          <w:sz w:val="24"/>
          <w:szCs w:val="24"/>
        </w:rPr>
      </w:pPr>
      <w:r>
        <w:rPr>
          <w:rFonts w:hint="eastAsia" w:ascii="宋体" w:hAnsi="宋体" w:eastAsia="宋体" w:cs="宋体"/>
          <w:color w:val="000000"/>
          <w:sz w:val="24"/>
          <w:szCs w:val="24"/>
        </w:rPr>
        <w:t>（3）综合评估，择优选择资质齐全、业绩较好服务有保证的成交单位。</w:t>
      </w:r>
    </w:p>
    <w:p w14:paraId="6F1670D9">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20.2</w:t>
      </w:r>
      <w:r>
        <w:rPr>
          <w:rFonts w:hint="eastAsia" w:ascii="宋体" w:hAnsi="宋体" w:eastAsia="宋体" w:cs="宋体"/>
          <w:b/>
          <w:color w:val="000000"/>
          <w:sz w:val="24"/>
          <w:szCs w:val="24"/>
          <w:lang w:eastAsia="zh-CN"/>
        </w:rPr>
        <w:t>磋商</w:t>
      </w:r>
      <w:r>
        <w:rPr>
          <w:rFonts w:hint="eastAsia" w:ascii="宋体" w:hAnsi="宋体" w:eastAsia="宋体" w:cs="宋体"/>
          <w:b/>
          <w:bCs/>
          <w:color w:val="000000"/>
          <w:sz w:val="24"/>
          <w:szCs w:val="24"/>
        </w:rPr>
        <w:t>程序：</w:t>
      </w:r>
      <w:r>
        <w:rPr>
          <w:rFonts w:hint="eastAsia" w:ascii="宋体" w:hAnsi="宋体" w:eastAsia="宋体" w:cs="宋体"/>
          <w:color w:val="000000"/>
          <w:sz w:val="24"/>
          <w:szCs w:val="24"/>
        </w:rPr>
        <w:t xml:space="preserve"> </w:t>
      </w:r>
    </w:p>
    <w:p w14:paraId="0B40256E">
      <w:pPr>
        <w:keepNext w:val="0"/>
        <w:keepLines w:val="0"/>
        <w:pageBreakBefore w:val="0"/>
        <w:kinsoku/>
        <w:wordWrap/>
        <w:overflowPunct/>
        <w:topLinePunct w:val="0"/>
        <w:autoSpaceDE w:val="0"/>
        <w:autoSpaceDN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磋商的全过程分为资格审查、符合性评审、磋商过程、最终报价、最终评审</w:t>
      </w:r>
      <w:r>
        <w:rPr>
          <w:rFonts w:hint="eastAsia" w:ascii="宋体" w:hAnsi="宋体" w:eastAsia="宋体" w:cs="宋体"/>
          <w:color w:val="000000"/>
          <w:sz w:val="24"/>
          <w:szCs w:val="24"/>
          <w:lang w:val="en-US" w:eastAsia="zh-CN"/>
        </w:rPr>
        <w:t>五</w:t>
      </w:r>
      <w:r>
        <w:rPr>
          <w:rFonts w:hint="eastAsia" w:ascii="宋体" w:hAnsi="宋体" w:eastAsia="宋体" w:cs="宋体"/>
          <w:color w:val="000000"/>
          <w:sz w:val="24"/>
          <w:szCs w:val="24"/>
        </w:rPr>
        <w:t>个阶段。最终报价采取集中报价形式。</w:t>
      </w:r>
    </w:p>
    <w:p w14:paraId="2A116816">
      <w:pPr>
        <w:keepNext w:val="0"/>
        <w:keepLines w:val="0"/>
        <w:pageBreakBefore w:val="0"/>
        <w:kinsoku/>
        <w:wordWrap/>
        <w:overflowPunct/>
        <w:topLinePunct w:val="0"/>
        <w:autoSpaceDE w:val="0"/>
        <w:autoSpaceDN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20.2.1 依据程序，</w:t>
      </w:r>
      <w:r>
        <w:rPr>
          <w:rFonts w:hint="eastAsia" w:ascii="宋体" w:hAnsi="宋体" w:eastAsia="宋体" w:cs="宋体"/>
          <w:color w:val="000000"/>
          <w:sz w:val="24"/>
          <w:szCs w:val="24"/>
          <w:lang w:val="en-US" w:eastAsia="zh-CN"/>
        </w:rPr>
        <w:t>供应商所有报价均</w:t>
      </w:r>
      <w:r>
        <w:rPr>
          <w:rFonts w:hint="eastAsia" w:ascii="宋体" w:hAnsi="宋体" w:eastAsia="宋体" w:cs="宋体"/>
          <w:color w:val="000000"/>
          <w:sz w:val="24"/>
          <w:szCs w:val="24"/>
        </w:rPr>
        <w:t>不予以公开。</w:t>
      </w:r>
    </w:p>
    <w:tbl>
      <w:tblPr>
        <w:tblStyle w:val="26"/>
        <w:tblW w:w="508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57" w:type="dxa"/>
          <w:bottom w:w="57" w:type="dxa"/>
          <w:right w:w="57" w:type="dxa"/>
        </w:tblCellMar>
      </w:tblPr>
      <w:tblGrid>
        <w:gridCol w:w="851"/>
        <w:gridCol w:w="1537"/>
        <w:gridCol w:w="7582"/>
      </w:tblGrid>
      <w:tr w14:paraId="3F98D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0" w:hRule="atLeast"/>
        </w:trPr>
        <w:tc>
          <w:tcPr>
            <w:tcW w:w="427" w:type="pct"/>
            <w:tcBorders>
              <w:top w:val="single" w:color="auto" w:sz="4" w:space="0"/>
              <w:left w:val="single" w:color="auto" w:sz="4" w:space="0"/>
              <w:bottom w:val="single" w:color="auto" w:sz="4" w:space="0"/>
              <w:right w:val="single" w:color="auto" w:sz="4" w:space="0"/>
            </w:tcBorders>
            <w:noWrap w:val="0"/>
            <w:vAlign w:val="center"/>
          </w:tcPr>
          <w:p w14:paraId="1570320B">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内容</w:t>
            </w:r>
          </w:p>
        </w:tc>
        <w:tc>
          <w:tcPr>
            <w:tcW w:w="771" w:type="pct"/>
            <w:tcBorders>
              <w:top w:val="single" w:color="auto" w:sz="4" w:space="0"/>
              <w:left w:val="single" w:color="auto" w:sz="4" w:space="0"/>
              <w:bottom w:val="single" w:color="auto" w:sz="4" w:space="0"/>
              <w:right w:val="single" w:color="auto" w:sz="4" w:space="0"/>
            </w:tcBorders>
            <w:noWrap w:val="0"/>
            <w:vAlign w:val="center"/>
          </w:tcPr>
          <w:p w14:paraId="242AEC2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审查因素</w:t>
            </w:r>
          </w:p>
        </w:tc>
        <w:tc>
          <w:tcPr>
            <w:tcW w:w="3801" w:type="pct"/>
            <w:tcBorders>
              <w:top w:val="single" w:color="auto" w:sz="4" w:space="0"/>
              <w:left w:val="single" w:color="auto" w:sz="4" w:space="0"/>
              <w:bottom w:val="single" w:color="auto" w:sz="4" w:space="0"/>
              <w:right w:val="single" w:color="auto" w:sz="4" w:space="0"/>
            </w:tcBorders>
            <w:noWrap w:val="0"/>
            <w:vAlign w:val="center"/>
          </w:tcPr>
          <w:p w14:paraId="69041525">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审查标准</w:t>
            </w:r>
          </w:p>
        </w:tc>
      </w:tr>
      <w:tr w14:paraId="1CD86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0" w:hRule="atLeast"/>
        </w:trPr>
        <w:tc>
          <w:tcPr>
            <w:tcW w:w="427" w:type="pct"/>
            <w:vMerge w:val="restart"/>
            <w:tcBorders>
              <w:top w:val="single" w:color="auto" w:sz="4" w:space="0"/>
              <w:left w:val="single" w:color="auto" w:sz="4" w:space="0"/>
              <w:right w:val="single" w:color="auto" w:sz="4" w:space="0"/>
            </w:tcBorders>
            <w:noWrap w:val="0"/>
            <w:vAlign w:val="center"/>
          </w:tcPr>
          <w:p w14:paraId="333DC19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000000"/>
                <w:sz w:val="24"/>
                <w:szCs w:val="24"/>
              </w:rPr>
            </w:pPr>
            <w:r>
              <w:rPr>
                <w:rFonts w:hint="eastAsia" w:ascii="宋体" w:hAnsi="宋体" w:eastAsia="宋体" w:cs="宋体"/>
                <w:b w:val="0"/>
                <w:bCs/>
                <w:color w:val="000000"/>
                <w:sz w:val="24"/>
                <w:szCs w:val="24"/>
              </w:rPr>
              <w:t>资格审查标准</w:t>
            </w:r>
          </w:p>
        </w:tc>
        <w:tc>
          <w:tcPr>
            <w:tcW w:w="771" w:type="pct"/>
            <w:tcBorders>
              <w:top w:val="single" w:color="auto" w:sz="4" w:space="0"/>
              <w:left w:val="single" w:color="auto" w:sz="4" w:space="0"/>
              <w:bottom w:val="single" w:color="auto" w:sz="4" w:space="0"/>
              <w:right w:val="single" w:color="auto" w:sz="4" w:space="0"/>
            </w:tcBorders>
            <w:noWrap w:val="0"/>
            <w:vAlign w:val="center"/>
          </w:tcPr>
          <w:p w14:paraId="0B455DA8">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color w:val="auto"/>
                <w:sz w:val="24"/>
                <w:szCs w:val="24"/>
              </w:rPr>
              <w:t>统一社会信用代码</w:t>
            </w:r>
            <w:r>
              <w:rPr>
                <w:rFonts w:hint="eastAsia" w:ascii="宋体" w:hAnsi="宋体" w:eastAsia="宋体" w:cs="宋体"/>
                <w:color w:val="auto"/>
                <w:sz w:val="24"/>
                <w:szCs w:val="24"/>
                <w:lang w:val="en-US" w:eastAsia="zh-CN"/>
              </w:rPr>
              <w:t>证</w:t>
            </w:r>
          </w:p>
        </w:tc>
        <w:tc>
          <w:tcPr>
            <w:tcW w:w="3801" w:type="pct"/>
            <w:tcBorders>
              <w:top w:val="single" w:color="auto" w:sz="4" w:space="0"/>
              <w:left w:val="single" w:color="auto" w:sz="4" w:space="0"/>
              <w:bottom w:val="single" w:color="auto" w:sz="4" w:space="0"/>
              <w:right w:val="single" w:color="auto" w:sz="4" w:space="0"/>
            </w:tcBorders>
            <w:noWrap w:val="0"/>
            <w:vAlign w:val="center"/>
          </w:tcPr>
          <w:p w14:paraId="506D3178">
            <w:pPr>
              <w:keepNext w:val="0"/>
              <w:keepLines w:val="0"/>
              <w:pageBreakBefore w:val="0"/>
              <w:widowControl/>
              <w:kinsoku/>
              <w:wordWrap/>
              <w:overflowPunct/>
              <w:topLinePunct w:val="0"/>
              <w:autoSpaceDE/>
              <w:autoSpaceDN/>
              <w:bidi w:val="0"/>
              <w:adjustRightInd/>
              <w:snapToGrid/>
              <w:spacing w:line="240" w:lineRule="auto"/>
              <w:ind w:firstLine="240" w:firstLineChars="1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auto"/>
                <w:sz w:val="24"/>
                <w:szCs w:val="24"/>
              </w:rPr>
              <w:t>具有独立承担民事责任的能力，提供营业执照、税务登记证、组织机构代码证或登载有统一社会信用代码的营业执照（或《事业单位法人证书》或其他合法组织登记证书、自然人只须提交身份证复印件）；</w:t>
            </w:r>
          </w:p>
        </w:tc>
      </w:tr>
      <w:tr w14:paraId="2C47D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0" w:hRule="atLeast"/>
        </w:trPr>
        <w:tc>
          <w:tcPr>
            <w:tcW w:w="427" w:type="pct"/>
            <w:vMerge w:val="continue"/>
            <w:tcBorders>
              <w:left w:val="single" w:color="auto" w:sz="4" w:space="0"/>
              <w:right w:val="single" w:color="auto" w:sz="4" w:space="0"/>
            </w:tcBorders>
            <w:noWrap w:val="0"/>
            <w:vAlign w:val="center"/>
          </w:tcPr>
          <w:p w14:paraId="4F4BDA3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sz w:val="24"/>
                <w:szCs w:val="24"/>
              </w:rPr>
            </w:pPr>
          </w:p>
        </w:tc>
        <w:tc>
          <w:tcPr>
            <w:tcW w:w="771" w:type="pct"/>
            <w:tcBorders>
              <w:top w:val="single" w:color="auto" w:sz="4" w:space="0"/>
              <w:left w:val="single" w:color="auto" w:sz="4" w:space="0"/>
              <w:bottom w:val="single" w:color="auto" w:sz="4" w:space="0"/>
              <w:right w:val="single" w:color="auto" w:sz="4" w:space="0"/>
            </w:tcBorders>
            <w:noWrap w:val="0"/>
            <w:vAlign w:val="center"/>
          </w:tcPr>
          <w:p w14:paraId="1E89A9A5">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法定代表人授权委托书</w:t>
            </w:r>
          </w:p>
        </w:tc>
        <w:tc>
          <w:tcPr>
            <w:tcW w:w="3801" w:type="pct"/>
            <w:tcBorders>
              <w:top w:val="single" w:color="auto" w:sz="4" w:space="0"/>
              <w:left w:val="single" w:color="auto" w:sz="4" w:space="0"/>
              <w:bottom w:val="single" w:color="auto" w:sz="4" w:space="0"/>
              <w:right w:val="single" w:color="auto" w:sz="4" w:space="0"/>
            </w:tcBorders>
            <w:noWrap w:val="0"/>
            <w:vAlign w:val="center"/>
          </w:tcPr>
          <w:p w14:paraId="745C7778">
            <w:pPr>
              <w:keepNext w:val="0"/>
              <w:keepLines w:val="0"/>
              <w:pageBreakBefore w:val="0"/>
              <w:widowControl/>
              <w:kinsoku/>
              <w:wordWrap/>
              <w:overflowPunct/>
              <w:topLinePunct w:val="0"/>
              <w:autoSpaceDE/>
              <w:autoSpaceDN/>
              <w:bidi w:val="0"/>
              <w:adjustRightInd/>
              <w:snapToGrid/>
              <w:spacing w:line="240" w:lineRule="auto"/>
              <w:ind w:firstLine="240" w:firstLineChars="1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auto"/>
                <w:sz w:val="24"/>
                <w:szCs w:val="24"/>
              </w:rPr>
              <w:t>提供法定代表人授权书（附法定代表人身份证复印件）及被授权代表身份证复印件（法定代表人直接参加只须提供法定代表人身份证复印件）；</w:t>
            </w:r>
          </w:p>
        </w:tc>
      </w:tr>
      <w:tr w14:paraId="448E4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915" w:hRule="atLeast"/>
        </w:trPr>
        <w:tc>
          <w:tcPr>
            <w:tcW w:w="427" w:type="pct"/>
            <w:vMerge w:val="continue"/>
            <w:tcBorders>
              <w:left w:val="single" w:color="auto" w:sz="4" w:space="0"/>
              <w:right w:val="single" w:color="auto" w:sz="4" w:space="0"/>
            </w:tcBorders>
            <w:noWrap w:val="0"/>
            <w:vAlign w:val="center"/>
          </w:tcPr>
          <w:p w14:paraId="4E43A198">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sz w:val="24"/>
                <w:szCs w:val="24"/>
              </w:rPr>
            </w:pPr>
          </w:p>
        </w:tc>
        <w:tc>
          <w:tcPr>
            <w:tcW w:w="771" w:type="pct"/>
            <w:tcBorders>
              <w:top w:val="single" w:color="auto" w:sz="4" w:space="0"/>
              <w:left w:val="single" w:color="auto" w:sz="4" w:space="0"/>
              <w:bottom w:val="single" w:color="auto" w:sz="4" w:space="0"/>
              <w:right w:val="single" w:color="auto" w:sz="4" w:space="0"/>
            </w:tcBorders>
            <w:noWrap w:val="0"/>
            <w:vAlign w:val="center"/>
          </w:tcPr>
          <w:p w14:paraId="5917052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color w:val="auto"/>
                <w:sz w:val="24"/>
                <w:szCs w:val="24"/>
              </w:rPr>
              <w:t>税收缴纳证明</w:t>
            </w:r>
          </w:p>
        </w:tc>
        <w:tc>
          <w:tcPr>
            <w:tcW w:w="3801" w:type="pct"/>
            <w:tcBorders>
              <w:top w:val="single" w:color="auto" w:sz="4" w:space="0"/>
              <w:left w:val="single" w:color="auto" w:sz="4" w:space="0"/>
              <w:bottom w:val="single" w:color="auto" w:sz="4" w:space="0"/>
              <w:right w:val="single" w:color="auto" w:sz="4" w:space="0"/>
            </w:tcBorders>
            <w:noWrap w:val="0"/>
            <w:vAlign w:val="center"/>
          </w:tcPr>
          <w:p w14:paraId="6B8F10F5">
            <w:pPr>
              <w:keepNext w:val="0"/>
              <w:keepLines w:val="0"/>
              <w:pageBreakBefore w:val="0"/>
              <w:widowControl/>
              <w:kinsoku/>
              <w:wordWrap/>
              <w:overflowPunct/>
              <w:topLinePunct w:val="0"/>
              <w:autoSpaceDE/>
              <w:autoSpaceDN/>
              <w:bidi w:val="0"/>
              <w:adjustRightInd/>
              <w:snapToGrid/>
              <w:spacing w:line="240" w:lineRule="auto"/>
              <w:ind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税收缴纳证明:自</w:t>
            </w:r>
            <w:r>
              <w:rPr>
                <w:rFonts w:hint="eastAsia" w:ascii="宋体" w:hAnsi="宋体" w:eastAsia="宋体" w:cs="宋体"/>
                <w:color w:val="auto"/>
                <w:sz w:val="24"/>
                <w:szCs w:val="24"/>
                <w:lang w:eastAsia="zh-CN"/>
              </w:rPr>
              <w:t>2025年11月</w:t>
            </w:r>
            <w:r>
              <w:rPr>
                <w:rFonts w:hint="eastAsia" w:ascii="宋体" w:hAnsi="宋体" w:eastAsia="宋体" w:cs="宋体"/>
                <w:color w:val="auto"/>
                <w:sz w:val="24"/>
                <w:szCs w:val="24"/>
              </w:rPr>
              <w:t>至今至少1个月的纳税证明或完税证明(提供增值税、企业所得税至少一种),纳税证明或完税证明上应有代收机构或税务机关的公章或业务专用章。依法免税的供应商应提供相关文件证明；</w:t>
            </w:r>
          </w:p>
        </w:tc>
      </w:tr>
      <w:tr w14:paraId="6EE9F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0" w:hRule="atLeast"/>
        </w:trPr>
        <w:tc>
          <w:tcPr>
            <w:tcW w:w="427" w:type="pct"/>
            <w:vMerge w:val="continue"/>
            <w:tcBorders>
              <w:left w:val="single" w:color="auto" w:sz="4" w:space="0"/>
              <w:right w:val="single" w:color="auto" w:sz="4" w:space="0"/>
            </w:tcBorders>
            <w:noWrap w:val="0"/>
            <w:vAlign w:val="center"/>
          </w:tcPr>
          <w:p w14:paraId="63F4E334">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sz w:val="24"/>
                <w:szCs w:val="24"/>
              </w:rPr>
            </w:pPr>
          </w:p>
        </w:tc>
        <w:tc>
          <w:tcPr>
            <w:tcW w:w="771" w:type="pct"/>
            <w:tcBorders>
              <w:top w:val="single" w:color="auto" w:sz="4" w:space="0"/>
              <w:left w:val="single" w:color="auto" w:sz="4" w:space="0"/>
              <w:bottom w:val="single" w:color="auto" w:sz="4" w:space="0"/>
              <w:right w:val="single" w:color="auto" w:sz="4" w:space="0"/>
            </w:tcBorders>
            <w:noWrap w:val="0"/>
            <w:vAlign w:val="center"/>
          </w:tcPr>
          <w:p w14:paraId="4C01FB1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color w:val="auto"/>
                <w:sz w:val="24"/>
                <w:szCs w:val="24"/>
              </w:rPr>
              <w:t>社会保障资金缴纳证明</w:t>
            </w:r>
          </w:p>
        </w:tc>
        <w:tc>
          <w:tcPr>
            <w:tcW w:w="3801" w:type="pct"/>
            <w:tcBorders>
              <w:top w:val="single" w:color="auto" w:sz="4" w:space="0"/>
              <w:left w:val="single" w:color="auto" w:sz="4" w:space="0"/>
              <w:bottom w:val="single" w:color="auto" w:sz="4" w:space="0"/>
              <w:right w:val="single" w:color="auto" w:sz="4" w:space="0"/>
            </w:tcBorders>
            <w:noWrap w:val="0"/>
            <w:vAlign w:val="center"/>
          </w:tcPr>
          <w:p w14:paraId="406F5E9B">
            <w:pPr>
              <w:keepNext w:val="0"/>
              <w:keepLines w:val="0"/>
              <w:pageBreakBefore w:val="0"/>
              <w:widowControl/>
              <w:kinsoku/>
              <w:wordWrap/>
              <w:overflowPunct/>
              <w:topLinePunct w:val="0"/>
              <w:autoSpaceDE/>
              <w:autoSpaceDN/>
              <w:bidi w:val="0"/>
              <w:adjustRightInd/>
              <w:snapToGrid/>
              <w:spacing w:line="240" w:lineRule="auto"/>
              <w:ind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自</w:t>
            </w:r>
            <w:r>
              <w:rPr>
                <w:rFonts w:hint="eastAsia" w:ascii="宋体" w:hAnsi="宋体" w:eastAsia="宋体" w:cs="宋体"/>
                <w:color w:val="auto"/>
                <w:sz w:val="24"/>
                <w:szCs w:val="24"/>
                <w:lang w:eastAsia="zh-CN"/>
              </w:rPr>
              <w:t>2025年11月</w:t>
            </w:r>
            <w:r>
              <w:rPr>
                <w:rFonts w:hint="eastAsia" w:ascii="宋体" w:hAnsi="宋体" w:eastAsia="宋体" w:cs="宋体"/>
                <w:color w:val="auto"/>
                <w:sz w:val="24"/>
                <w:szCs w:val="24"/>
              </w:rPr>
              <w:t>至今已缴存的至少1个月的社会保障资金缴存单据或社保机构开具的社会保险参保缴费情况证明，单据或证明上应有社保机构或代收机构的印章。依法不需要缴纳社会保障资金的供应商应提供相关文件证明；</w:t>
            </w:r>
          </w:p>
        </w:tc>
      </w:tr>
      <w:tr w14:paraId="53A07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0" w:hRule="atLeast"/>
        </w:trPr>
        <w:tc>
          <w:tcPr>
            <w:tcW w:w="427" w:type="pct"/>
            <w:vMerge w:val="continue"/>
            <w:tcBorders>
              <w:left w:val="single" w:color="auto" w:sz="4" w:space="0"/>
              <w:right w:val="single" w:color="auto" w:sz="4" w:space="0"/>
            </w:tcBorders>
            <w:noWrap w:val="0"/>
            <w:vAlign w:val="center"/>
          </w:tcPr>
          <w:p w14:paraId="59ABE3C5">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sz w:val="24"/>
                <w:szCs w:val="24"/>
              </w:rPr>
            </w:pPr>
          </w:p>
        </w:tc>
        <w:tc>
          <w:tcPr>
            <w:tcW w:w="771" w:type="pct"/>
            <w:tcBorders>
              <w:top w:val="single" w:color="auto" w:sz="4" w:space="0"/>
              <w:left w:val="single" w:color="auto" w:sz="4" w:space="0"/>
              <w:bottom w:val="single" w:color="auto" w:sz="4" w:space="0"/>
              <w:right w:val="single" w:color="auto" w:sz="4" w:space="0"/>
            </w:tcBorders>
            <w:noWrap w:val="0"/>
            <w:vAlign w:val="center"/>
          </w:tcPr>
          <w:p w14:paraId="02F78A4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sz w:val="24"/>
                <w:szCs w:val="24"/>
                <w:lang w:val="en-US" w:eastAsia="zh-CN"/>
              </w:rPr>
            </w:pPr>
            <w:r>
              <w:rPr>
                <w:rFonts w:hint="eastAsia" w:cs="宋体"/>
                <w:color w:val="auto"/>
                <w:sz w:val="24"/>
                <w:szCs w:val="24"/>
                <w:lang w:eastAsia="zh-CN"/>
              </w:rPr>
              <w:t>财务状况报告</w:t>
            </w:r>
          </w:p>
        </w:tc>
        <w:tc>
          <w:tcPr>
            <w:tcW w:w="3801" w:type="pct"/>
            <w:tcBorders>
              <w:top w:val="single" w:color="auto" w:sz="4" w:space="0"/>
              <w:left w:val="single" w:color="auto" w:sz="4" w:space="0"/>
              <w:bottom w:val="single" w:color="auto" w:sz="4" w:space="0"/>
              <w:right w:val="single" w:color="auto" w:sz="4" w:space="0"/>
            </w:tcBorders>
            <w:noWrap w:val="0"/>
            <w:vAlign w:val="center"/>
          </w:tcPr>
          <w:p w14:paraId="328E9700">
            <w:pPr>
              <w:keepNext w:val="0"/>
              <w:keepLines w:val="0"/>
              <w:pageBreakBefore w:val="0"/>
              <w:widowControl/>
              <w:kinsoku/>
              <w:wordWrap/>
              <w:overflowPunct/>
              <w:topLinePunct w:val="0"/>
              <w:autoSpaceDE/>
              <w:autoSpaceDN/>
              <w:bidi w:val="0"/>
              <w:adjustRightInd/>
              <w:snapToGrid/>
              <w:spacing w:line="240" w:lineRule="auto"/>
              <w:ind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提供近三年任意一年度经审计的财务会计报告（至少应包含资产负债表、利润表和现金流量表，成立时间至提交投标文件截止时间不足一年的可提供成立后任意时段的资产负债表）；或其基本存款账户开户银行出具的资信证明及基本存款账户开户许可证；或政府采购信用担保机构出具的投标担保函；</w:t>
            </w:r>
          </w:p>
        </w:tc>
      </w:tr>
      <w:tr w14:paraId="04394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0" w:hRule="atLeast"/>
        </w:trPr>
        <w:tc>
          <w:tcPr>
            <w:tcW w:w="427" w:type="pct"/>
            <w:vMerge w:val="continue"/>
            <w:tcBorders>
              <w:left w:val="single" w:color="auto" w:sz="4" w:space="0"/>
              <w:right w:val="single" w:color="auto" w:sz="4" w:space="0"/>
            </w:tcBorders>
            <w:noWrap w:val="0"/>
            <w:vAlign w:val="center"/>
          </w:tcPr>
          <w:p w14:paraId="6F051FA8">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sz w:val="24"/>
                <w:szCs w:val="24"/>
              </w:rPr>
            </w:pPr>
          </w:p>
        </w:tc>
        <w:tc>
          <w:tcPr>
            <w:tcW w:w="771" w:type="pct"/>
            <w:tcBorders>
              <w:top w:val="single" w:color="auto" w:sz="4" w:space="0"/>
              <w:left w:val="single" w:color="auto" w:sz="4" w:space="0"/>
              <w:bottom w:val="single" w:color="auto" w:sz="4" w:space="0"/>
              <w:right w:val="single" w:color="auto" w:sz="4" w:space="0"/>
            </w:tcBorders>
            <w:noWrap w:val="0"/>
            <w:vAlign w:val="center"/>
          </w:tcPr>
          <w:p w14:paraId="3ED404A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无违法声明</w:t>
            </w:r>
          </w:p>
        </w:tc>
        <w:tc>
          <w:tcPr>
            <w:tcW w:w="3801" w:type="pct"/>
            <w:tcBorders>
              <w:top w:val="single" w:color="auto" w:sz="4" w:space="0"/>
              <w:left w:val="single" w:color="auto" w:sz="4" w:space="0"/>
              <w:bottom w:val="single" w:color="auto" w:sz="4" w:space="0"/>
              <w:right w:val="single" w:color="auto" w:sz="4" w:space="0"/>
            </w:tcBorders>
            <w:noWrap w:val="0"/>
            <w:vAlign w:val="center"/>
          </w:tcPr>
          <w:p w14:paraId="16B0CB13">
            <w:pPr>
              <w:keepNext w:val="0"/>
              <w:keepLines w:val="0"/>
              <w:pageBreakBefore w:val="0"/>
              <w:widowControl/>
              <w:kinsoku/>
              <w:wordWrap/>
              <w:overflowPunct/>
              <w:topLinePunct w:val="0"/>
              <w:autoSpaceDE/>
              <w:autoSpaceDN/>
              <w:bidi w:val="0"/>
              <w:adjustRightInd/>
              <w:snapToGrid/>
              <w:spacing w:line="240" w:lineRule="auto"/>
              <w:ind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参加政府采购活动前3年内（2023年1月至今）在经营活动中没有重大违法记录的书面声明（供应商自行出具声明书并加盖公章）</w:t>
            </w:r>
          </w:p>
        </w:tc>
      </w:tr>
      <w:tr w14:paraId="69783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0" w:hRule="atLeast"/>
        </w:trPr>
        <w:tc>
          <w:tcPr>
            <w:tcW w:w="427" w:type="pct"/>
            <w:vMerge w:val="continue"/>
            <w:tcBorders>
              <w:left w:val="single" w:color="auto" w:sz="4" w:space="0"/>
              <w:right w:val="single" w:color="auto" w:sz="4" w:space="0"/>
            </w:tcBorders>
            <w:noWrap w:val="0"/>
            <w:vAlign w:val="center"/>
          </w:tcPr>
          <w:p w14:paraId="1A42B25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sz w:val="24"/>
                <w:szCs w:val="24"/>
              </w:rPr>
            </w:pPr>
          </w:p>
        </w:tc>
        <w:tc>
          <w:tcPr>
            <w:tcW w:w="771" w:type="pct"/>
            <w:tcBorders>
              <w:top w:val="single" w:color="auto" w:sz="4" w:space="0"/>
              <w:left w:val="single" w:color="auto" w:sz="4" w:space="0"/>
              <w:bottom w:val="single" w:color="auto" w:sz="4" w:space="0"/>
              <w:right w:val="single" w:color="auto" w:sz="4" w:space="0"/>
            </w:tcBorders>
            <w:noWrap w:val="0"/>
            <w:vAlign w:val="center"/>
          </w:tcPr>
          <w:p w14:paraId="701EAE5B">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sz w:val="24"/>
                <w:szCs w:val="24"/>
                <w:lang w:val="en-US" w:eastAsia="zh-CN"/>
              </w:rPr>
            </w:pPr>
            <w:r>
              <w:rPr>
                <w:rFonts w:hint="eastAsia" w:ascii="宋体" w:hAnsi="宋体" w:eastAsia="宋体" w:cs="宋体"/>
                <w:color w:val="auto"/>
                <w:sz w:val="24"/>
                <w:szCs w:val="24"/>
              </w:rPr>
              <w:t>本项目不接受联合投标</w:t>
            </w:r>
          </w:p>
        </w:tc>
        <w:tc>
          <w:tcPr>
            <w:tcW w:w="3801" w:type="pct"/>
            <w:tcBorders>
              <w:top w:val="single" w:color="auto" w:sz="4" w:space="0"/>
              <w:left w:val="single" w:color="auto" w:sz="4" w:space="0"/>
              <w:bottom w:val="single" w:color="auto" w:sz="4" w:space="0"/>
              <w:right w:val="single" w:color="auto" w:sz="4" w:space="0"/>
            </w:tcBorders>
            <w:noWrap w:val="0"/>
            <w:vAlign w:val="center"/>
          </w:tcPr>
          <w:p w14:paraId="4E6E0493">
            <w:pPr>
              <w:keepNext w:val="0"/>
              <w:keepLines w:val="0"/>
              <w:pageBreakBefore w:val="0"/>
              <w:widowControl/>
              <w:kinsoku/>
              <w:wordWrap/>
              <w:overflowPunct/>
              <w:topLinePunct w:val="0"/>
              <w:autoSpaceDE/>
              <w:autoSpaceDN/>
              <w:bidi w:val="0"/>
              <w:adjustRightInd/>
              <w:snapToGrid/>
              <w:spacing w:line="240" w:lineRule="auto"/>
              <w:ind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本项目不接受联合投标</w:t>
            </w:r>
          </w:p>
        </w:tc>
      </w:tr>
      <w:tr w14:paraId="69D5B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0" w:hRule="atLeast"/>
        </w:trPr>
        <w:tc>
          <w:tcPr>
            <w:tcW w:w="5000" w:type="pct"/>
            <w:gridSpan w:val="3"/>
            <w:tcBorders>
              <w:left w:val="single" w:color="auto" w:sz="4" w:space="0"/>
              <w:bottom w:val="single" w:color="auto" w:sz="4" w:space="0"/>
              <w:right w:val="single" w:color="auto" w:sz="4" w:space="0"/>
            </w:tcBorders>
            <w:noWrap w:val="0"/>
            <w:vAlign w:val="center"/>
          </w:tcPr>
          <w:p w14:paraId="04671114">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b/>
                <w:color w:val="000000"/>
                <w:sz w:val="24"/>
                <w:szCs w:val="24"/>
              </w:rPr>
              <w:t>注：审查不合格的投标供应商将视为非响应投标，不再进入后续评标阶段。</w:t>
            </w:r>
          </w:p>
        </w:tc>
      </w:tr>
    </w:tbl>
    <w:p w14:paraId="0BD33FFC">
      <w:pPr>
        <w:keepNext w:val="0"/>
        <w:keepLines w:val="0"/>
        <w:pageBreakBefore w:val="0"/>
        <w:kinsoku/>
        <w:wordWrap/>
        <w:overflowPunct/>
        <w:topLinePunct w:val="0"/>
        <w:autoSpaceDE w:val="0"/>
        <w:autoSpaceDN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20.2.2 符合性评审：磋商小组对响应文件的有效性、完整性和响应程度进行审查，出现下列情况的按无效文件处理。</w:t>
      </w:r>
    </w:p>
    <w:p w14:paraId="78C34CA2">
      <w:pPr>
        <w:keepNext w:val="0"/>
        <w:keepLines w:val="0"/>
        <w:pageBreakBefore w:val="0"/>
        <w:kinsoku/>
        <w:wordWrap/>
        <w:overflowPunct/>
        <w:topLinePunct w:val="0"/>
        <w:autoSpaceDE w:val="0"/>
        <w:autoSpaceDN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（1）资质有效性评审：本次磋商所要求的必备资质证明文件，缺其中一项或某项达不到磋商要求，均按无效文件处理。</w:t>
      </w:r>
    </w:p>
    <w:p w14:paraId="6305266C">
      <w:pPr>
        <w:keepNext w:val="0"/>
        <w:keepLines w:val="0"/>
        <w:pageBreakBefore w:val="0"/>
        <w:kinsoku/>
        <w:wordWrap/>
        <w:overflowPunct/>
        <w:topLinePunct w:val="0"/>
        <w:autoSpaceDE w:val="0"/>
        <w:autoSpaceDN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符合性评审：如发现下列情况之一的，其投标将按无效处理：</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57" w:type="dxa"/>
          <w:bottom w:w="57" w:type="dxa"/>
          <w:right w:w="57" w:type="dxa"/>
        </w:tblCellMar>
      </w:tblPr>
      <w:tblGrid>
        <w:gridCol w:w="405"/>
        <w:gridCol w:w="594"/>
        <w:gridCol w:w="2182"/>
        <w:gridCol w:w="5563"/>
      </w:tblGrid>
      <w:tr w14:paraId="5CC1E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39" w:hRule="atLeast"/>
          <w:jc w:val="center"/>
        </w:trPr>
        <w:tc>
          <w:tcPr>
            <w:tcW w:w="405" w:type="dxa"/>
            <w:vMerge w:val="restart"/>
            <w:tcBorders>
              <w:top w:val="single" w:color="auto" w:sz="4" w:space="0"/>
              <w:left w:val="single" w:color="auto" w:sz="4" w:space="0"/>
              <w:right w:val="single" w:color="auto" w:sz="4" w:space="0"/>
            </w:tcBorders>
            <w:noWrap w:val="0"/>
            <w:vAlign w:val="center"/>
          </w:tcPr>
          <w:p w14:paraId="27B73EC8">
            <w:pPr>
              <w:keepNext w:val="0"/>
              <w:keepLines w:val="0"/>
              <w:pageBreakBefore w:val="0"/>
              <w:kinsoku/>
              <w:wordWrap/>
              <w:overflowPunct/>
              <w:topLinePunct w:val="0"/>
              <w:bidi w:val="0"/>
              <w:snapToGrid w:val="0"/>
              <w:spacing w:after="191" w:afterLines="50" w:line="240" w:lineRule="auto"/>
              <w:rPr>
                <w:rFonts w:hint="eastAsia" w:ascii="宋体" w:hAnsi="宋体" w:eastAsia="宋体" w:cs="宋体"/>
                <w:color w:val="000000"/>
                <w:sz w:val="24"/>
                <w:szCs w:val="24"/>
                <w:highlight w:val="none"/>
              </w:rPr>
            </w:pPr>
          </w:p>
          <w:p w14:paraId="66BAEFE8">
            <w:pPr>
              <w:keepNext w:val="0"/>
              <w:keepLines w:val="0"/>
              <w:pageBreakBefore w:val="0"/>
              <w:kinsoku/>
              <w:wordWrap/>
              <w:overflowPunct/>
              <w:topLinePunct w:val="0"/>
              <w:bidi w:val="0"/>
              <w:snapToGrid w:val="0"/>
              <w:spacing w:after="191" w:afterLines="50" w:line="240" w:lineRule="auto"/>
              <w:rPr>
                <w:rFonts w:hint="eastAsia" w:ascii="宋体" w:hAnsi="宋体" w:eastAsia="宋体" w:cs="宋体"/>
                <w:color w:val="000000"/>
                <w:sz w:val="24"/>
                <w:szCs w:val="24"/>
                <w:highlight w:val="none"/>
              </w:rPr>
            </w:pPr>
          </w:p>
          <w:p w14:paraId="1ED6F52C">
            <w:pPr>
              <w:keepNext w:val="0"/>
              <w:keepLines w:val="0"/>
              <w:pageBreakBefore w:val="0"/>
              <w:kinsoku/>
              <w:wordWrap/>
              <w:overflowPunct/>
              <w:topLinePunct w:val="0"/>
              <w:bidi w:val="0"/>
              <w:snapToGrid w:val="0"/>
              <w:spacing w:after="191" w:afterLines="50" w:line="240" w:lineRule="auto"/>
              <w:rPr>
                <w:rFonts w:hint="eastAsia" w:ascii="宋体" w:hAnsi="宋体" w:eastAsia="宋体" w:cs="宋体"/>
                <w:color w:val="000000"/>
                <w:sz w:val="24"/>
                <w:szCs w:val="24"/>
                <w:highlight w:val="none"/>
              </w:rPr>
            </w:pPr>
          </w:p>
          <w:p w14:paraId="2A31334E">
            <w:pPr>
              <w:keepNext w:val="0"/>
              <w:keepLines w:val="0"/>
              <w:pageBreakBefore w:val="0"/>
              <w:kinsoku/>
              <w:wordWrap/>
              <w:overflowPunct/>
              <w:topLinePunct w:val="0"/>
              <w:bidi w:val="0"/>
              <w:snapToGrid w:val="0"/>
              <w:spacing w:after="191" w:afterLines="5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符</w:t>
            </w:r>
          </w:p>
          <w:p w14:paraId="717AFDAB">
            <w:pPr>
              <w:keepNext w:val="0"/>
              <w:keepLines w:val="0"/>
              <w:pageBreakBefore w:val="0"/>
              <w:kinsoku/>
              <w:wordWrap/>
              <w:overflowPunct/>
              <w:topLinePunct w:val="0"/>
              <w:bidi w:val="0"/>
              <w:snapToGrid w:val="0"/>
              <w:spacing w:after="191" w:afterLines="5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合</w:t>
            </w:r>
          </w:p>
          <w:p w14:paraId="3B766C23">
            <w:pPr>
              <w:keepNext w:val="0"/>
              <w:keepLines w:val="0"/>
              <w:pageBreakBefore w:val="0"/>
              <w:kinsoku/>
              <w:wordWrap/>
              <w:overflowPunct/>
              <w:topLinePunct w:val="0"/>
              <w:bidi w:val="0"/>
              <w:snapToGrid w:val="0"/>
              <w:spacing w:after="191" w:afterLines="5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性</w:t>
            </w:r>
          </w:p>
          <w:p w14:paraId="616BF455">
            <w:pPr>
              <w:keepNext w:val="0"/>
              <w:keepLines w:val="0"/>
              <w:pageBreakBefore w:val="0"/>
              <w:tabs>
                <w:tab w:val="center" w:pos="248"/>
              </w:tabs>
              <w:kinsoku/>
              <w:wordWrap/>
              <w:overflowPunct/>
              <w:topLinePunct w:val="0"/>
              <w:bidi w:val="0"/>
              <w:snapToGrid w:val="0"/>
              <w:spacing w:after="191" w:afterLines="5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审</w:t>
            </w:r>
          </w:p>
          <w:p w14:paraId="76E076BE">
            <w:pPr>
              <w:keepNext w:val="0"/>
              <w:keepLines w:val="0"/>
              <w:pageBreakBefore w:val="0"/>
              <w:kinsoku/>
              <w:wordWrap/>
              <w:overflowPunct/>
              <w:topLinePunct w:val="0"/>
              <w:bidi w:val="0"/>
              <w:snapToGrid w:val="0"/>
              <w:spacing w:after="191" w:afterLines="5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查</w:t>
            </w:r>
          </w:p>
        </w:tc>
        <w:tc>
          <w:tcPr>
            <w:tcW w:w="594" w:type="dxa"/>
            <w:tcBorders>
              <w:top w:val="single" w:color="auto" w:sz="4" w:space="0"/>
              <w:left w:val="single" w:color="auto" w:sz="4" w:space="0"/>
              <w:bottom w:val="single" w:color="auto" w:sz="4" w:space="0"/>
              <w:right w:val="single" w:color="auto" w:sz="4" w:space="0"/>
            </w:tcBorders>
            <w:noWrap w:val="0"/>
            <w:vAlign w:val="center"/>
          </w:tcPr>
          <w:p w14:paraId="684FE01E">
            <w:pPr>
              <w:keepNext w:val="0"/>
              <w:keepLines w:val="0"/>
              <w:pageBreakBefore w:val="0"/>
              <w:widowControl w:val="0"/>
              <w:kinsoku/>
              <w:wordWrap/>
              <w:overflowPunct/>
              <w:topLinePunct w:val="0"/>
              <w:autoSpaceDE/>
              <w:autoSpaceDN/>
              <w:bidi w:val="0"/>
              <w:adjustRightInd/>
              <w:snapToGrid w:val="0"/>
              <w:spacing w:after="191" w:afterLines="50" w:line="240" w:lineRule="auto"/>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p>
        </w:tc>
        <w:tc>
          <w:tcPr>
            <w:tcW w:w="2182" w:type="dxa"/>
            <w:tcBorders>
              <w:top w:val="single" w:color="auto" w:sz="4" w:space="0"/>
              <w:left w:val="single" w:color="auto" w:sz="4" w:space="0"/>
              <w:right w:val="single" w:color="auto" w:sz="4" w:space="0"/>
            </w:tcBorders>
            <w:noWrap w:val="0"/>
            <w:vAlign w:val="center"/>
          </w:tcPr>
          <w:p w14:paraId="24C4C94A">
            <w:pPr>
              <w:keepNext w:val="0"/>
              <w:keepLines w:val="0"/>
              <w:pageBreakBefore w:val="0"/>
              <w:widowControl w:val="0"/>
              <w:kinsoku/>
              <w:wordWrap/>
              <w:overflowPunct/>
              <w:topLinePunct w:val="0"/>
              <w:autoSpaceDE/>
              <w:autoSpaceDN/>
              <w:bidi w:val="0"/>
              <w:adjustRightInd/>
              <w:snapToGrid w:val="0"/>
              <w:spacing w:after="191" w:afterLines="50" w:line="240" w:lineRule="auto"/>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投标人名称</w:t>
            </w:r>
          </w:p>
        </w:tc>
        <w:tc>
          <w:tcPr>
            <w:tcW w:w="5563" w:type="dxa"/>
            <w:tcBorders>
              <w:top w:val="single" w:color="auto" w:sz="4" w:space="0"/>
              <w:left w:val="single" w:color="auto" w:sz="4" w:space="0"/>
              <w:right w:val="single" w:color="auto" w:sz="4" w:space="0"/>
            </w:tcBorders>
            <w:noWrap w:val="0"/>
            <w:vAlign w:val="center"/>
          </w:tcPr>
          <w:p w14:paraId="6D27D17E">
            <w:pPr>
              <w:keepNext w:val="0"/>
              <w:keepLines w:val="0"/>
              <w:pageBreakBefore w:val="0"/>
              <w:widowControl w:val="0"/>
              <w:kinsoku/>
              <w:wordWrap/>
              <w:overflowPunct/>
              <w:topLinePunct w:val="0"/>
              <w:autoSpaceDE/>
              <w:autoSpaceDN/>
              <w:bidi w:val="0"/>
              <w:adjustRightInd/>
              <w:snapToGrid w:val="0"/>
              <w:spacing w:after="191" w:afterLines="50" w:line="240" w:lineRule="auto"/>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与营业执照、税务登记证和组织机构代码证一致</w:t>
            </w:r>
          </w:p>
        </w:tc>
      </w:tr>
      <w:tr w14:paraId="78135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60" w:hRule="atLeast"/>
          <w:jc w:val="center"/>
        </w:trPr>
        <w:tc>
          <w:tcPr>
            <w:tcW w:w="405" w:type="dxa"/>
            <w:vMerge w:val="continue"/>
            <w:tcBorders>
              <w:left w:val="single" w:color="auto" w:sz="4" w:space="0"/>
              <w:right w:val="single" w:color="auto" w:sz="4" w:space="0"/>
            </w:tcBorders>
            <w:noWrap w:val="0"/>
            <w:vAlign w:val="center"/>
          </w:tcPr>
          <w:p w14:paraId="6F9148B4">
            <w:pPr>
              <w:keepNext w:val="0"/>
              <w:keepLines w:val="0"/>
              <w:pageBreakBefore w:val="0"/>
              <w:kinsoku/>
              <w:wordWrap/>
              <w:overflowPunct/>
              <w:topLinePunct w:val="0"/>
              <w:bidi w:val="0"/>
              <w:snapToGrid w:val="0"/>
              <w:spacing w:after="191" w:afterLines="50" w:line="240" w:lineRule="auto"/>
              <w:ind w:firstLine="580"/>
              <w:rPr>
                <w:rFonts w:hint="eastAsia" w:ascii="宋体" w:hAnsi="宋体" w:eastAsia="宋体" w:cs="宋体"/>
                <w:color w:val="000000"/>
                <w:sz w:val="24"/>
                <w:szCs w:val="24"/>
                <w:highlight w:val="none"/>
              </w:rPr>
            </w:pPr>
          </w:p>
        </w:tc>
        <w:tc>
          <w:tcPr>
            <w:tcW w:w="594" w:type="dxa"/>
            <w:tcBorders>
              <w:top w:val="single" w:color="auto" w:sz="4" w:space="0"/>
              <w:left w:val="single" w:color="auto" w:sz="4" w:space="0"/>
              <w:right w:val="single" w:color="auto" w:sz="4" w:space="0"/>
            </w:tcBorders>
            <w:noWrap w:val="0"/>
            <w:vAlign w:val="center"/>
          </w:tcPr>
          <w:p w14:paraId="5B9E8C9B">
            <w:pPr>
              <w:keepNext w:val="0"/>
              <w:keepLines w:val="0"/>
              <w:pageBreakBefore w:val="0"/>
              <w:widowControl w:val="0"/>
              <w:kinsoku/>
              <w:wordWrap/>
              <w:overflowPunct/>
              <w:topLinePunct w:val="0"/>
              <w:autoSpaceDE/>
              <w:autoSpaceDN/>
              <w:bidi w:val="0"/>
              <w:adjustRightInd/>
              <w:snapToGrid w:val="0"/>
              <w:spacing w:after="191" w:afterLines="50" w:line="240" w:lineRule="auto"/>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p>
        </w:tc>
        <w:tc>
          <w:tcPr>
            <w:tcW w:w="2182" w:type="dxa"/>
            <w:tcBorders>
              <w:left w:val="single" w:color="auto" w:sz="4" w:space="0"/>
              <w:right w:val="single" w:color="auto" w:sz="4" w:space="0"/>
            </w:tcBorders>
            <w:noWrap w:val="0"/>
            <w:vAlign w:val="center"/>
          </w:tcPr>
          <w:p w14:paraId="4964F881">
            <w:pPr>
              <w:keepNext w:val="0"/>
              <w:keepLines w:val="0"/>
              <w:pageBreakBefore w:val="0"/>
              <w:widowControl w:val="0"/>
              <w:kinsoku/>
              <w:wordWrap/>
              <w:overflowPunct/>
              <w:topLinePunct w:val="0"/>
              <w:autoSpaceDE/>
              <w:autoSpaceDN/>
              <w:bidi w:val="0"/>
              <w:adjustRightInd/>
              <w:snapToGrid w:val="0"/>
              <w:spacing w:after="191" w:afterLines="50" w:line="240" w:lineRule="auto"/>
              <w:jc w:val="center"/>
              <w:textAlignment w:va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项目名称、项目编号</w:t>
            </w:r>
          </w:p>
        </w:tc>
        <w:tc>
          <w:tcPr>
            <w:tcW w:w="5563" w:type="dxa"/>
            <w:tcBorders>
              <w:left w:val="single" w:color="auto" w:sz="4" w:space="0"/>
              <w:right w:val="single" w:color="auto" w:sz="4" w:space="0"/>
            </w:tcBorders>
            <w:noWrap w:val="0"/>
            <w:vAlign w:val="center"/>
          </w:tcPr>
          <w:p w14:paraId="1BA3D22C">
            <w:pPr>
              <w:keepNext w:val="0"/>
              <w:keepLines w:val="0"/>
              <w:pageBreakBefore w:val="0"/>
              <w:widowControl w:val="0"/>
              <w:kinsoku/>
              <w:wordWrap/>
              <w:overflowPunct/>
              <w:topLinePunct w:val="0"/>
              <w:autoSpaceDE/>
              <w:autoSpaceDN/>
              <w:bidi w:val="0"/>
              <w:adjustRightInd/>
              <w:snapToGrid w:val="0"/>
              <w:spacing w:after="191" w:afterLines="50" w:line="240" w:lineRule="auto"/>
              <w:jc w:val="center"/>
              <w:textAlignment w:val="auto"/>
              <w:rPr>
                <w:rFonts w:hint="eastAsia" w:ascii="宋体" w:hAnsi="宋体" w:eastAsia="宋体" w:cs="宋体"/>
                <w:color w:val="000000"/>
                <w:sz w:val="24"/>
                <w:szCs w:val="24"/>
                <w:highlight w:val="none"/>
                <w:lang w:val="zh-CN"/>
              </w:rPr>
            </w:pPr>
            <w:r>
              <w:rPr>
                <w:rFonts w:hint="eastAsia" w:ascii="宋体" w:hAnsi="宋体" w:eastAsia="宋体" w:cs="宋体"/>
                <w:color w:val="auto"/>
                <w:sz w:val="24"/>
                <w:szCs w:val="24"/>
                <w:highlight w:val="none"/>
                <w:lang w:val="en-US" w:eastAsia="zh-CN"/>
              </w:rPr>
              <w:t>与</w:t>
            </w:r>
            <w:r>
              <w:rPr>
                <w:rFonts w:hint="eastAsia" w:ascii="宋体" w:hAnsi="宋体" w:eastAsia="宋体" w:cs="宋体"/>
                <w:color w:val="auto"/>
                <w:sz w:val="24"/>
                <w:szCs w:val="24"/>
                <w:highlight w:val="none"/>
              </w:rPr>
              <w:t>本项目完全一致</w:t>
            </w:r>
          </w:p>
        </w:tc>
      </w:tr>
      <w:tr w14:paraId="76073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92" w:hRule="atLeast"/>
          <w:jc w:val="center"/>
        </w:trPr>
        <w:tc>
          <w:tcPr>
            <w:tcW w:w="405" w:type="dxa"/>
            <w:vMerge w:val="continue"/>
            <w:tcBorders>
              <w:left w:val="single" w:color="auto" w:sz="4" w:space="0"/>
              <w:right w:val="single" w:color="auto" w:sz="4" w:space="0"/>
            </w:tcBorders>
            <w:noWrap w:val="0"/>
            <w:vAlign w:val="center"/>
          </w:tcPr>
          <w:p w14:paraId="3AE19276">
            <w:pPr>
              <w:keepNext w:val="0"/>
              <w:keepLines w:val="0"/>
              <w:pageBreakBefore w:val="0"/>
              <w:kinsoku/>
              <w:wordWrap/>
              <w:overflowPunct/>
              <w:topLinePunct w:val="0"/>
              <w:bidi w:val="0"/>
              <w:snapToGrid w:val="0"/>
              <w:spacing w:after="191" w:afterLines="50" w:line="240" w:lineRule="auto"/>
              <w:ind w:firstLine="580"/>
              <w:rPr>
                <w:rFonts w:hint="eastAsia" w:ascii="宋体" w:hAnsi="宋体" w:eastAsia="宋体" w:cs="宋体"/>
                <w:color w:val="000000"/>
                <w:sz w:val="24"/>
                <w:szCs w:val="24"/>
                <w:highlight w:val="none"/>
              </w:rPr>
            </w:pPr>
          </w:p>
        </w:tc>
        <w:tc>
          <w:tcPr>
            <w:tcW w:w="594" w:type="dxa"/>
            <w:tcBorders>
              <w:left w:val="single" w:color="auto" w:sz="4" w:space="0"/>
              <w:right w:val="single" w:color="auto" w:sz="4" w:space="0"/>
            </w:tcBorders>
            <w:noWrap w:val="0"/>
            <w:vAlign w:val="center"/>
          </w:tcPr>
          <w:p w14:paraId="3C9B4C72">
            <w:pPr>
              <w:keepNext w:val="0"/>
              <w:keepLines w:val="0"/>
              <w:pageBreakBefore w:val="0"/>
              <w:widowControl w:val="0"/>
              <w:kinsoku/>
              <w:wordWrap/>
              <w:overflowPunct/>
              <w:topLinePunct w:val="0"/>
              <w:autoSpaceDE/>
              <w:autoSpaceDN/>
              <w:bidi w:val="0"/>
              <w:adjustRightInd/>
              <w:snapToGrid w:val="0"/>
              <w:spacing w:after="191" w:afterLines="50" w:line="240" w:lineRule="auto"/>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p>
        </w:tc>
        <w:tc>
          <w:tcPr>
            <w:tcW w:w="2182" w:type="dxa"/>
            <w:tcBorders>
              <w:left w:val="single" w:color="auto" w:sz="4" w:space="0"/>
              <w:right w:val="single" w:color="auto" w:sz="4" w:space="0"/>
            </w:tcBorders>
            <w:noWrap w:val="0"/>
            <w:vAlign w:val="center"/>
          </w:tcPr>
          <w:p w14:paraId="70E7F1E4">
            <w:pPr>
              <w:keepNext w:val="0"/>
              <w:keepLines w:val="0"/>
              <w:pageBreakBefore w:val="0"/>
              <w:widowControl w:val="0"/>
              <w:kinsoku/>
              <w:wordWrap/>
              <w:overflowPunct/>
              <w:topLinePunct w:val="0"/>
              <w:autoSpaceDE/>
              <w:autoSpaceDN/>
              <w:bidi w:val="0"/>
              <w:adjustRightInd/>
              <w:snapToGrid w:val="0"/>
              <w:spacing w:after="191" w:afterLines="50" w:line="240" w:lineRule="auto"/>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投标文件的签署、盖章</w:t>
            </w:r>
          </w:p>
        </w:tc>
        <w:tc>
          <w:tcPr>
            <w:tcW w:w="5563" w:type="dxa"/>
            <w:tcBorders>
              <w:left w:val="single" w:color="auto" w:sz="4" w:space="0"/>
              <w:right w:val="single" w:color="auto" w:sz="4" w:space="0"/>
            </w:tcBorders>
            <w:noWrap w:val="0"/>
            <w:vAlign w:val="center"/>
          </w:tcPr>
          <w:p w14:paraId="5CF08A02">
            <w:pPr>
              <w:keepNext w:val="0"/>
              <w:keepLines w:val="0"/>
              <w:pageBreakBefore w:val="0"/>
              <w:widowControl w:val="0"/>
              <w:kinsoku/>
              <w:wordWrap/>
              <w:overflowPunct/>
              <w:topLinePunct w:val="0"/>
              <w:autoSpaceDE/>
              <w:autoSpaceDN/>
              <w:bidi w:val="0"/>
              <w:adjustRightInd/>
              <w:snapToGrid w:val="0"/>
              <w:spacing w:after="191" w:afterLines="50" w:line="240" w:lineRule="auto"/>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签署、盖章均符合</w:t>
            </w:r>
            <w:r>
              <w:rPr>
                <w:rFonts w:hint="eastAsia" w:ascii="宋体" w:hAnsi="宋体" w:eastAsia="宋体" w:cs="宋体"/>
                <w:color w:val="000000"/>
                <w:sz w:val="24"/>
                <w:szCs w:val="24"/>
                <w:highlight w:val="none"/>
                <w:lang w:eastAsia="zh-CN"/>
              </w:rPr>
              <w:t>磋商文件</w:t>
            </w:r>
            <w:r>
              <w:rPr>
                <w:rFonts w:hint="eastAsia" w:ascii="宋体" w:hAnsi="宋体" w:eastAsia="宋体" w:cs="宋体"/>
                <w:color w:val="000000"/>
                <w:sz w:val="24"/>
                <w:szCs w:val="24"/>
                <w:highlight w:val="none"/>
              </w:rPr>
              <w:t>要求，且无遗漏。</w:t>
            </w:r>
          </w:p>
        </w:tc>
      </w:tr>
      <w:tr w14:paraId="161EB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80" w:hRule="atLeast"/>
          <w:jc w:val="center"/>
        </w:trPr>
        <w:tc>
          <w:tcPr>
            <w:tcW w:w="405" w:type="dxa"/>
            <w:vMerge w:val="continue"/>
            <w:tcBorders>
              <w:left w:val="single" w:color="auto" w:sz="4" w:space="0"/>
              <w:right w:val="single" w:color="auto" w:sz="4" w:space="0"/>
            </w:tcBorders>
            <w:noWrap w:val="0"/>
            <w:vAlign w:val="center"/>
          </w:tcPr>
          <w:p w14:paraId="4ED0EFD3">
            <w:pPr>
              <w:keepNext w:val="0"/>
              <w:keepLines w:val="0"/>
              <w:pageBreakBefore w:val="0"/>
              <w:kinsoku/>
              <w:wordWrap/>
              <w:overflowPunct/>
              <w:topLinePunct w:val="0"/>
              <w:bidi w:val="0"/>
              <w:snapToGrid w:val="0"/>
              <w:spacing w:after="191" w:afterLines="50" w:line="240" w:lineRule="auto"/>
              <w:ind w:firstLine="580"/>
              <w:rPr>
                <w:rFonts w:hint="eastAsia" w:ascii="宋体" w:hAnsi="宋体" w:eastAsia="宋体" w:cs="宋体"/>
                <w:color w:val="000000"/>
                <w:sz w:val="24"/>
                <w:szCs w:val="24"/>
                <w:highlight w:val="none"/>
              </w:rPr>
            </w:pPr>
          </w:p>
        </w:tc>
        <w:tc>
          <w:tcPr>
            <w:tcW w:w="594" w:type="dxa"/>
            <w:tcBorders>
              <w:left w:val="single" w:color="auto" w:sz="4" w:space="0"/>
              <w:right w:val="single" w:color="auto" w:sz="4" w:space="0"/>
            </w:tcBorders>
            <w:noWrap w:val="0"/>
            <w:vAlign w:val="center"/>
          </w:tcPr>
          <w:p w14:paraId="7A8E2CB2">
            <w:pPr>
              <w:keepNext w:val="0"/>
              <w:keepLines w:val="0"/>
              <w:pageBreakBefore w:val="0"/>
              <w:widowControl w:val="0"/>
              <w:kinsoku/>
              <w:wordWrap/>
              <w:overflowPunct/>
              <w:topLinePunct w:val="0"/>
              <w:autoSpaceDE/>
              <w:autoSpaceDN/>
              <w:bidi w:val="0"/>
              <w:adjustRightInd/>
              <w:snapToGrid w:val="0"/>
              <w:spacing w:after="191" w:afterLines="50" w:line="240" w:lineRule="auto"/>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w:t>
            </w:r>
          </w:p>
        </w:tc>
        <w:tc>
          <w:tcPr>
            <w:tcW w:w="2182" w:type="dxa"/>
            <w:tcBorders>
              <w:left w:val="single" w:color="auto" w:sz="4" w:space="0"/>
              <w:right w:val="single" w:color="auto" w:sz="4" w:space="0"/>
            </w:tcBorders>
            <w:noWrap w:val="0"/>
            <w:vAlign w:val="center"/>
          </w:tcPr>
          <w:p w14:paraId="150C56C4">
            <w:pPr>
              <w:keepNext w:val="0"/>
              <w:keepLines w:val="0"/>
              <w:pageBreakBefore w:val="0"/>
              <w:widowControl w:val="0"/>
              <w:kinsoku/>
              <w:wordWrap/>
              <w:overflowPunct/>
              <w:topLinePunct w:val="0"/>
              <w:autoSpaceDE/>
              <w:autoSpaceDN/>
              <w:bidi w:val="0"/>
              <w:adjustRightInd/>
              <w:snapToGrid w:val="0"/>
              <w:spacing w:after="191" w:afterLines="50" w:line="240" w:lineRule="auto"/>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投标有效期</w:t>
            </w:r>
          </w:p>
        </w:tc>
        <w:tc>
          <w:tcPr>
            <w:tcW w:w="5563" w:type="dxa"/>
            <w:tcBorders>
              <w:left w:val="single" w:color="auto" w:sz="4" w:space="0"/>
              <w:right w:val="single" w:color="auto" w:sz="4" w:space="0"/>
            </w:tcBorders>
            <w:noWrap w:val="0"/>
            <w:vAlign w:val="center"/>
          </w:tcPr>
          <w:p w14:paraId="6E949471">
            <w:pPr>
              <w:keepNext w:val="0"/>
              <w:keepLines w:val="0"/>
              <w:pageBreakBefore w:val="0"/>
              <w:widowControl w:val="0"/>
              <w:kinsoku/>
              <w:wordWrap/>
              <w:overflowPunct/>
              <w:topLinePunct w:val="0"/>
              <w:autoSpaceDE/>
              <w:autoSpaceDN/>
              <w:bidi w:val="0"/>
              <w:adjustRightInd/>
              <w:snapToGrid w:val="0"/>
              <w:spacing w:after="191" w:afterLines="50" w:line="240" w:lineRule="auto"/>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符合</w:t>
            </w:r>
            <w:r>
              <w:rPr>
                <w:rFonts w:hint="eastAsia" w:ascii="宋体" w:hAnsi="宋体" w:eastAsia="宋体" w:cs="宋体"/>
                <w:color w:val="000000"/>
                <w:sz w:val="24"/>
                <w:szCs w:val="24"/>
                <w:highlight w:val="none"/>
                <w:lang w:eastAsia="zh-CN"/>
              </w:rPr>
              <w:t>磋商文件</w:t>
            </w:r>
            <w:r>
              <w:rPr>
                <w:rFonts w:hint="eastAsia" w:ascii="宋体" w:hAnsi="宋体" w:eastAsia="宋体" w:cs="宋体"/>
                <w:color w:val="000000"/>
                <w:sz w:val="24"/>
                <w:szCs w:val="24"/>
                <w:highlight w:val="none"/>
              </w:rPr>
              <w:t>要求</w:t>
            </w:r>
          </w:p>
        </w:tc>
      </w:tr>
      <w:tr w14:paraId="3B773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80" w:hRule="atLeast"/>
          <w:jc w:val="center"/>
        </w:trPr>
        <w:tc>
          <w:tcPr>
            <w:tcW w:w="405" w:type="dxa"/>
            <w:vMerge w:val="continue"/>
            <w:tcBorders>
              <w:left w:val="single" w:color="auto" w:sz="4" w:space="0"/>
              <w:right w:val="single" w:color="auto" w:sz="4" w:space="0"/>
            </w:tcBorders>
            <w:noWrap w:val="0"/>
            <w:vAlign w:val="center"/>
          </w:tcPr>
          <w:p w14:paraId="683F7FF1">
            <w:pPr>
              <w:keepNext w:val="0"/>
              <w:keepLines w:val="0"/>
              <w:pageBreakBefore w:val="0"/>
              <w:kinsoku/>
              <w:wordWrap/>
              <w:overflowPunct/>
              <w:topLinePunct w:val="0"/>
              <w:bidi w:val="0"/>
              <w:snapToGrid w:val="0"/>
              <w:spacing w:after="191" w:afterLines="50" w:line="240" w:lineRule="auto"/>
              <w:ind w:firstLine="580"/>
              <w:rPr>
                <w:rFonts w:hint="eastAsia" w:ascii="宋体" w:hAnsi="宋体" w:eastAsia="宋体" w:cs="宋体"/>
                <w:color w:val="000000"/>
                <w:sz w:val="24"/>
                <w:szCs w:val="24"/>
                <w:highlight w:val="none"/>
              </w:rPr>
            </w:pPr>
          </w:p>
        </w:tc>
        <w:tc>
          <w:tcPr>
            <w:tcW w:w="594" w:type="dxa"/>
            <w:tcBorders>
              <w:left w:val="single" w:color="auto" w:sz="4" w:space="0"/>
              <w:right w:val="single" w:color="auto" w:sz="4" w:space="0"/>
            </w:tcBorders>
            <w:noWrap w:val="0"/>
            <w:vAlign w:val="center"/>
          </w:tcPr>
          <w:p w14:paraId="5130C9DC">
            <w:pPr>
              <w:keepNext w:val="0"/>
              <w:keepLines w:val="0"/>
              <w:pageBreakBefore w:val="0"/>
              <w:widowControl w:val="0"/>
              <w:kinsoku/>
              <w:wordWrap/>
              <w:overflowPunct/>
              <w:topLinePunct w:val="0"/>
              <w:autoSpaceDE/>
              <w:autoSpaceDN/>
              <w:bidi w:val="0"/>
              <w:adjustRightInd/>
              <w:snapToGrid w:val="0"/>
              <w:spacing w:after="191" w:afterLines="50" w:line="240" w:lineRule="auto"/>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w:t>
            </w:r>
          </w:p>
        </w:tc>
        <w:tc>
          <w:tcPr>
            <w:tcW w:w="2182" w:type="dxa"/>
            <w:tcBorders>
              <w:left w:val="single" w:color="auto" w:sz="4" w:space="0"/>
              <w:right w:val="single" w:color="auto" w:sz="4" w:space="0"/>
            </w:tcBorders>
            <w:noWrap w:val="0"/>
            <w:vAlign w:val="center"/>
          </w:tcPr>
          <w:p w14:paraId="14462127">
            <w:pPr>
              <w:keepNext w:val="0"/>
              <w:keepLines w:val="0"/>
              <w:pageBreakBefore w:val="0"/>
              <w:widowControl w:val="0"/>
              <w:kinsoku/>
              <w:wordWrap/>
              <w:overflowPunct/>
              <w:topLinePunct w:val="0"/>
              <w:autoSpaceDE/>
              <w:autoSpaceDN/>
              <w:bidi w:val="0"/>
              <w:adjustRightInd/>
              <w:snapToGrid w:val="0"/>
              <w:spacing w:after="191" w:afterLines="50" w:line="240" w:lineRule="auto"/>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投标报价</w:t>
            </w:r>
          </w:p>
        </w:tc>
        <w:tc>
          <w:tcPr>
            <w:tcW w:w="5563" w:type="dxa"/>
            <w:tcBorders>
              <w:left w:val="single" w:color="auto" w:sz="4" w:space="0"/>
              <w:right w:val="single" w:color="auto" w:sz="4" w:space="0"/>
            </w:tcBorders>
            <w:noWrap w:val="0"/>
            <w:vAlign w:val="center"/>
          </w:tcPr>
          <w:p w14:paraId="5D5D9DE4">
            <w:pPr>
              <w:keepNext w:val="0"/>
              <w:keepLines w:val="0"/>
              <w:pageBreakBefore w:val="0"/>
              <w:widowControl w:val="0"/>
              <w:kinsoku/>
              <w:wordWrap/>
              <w:overflowPunct/>
              <w:topLinePunct w:val="0"/>
              <w:autoSpaceDE/>
              <w:autoSpaceDN/>
              <w:bidi w:val="0"/>
              <w:adjustRightInd/>
              <w:snapToGrid w:val="0"/>
              <w:spacing w:after="191" w:afterLines="50" w:line="240" w:lineRule="auto"/>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符合</w:t>
            </w:r>
            <w:r>
              <w:rPr>
                <w:rFonts w:hint="eastAsia" w:ascii="宋体" w:hAnsi="宋体" w:eastAsia="宋体" w:cs="宋体"/>
                <w:color w:val="000000"/>
                <w:sz w:val="24"/>
                <w:szCs w:val="24"/>
                <w:highlight w:val="none"/>
                <w:lang w:eastAsia="zh-CN"/>
              </w:rPr>
              <w:t>磋商文件</w:t>
            </w:r>
            <w:r>
              <w:rPr>
                <w:rFonts w:hint="eastAsia" w:ascii="宋体" w:hAnsi="宋体" w:eastAsia="宋体" w:cs="宋体"/>
                <w:color w:val="000000"/>
                <w:sz w:val="24"/>
                <w:szCs w:val="24"/>
                <w:highlight w:val="none"/>
              </w:rPr>
              <w:t>规定</w:t>
            </w:r>
          </w:p>
        </w:tc>
      </w:tr>
      <w:tr w14:paraId="28C50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72" w:hRule="atLeast"/>
          <w:jc w:val="center"/>
        </w:trPr>
        <w:tc>
          <w:tcPr>
            <w:tcW w:w="405" w:type="dxa"/>
            <w:vMerge w:val="continue"/>
            <w:tcBorders>
              <w:left w:val="single" w:color="auto" w:sz="4" w:space="0"/>
              <w:right w:val="single" w:color="auto" w:sz="4" w:space="0"/>
            </w:tcBorders>
            <w:noWrap w:val="0"/>
            <w:vAlign w:val="center"/>
          </w:tcPr>
          <w:p w14:paraId="4BF32D2E">
            <w:pPr>
              <w:keepNext w:val="0"/>
              <w:keepLines w:val="0"/>
              <w:pageBreakBefore w:val="0"/>
              <w:kinsoku/>
              <w:wordWrap/>
              <w:overflowPunct/>
              <w:topLinePunct w:val="0"/>
              <w:bidi w:val="0"/>
              <w:snapToGrid w:val="0"/>
              <w:spacing w:after="191" w:afterLines="50" w:line="240" w:lineRule="auto"/>
              <w:ind w:firstLine="580"/>
              <w:rPr>
                <w:rFonts w:hint="eastAsia" w:ascii="宋体" w:hAnsi="宋体" w:eastAsia="宋体" w:cs="宋体"/>
                <w:color w:val="000000"/>
                <w:sz w:val="24"/>
                <w:szCs w:val="24"/>
                <w:highlight w:val="none"/>
              </w:rPr>
            </w:pPr>
          </w:p>
        </w:tc>
        <w:tc>
          <w:tcPr>
            <w:tcW w:w="594" w:type="dxa"/>
            <w:tcBorders>
              <w:left w:val="single" w:color="auto" w:sz="4" w:space="0"/>
              <w:right w:val="single" w:color="auto" w:sz="4" w:space="0"/>
            </w:tcBorders>
            <w:noWrap w:val="0"/>
            <w:vAlign w:val="center"/>
          </w:tcPr>
          <w:p w14:paraId="750D6421">
            <w:pPr>
              <w:keepNext w:val="0"/>
              <w:keepLines w:val="0"/>
              <w:pageBreakBefore w:val="0"/>
              <w:widowControl w:val="0"/>
              <w:kinsoku/>
              <w:wordWrap/>
              <w:overflowPunct/>
              <w:topLinePunct w:val="0"/>
              <w:autoSpaceDE/>
              <w:autoSpaceDN/>
              <w:bidi w:val="0"/>
              <w:adjustRightInd/>
              <w:snapToGrid w:val="0"/>
              <w:spacing w:after="191" w:afterLines="50" w:line="240" w:lineRule="auto"/>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w:t>
            </w:r>
          </w:p>
        </w:tc>
        <w:tc>
          <w:tcPr>
            <w:tcW w:w="2182" w:type="dxa"/>
            <w:tcBorders>
              <w:left w:val="single" w:color="auto" w:sz="4" w:space="0"/>
              <w:right w:val="single" w:color="auto" w:sz="4" w:space="0"/>
            </w:tcBorders>
            <w:noWrap w:val="0"/>
            <w:vAlign w:val="center"/>
          </w:tcPr>
          <w:p w14:paraId="4678BEFF">
            <w:pPr>
              <w:keepNext w:val="0"/>
              <w:keepLines w:val="0"/>
              <w:pageBreakBefore w:val="0"/>
              <w:widowControl w:val="0"/>
              <w:kinsoku/>
              <w:wordWrap/>
              <w:overflowPunct/>
              <w:topLinePunct w:val="0"/>
              <w:autoSpaceDE/>
              <w:autoSpaceDN/>
              <w:bidi w:val="0"/>
              <w:adjustRightInd/>
              <w:snapToGrid w:val="0"/>
              <w:spacing w:after="191" w:afterLines="50" w:line="240" w:lineRule="auto"/>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服务期</w:t>
            </w:r>
          </w:p>
        </w:tc>
        <w:tc>
          <w:tcPr>
            <w:tcW w:w="5563" w:type="dxa"/>
            <w:tcBorders>
              <w:left w:val="single" w:color="auto" w:sz="4" w:space="0"/>
              <w:right w:val="single" w:color="auto" w:sz="4" w:space="0"/>
            </w:tcBorders>
            <w:noWrap w:val="0"/>
            <w:vAlign w:val="center"/>
          </w:tcPr>
          <w:p w14:paraId="279CDE5A">
            <w:pPr>
              <w:keepNext w:val="0"/>
              <w:keepLines w:val="0"/>
              <w:pageBreakBefore w:val="0"/>
              <w:widowControl w:val="0"/>
              <w:kinsoku/>
              <w:wordWrap/>
              <w:overflowPunct/>
              <w:topLinePunct w:val="0"/>
              <w:autoSpaceDE/>
              <w:autoSpaceDN/>
              <w:bidi w:val="0"/>
              <w:adjustRightInd/>
              <w:snapToGrid w:val="0"/>
              <w:spacing w:after="191" w:afterLines="50" w:line="240" w:lineRule="auto"/>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符合</w:t>
            </w:r>
            <w:r>
              <w:rPr>
                <w:rFonts w:hint="eastAsia" w:ascii="宋体" w:hAnsi="宋体" w:eastAsia="宋体" w:cs="宋体"/>
                <w:color w:val="000000"/>
                <w:sz w:val="24"/>
                <w:szCs w:val="24"/>
                <w:highlight w:val="none"/>
                <w:lang w:eastAsia="zh-CN"/>
              </w:rPr>
              <w:t>磋商文件</w:t>
            </w:r>
            <w:r>
              <w:rPr>
                <w:rFonts w:hint="eastAsia" w:ascii="宋体" w:hAnsi="宋体" w:eastAsia="宋体" w:cs="宋体"/>
                <w:color w:val="000000"/>
                <w:sz w:val="24"/>
                <w:szCs w:val="24"/>
                <w:highlight w:val="none"/>
              </w:rPr>
              <w:t>规定</w:t>
            </w:r>
          </w:p>
        </w:tc>
      </w:tr>
      <w:tr w14:paraId="5AC39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47" w:hRule="atLeast"/>
          <w:jc w:val="center"/>
        </w:trPr>
        <w:tc>
          <w:tcPr>
            <w:tcW w:w="405" w:type="dxa"/>
            <w:vMerge w:val="continue"/>
            <w:tcBorders>
              <w:left w:val="single" w:color="auto" w:sz="4" w:space="0"/>
              <w:right w:val="single" w:color="auto" w:sz="4" w:space="0"/>
            </w:tcBorders>
            <w:noWrap w:val="0"/>
            <w:vAlign w:val="center"/>
          </w:tcPr>
          <w:p w14:paraId="05D21F1D">
            <w:pPr>
              <w:keepNext w:val="0"/>
              <w:keepLines w:val="0"/>
              <w:pageBreakBefore w:val="0"/>
              <w:kinsoku/>
              <w:wordWrap/>
              <w:overflowPunct/>
              <w:topLinePunct w:val="0"/>
              <w:bidi w:val="0"/>
              <w:snapToGrid w:val="0"/>
              <w:spacing w:after="191" w:afterLines="50" w:line="240" w:lineRule="auto"/>
              <w:ind w:firstLine="580"/>
              <w:rPr>
                <w:rFonts w:hint="eastAsia" w:ascii="宋体" w:hAnsi="宋体" w:eastAsia="宋体" w:cs="宋体"/>
                <w:color w:val="000000"/>
                <w:sz w:val="24"/>
                <w:szCs w:val="24"/>
                <w:highlight w:val="none"/>
              </w:rPr>
            </w:pPr>
          </w:p>
        </w:tc>
        <w:tc>
          <w:tcPr>
            <w:tcW w:w="594" w:type="dxa"/>
            <w:tcBorders>
              <w:left w:val="single" w:color="auto" w:sz="4" w:space="0"/>
              <w:right w:val="single" w:color="auto" w:sz="4" w:space="0"/>
            </w:tcBorders>
            <w:noWrap w:val="0"/>
            <w:vAlign w:val="center"/>
          </w:tcPr>
          <w:p w14:paraId="3421A89D">
            <w:pPr>
              <w:keepNext w:val="0"/>
              <w:keepLines w:val="0"/>
              <w:pageBreakBefore w:val="0"/>
              <w:widowControl w:val="0"/>
              <w:kinsoku/>
              <w:wordWrap/>
              <w:overflowPunct/>
              <w:topLinePunct w:val="0"/>
              <w:autoSpaceDE/>
              <w:autoSpaceDN/>
              <w:bidi w:val="0"/>
              <w:adjustRightInd/>
              <w:snapToGrid w:val="0"/>
              <w:spacing w:after="191" w:afterLines="50" w:line="240" w:lineRule="auto"/>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w:t>
            </w:r>
          </w:p>
        </w:tc>
        <w:tc>
          <w:tcPr>
            <w:tcW w:w="2182" w:type="dxa"/>
            <w:tcBorders>
              <w:left w:val="single" w:color="auto" w:sz="4" w:space="0"/>
              <w:bottom w:val="single" w:color="auto" w:sz="4" w:space="0"/>
              <w:right w:val="single" w:color="auto" w:sz="4" w:space="0"/>
            </w:tcBorders>
            <w:noWrap w:val="0"/>
            <w:vAlign w:val="center"/>
          </w:tcPr>
          <w:p w14:paraId="0A831CB7">
            <w:pPr>
              <w:keepNext w:val="0"/>
              <w:keepLines w:val="0"/>
              <w:pageBreakBefore w:val="0"/>
              <w:widowControl w:val="0"/>
              <w:kinsoku/>
              <w:wordWrap/>
              <w:overflowPunct/>
              <w:topLinePunct w:val="0"/>
              <w:autoSpaceDE/>
              <w:autoSpaceDN/>
              <w:bidi w:val="0"/>
              <w:adjustRightInd/>
              <w:snapToGrid w:val="0"/>
              <w:spacing w:after="191" w:afterLines="50" w:line="240" w:lineRule="auto"/>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其他</w:t>
            </w:r>
          </w:p>
        </w:tc>
        <w:tc>
          <w:tcPr>
            <w:tcW w:w="5563" w:type="dxa"/>
            <w:tcBorders>
              <w:left w:val="single" w:color="auto" w:sz="4" w:space="0"/>
              <w:bottom w:val="single" w:color="auto" w:sz="4" w:space="0"/>
              <w:right w:val="single" w:color="auto" w:sz="4" w:space="0"/>
            </w:tcBorders>
            <w:noWrap w:val="0"/>
            <w:vAlign w:val="center"/>
          </w:tcPr>
          <w:p w14:paraId="501F30E2">
            <w:pPr>
              <w:keepNext w:val="0"/>
              <w:keepLines w:val="0"/>
              <w:pageBreakBefore w:val="0"/>
              <w:widowControl w:val="0"/>
              <w:kinsoku/>
              <w:wordWrap/>
              <w:overflowPunct/>
              <w:topLinePunct w:val="0"/>
              <w:autoSpaceDE/>
              <w:autoSpaceDN/>
              <w:bidi w:val="0"/>
              <w:adjustRightInd/>
              <w:snapToGrid w:val="0"/>
              <w:spacing w:after="191" w:afterLines="50" w:line="240" w:lineRule="auto"/>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没有出现法律法规或</w:t>
            </w:r>
            <w:r>
              <w:rPr>
                <w:rFonts w:hint="eastAsia" w:ascii="宋体" w:hAnsi="宋体" w:eastAsia="宋体" w:cs="宋体"/>
                <w:color w:val="000000"/>
                <w:sz w:val="24"/>
                <w:szCs w:val="24"/>
                <w:highlight w:val="none"/>
                <w:lang w:eastAsia="zh-CN"/>
              </w:rPr>
              <w:t>磋商文件</w:t>
            </w:r>
            <w:r>
              <w:rPr>
                <w:rFonts w:hint="eastAsia" w:ascii="宋体" w:hAnsi="宋体" w:eastAsia="宋体" w:cs="宋体"/>
                <w:color w:val="000000"/>
                <w:sz w:val="24"/>
                <w:szCs w:val="24"/>
                <w:highlight w:val="none"/>
              </w:rPr>
              <w:t>明确规定的其他被视为“无效投标”的情形。</w:t>
            </w:r>
          </w:p>
        </w:tc>
      </w:tr>
    </w:tbl>
    <w:p w14:paraId="23FF6080">
      <w:pPr>
        <w:keepNext w:val="0"/>
        <w:keepLines w:val="0"/>
        <w:pageBreakBefore w:val="0"/>
        <w:widowControl w:val="0"/>
        <w:kinsoku/>
        <w:wordWrap/>
        <w:overflowPunct/>
        <w:topLinePunct w:val="0"/>
        <w:autoSpaceDE w:val="0"/>
        <w:autoSpaceDN w:val="0"/>
        <w:bidi w:val="0"/>
        <w:adjustRightInd w:val="0"/>
        <w:snapToGrid/>
        <w:spacing w:after="191" w:afterLines="50" w:line="24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磋商小组在对响应文件的有效性、完整性和响应程度进行审查时，可以要求投标单位对响应文件中含义不明确、同类问题表述不一致或者有明显文字和计算错误的内容等作出必要的澄清、说明或者更正。投标单位的澄清、说明或者更正不得超出响应文件的范围或者改变响应文件的实质性内容。</w:t>
      </w:r>
    </w:p>
    <w:p w14:paraId="25B7006E">
      <w:pPr>
        <w:keepNext w:val="0"/>
        <w:keepLines w:val="0"/>
        <w:pageBreakBefore w:val="0"/>
        <w:widowControl w:val="0"/>
        <w:kinsoku/>
        <w:wordWrap/>
        <w:overflowPunct/>
        <w:topLinePunct w:val="0"/>
        <w:autoSpaceDE w:val="0"/>
        <w:autoSpaceDN w:val="0"/>
        <w:bidi w:val="0"/>
        <w:adjustRightInd w:val="0"/>
        <w:snapToGrid/>
        <w:spacing w:after="191" w:afterLines="50" w:line="24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磋商小组要求投标单位澄清、说明或者更正响应文件应当以书面形式作出。投标单位的澄清、说明或者更正应当由法定代表人或其授权代表签字或者加盖公章。由授权代表签字的，应当附法定代表人授权书。投标单位为自然人的，应当由本人签字并附身份证明。</w:t>
      </w:r>
    </w:p>
    <w:p w14:paraId="49446C27">
      <w:pPr>
        <w:keepNext w:val="0"/>
        <w:keepLines w:val="0"/>
        <w:pageBreakBefore w:val="0"/>
        <w:kinsoku/>
        <w:wordWrap/>
        <w:overflowPunct/>
        <w:topLinePunct w:val="0"/>
        <w:autoSpaceDE w:val="0"/>
        <w:autoSpaceDN w:val="0"/>
        <w:bidi w:val="0"/>
        <w:spacing w:after="191" w:afterLines="50" w:line="240" w:lineRule="auto"/>
        <w:ind w:firstLine="482" w:firstLineChars="20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20.3 磋商过程</w:t>
      </w:r>
    </w:p>
    <w:p w14:paraId="4277368D">
      <w:pPr>
        <w:keepNext w:val="0"/>
        <w:keepLines w:val="0"/>
        <w:pageBreakBefore w:val="0"/>
        <w:kinsoku/>
        <w:wordWrap/>
        <w:overflowPunct/>
        <w:topLinePunct w:val="0"/>
        <w:autoSpaceDE w:val="0"/>
        <w:autoSpaceDN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（1）磋商小组所有成员应当集中与单一投标单位分别进行磋商，并给予所有参加磋商的投标单位平等的磋商机会。 </w:t>
      </w:r>
    </w:p>
    <w:p w14:paraId="0474246B">
      <w:pPr>
        <w:keepNext w:val="0"/>
        <w:keepLines w:val="0"/>
        <w:pageBreakBefore w:val="0"/>
        <w:kinsoku/>
        <w:wordWrap/>
        <w:overflowPunct/>
        <w:topLinePunct w:val="0"/>
        <w:autoSpaceDE w:val="0"/>
        <w:autoSpaceDN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（2）在磋商过程中，磋商小组可以根据磋商文件和磋商情况实质性变动采购需求中的技术、服务要求以及合同草案条款，但不得变动磋商文件中的其他内容。实质性变动的内容，须经采购人代表确认。</w:t>
      </w:r>
    </w:p>
    <w:p w14:paraId="5F05C277">
      <w:pPr>
        <w:keepNext w:val="0"/>
        <w:keepLines w:val="0"/>
        <w:pageBreakBefore w:val="0"/>
        <w:kinsoku/>
        <w:wordWrap/>
        <w:overflowPunct/>
        <w:topLinePunct w:val="0"/>
        <w:autoSpaceDE w:val="0"/>
        <w:autoSpaceDN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（3）对磋商文件作出的实质性变动是磋商文件的有效组成部分，磋商小组应当及时以书面形式同时通知所有参加磋商的投标单位。 </w:t>
      </w:r>
    </w:p>
    <w:p w14:paraId="1A01049A">
      <w:pPr>
        <w:keepNext w:val="0"/>
        <w:keepLines w:val="0"/>
        <w:pageBreakBefore w:val="0"/>
        <w:kinsoku/>
        <w:wordWrap/>
        <w:overflowPunct/>
        <w:topLinePunct w:val="0"/>
        <w:autoSpaceDE w:val="0"/>
        <w:autoSpaceDN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投标单位应当按照磋商文件的变动情况和磋商小组的要求重新提交响应文件，并由其法定代表人或授权代表签字或者加盖公章。由授权代表签字的，应当附法定代表人授权书。投标单位为自然人的，应当由本人签字并附身份证明。</w:t>
      </w:r>
    </w:p>
    <w:p w14:paraId="3F0C95BB">
      <w:pPr>
        <w:keepNext w:val="0"/>
        <w:keepLines w:val="0"/>
        <w:pageBreakBefore w:val="0"/>
        <w:kinsoku/>
        <w:wordWrap/>
        <w:overflowPunct/>
        <w:topLinePunct w:val="0"/>
        <w:autoSpaceDE w:val="0"/>
        <w:autoSpaceDN w:val="0"/>
        <w:bidi w:val="0"/>
        <w:spacing w:after="191" w:afterLines="50" w:line="240" w:lineRule="auto"/>
        <w:ind w:firstLine="482" w:firstLineChars="20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20.4 最终报价</w:t>
      </w:r>
    </w:p>
    <w:p w14:paraId="102B40FC">
      <w:pPr>
        <w:keepNext w:val="0"/>
        <w:keepLines w:val="0"/>
        <w:pageBreakBefore w:val="0"/>
        <w:kinsoku/>
        <w:wordWrap/>
        <w:overflowPunct/>
        <w:topLinePunct w:val="0"/>
        <w:autoSpaceDE w:val="0"/>
        <w:autoSpaceDN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磋商小组认为供应商的最后报价明显不合理或者低于成本，有可能影响质量和不能诚信履约的，要求其在磋商小组规定的期限内提供书面文件予以解释说明，并提交相关证明材料；如果其不能在磋商小组规定时间内够提供相关材料证明其报价的合理性，其最后报价为无效报价。 </w:t>
      </w:r>
      <w:r>
        <w:rPr>
          <w:rFonts w:hint="eastAsia" w:ascii="宋体" w:hAnsi="宋体" w:eastAsia="宋体" w:cs="宋体"/>
          <w:color w:val="000000"/>
          <w:sz w:val="24"/>
          <w:szCs w:val="24"/>
        </w:rPr>
        <w:t xml:space="preserve"> </w:t>
      </w:r>
    </w:p>
    <w:p w14:paraId="277F1C35">
      <w:pPr>
        <w:keepNext w:val="0"/>
        <w:keepLines w:val="0"/>
        <w:pageBreakBefore w:val="0"/>
        <w:kinsoku/>
        <w:wordWrap/>
        <w:overflowPunct/>
        <w:topLinePunct w:val="0"/>
        <w:autoSpaceDE w:val="0"/>
        <w:autoSpaceDN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最终报价是投标单位响应文件的有效组成部分。</w:t>
      </w:r>
    </w:p>
    <w:p w14:paraId="2A4DDC96">
      <w:pPr>
        <w:keepNext w:val="0"/>
        <w:keepLines w:val="0"/>
        <w:pageBreakBefore w:val="0"/>
        <w:kinsoku/>
        <w:wordWrap/>
        <w:overflowPunct/>
        <w:topLinePunct w:val="0"/>
        <w:autoSpaceDE w:val="0"/>
        <w:autoSpaceDN w:val="0"/>
        <w:bidi w:val="0"/>
        <w:spacing w:after="191" w:afterLines="50" w:line="240" w:lineRule="auto"/>
        <w:ind w:firstLine="482" w:firstLineChars="20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21．磋商响应文件的详细评审</w:t>
      </w:r>
    </w:p>
    <w:p w14:paraId="317142FC">
      <w:pPr>
        <w:keepNext w:val="0"/>
        <w:keepLines w:val="0"/>
        <w:pageBreakBefore w:val="0"/>
        <w:kinsoku/>
        <w:wordWrap/>
        <w:overflowPunct/>
        <w:topLinePunct w:val="0"/>
        <w:autoSpaceDE w:val="0"/>
        <w:autoSpaceDN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21.1 经磋商确定最终采购需求和提交最终报价的投标单位后，由磋商小组采用综合评分法对提交最终报价的投标单位的响应文件和最终报价进行综合评分。</w:t>
      </w:r>
    </w:p>
    <w:p w14:paraId="7A163BDD">
      <w:pPr>
        <w:keepNext w:val="0"/>
        <w:keepLines w:val="0"/>
        <w:pageBreakBefore w:val="0"/>
        <w:kinsoku/>
        <w:wordWrap/>
        <w:overflowPunct/>
        <w:topLinePunct w:val="0"/>
        <w:autoSpaceDE w:val="0"/>
        <w:autoSpaceDN w:val="0"/>
        <w:bidi w:val="0"/>
        <w:spacing w:after="191" w:afterLines="50" w:line="240" w:lineRule="auto"/>
        <w:ind w:firstLine="482" w:firstLineChars="20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21.2 评标方法：综合评分法。</w:t>
      </w:r>
    </w:p>
    <w:p w14:paraId="26057A27">
      <w:pPr>
        <w:keepNext w:val="0"/>
        <w:keepLines w:val="0"/>
        <w:pageBreakBefore w:val="0"/>
        <w:kinsoku/>
        <w:wordWrap/>
        <w:overflowPunct/>
        <w:topLinePunct w:val="0"/>
        <w:bidi w:val="0"/>
        <w:spacing w:after="191" w:afterLines="50" w:line="240" w:lineRule="auto"/>
        <w:ind w:left="73" w:leftChars="35" w:firstLine="360" w:firstLineChars="150"/>
        <w:rPr>
          <w:rFonts w:hint="eastAsia" w:ascii="宋体" w:hAnsi="宋体" w:eastAsia="宋体" w:cs="宋体"/>
          <w:color w:val="auto"/>
          <w:sz w:val="24"/>
          <w:szCs w:val="24"/>
        </w:rPr>
      </w:pPr>
      <w:r>
        <w:rPr>
          <w:rFonts w:hint="eastAsia" w:ascii="宋体" w:hAnsi="宋体" w:eastAsia="宋体" w:cs="宋体"/>
          <w:color w:val="auto"/>
          <w:sz w:val="24"/>
          <w:szCs w:val="24"/>
        </w:rPr>
        <w:t>评价和比较以磋商文件为依据，对所有实质上响应的投标进行评审赋分。</w:t>
      </w:r>
    </w:p>
    <w:tbl>
      <w:tblPr>
        <w:tblStyle w:val="26"/>
        <w:tblW w:w="93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25"/>
        <w:gridCol w:w="1386"/>
        <w:gridCol w:w="725"/>
        <w:gridCol w:w="6503"/>
      </w:tblGrid>
      <w:tr w14:paraId="24DFF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0" w:hRule="atLeast"/>
          <w:tblHeader/>
          <w:jc w:val="center"/>
        </w:trPr>
        <w:tc>
          <w:tcPr>
            <w:tcW w:w="725" w:type="dxa"/>
            <w:shd w:val="clear" w:color="auto" w:fill="auto"/>
            <w:tcMar>
              <w:top w:w="120" w:type="dxa"/>
              <w:left w:w="120" w:type="dxa"/>
              <w:bottom w:w="120" w:type="dxa"/>
              <w:right w:w="120" w:type="dxa"/>
            </w:tcMar>
            <w:vAlign w:val="center"/>
          </w:tcPr>
          <w:p w14:paraId="6FE03808">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auto"/>
              <w:rPr>
                <w:rFonts w:ascii="宋体" w:eastAsia="宋体"/>
                <w:b/>
                <w:bCs/>
                <w:sz w:val="24"/>
              </w:rPr>
            </w:pPr>
            <w:bookmarkStart w:id="93" w:name="_Toc245658525"/>
            <w:bookmarkStart w:id="94" w:name="_Toc167591135"/>
            <w:bookmarkStart w:id="95" w:name="_Toc167591483"/>
            <w:bookmarkStart w:id="96" w:name="_Toc167849351"/>
            <w:bookmarkStart w:id="97" w:name="_Toc173549969"/>
            <w:bookmarkStart w:id="98" w:name="_Toc208337155"/>
            <w:bookmarkStart w:id="99" w:name="_Toc169838523"/>
            <w:bookmarkStart w:id="100" w:name="_Toc245657544"/>
            <w:bookmarkStart w:id="101" w:name="_Toc170980445"/>
            <w:bookmarkStart w:id="102" w:name="_Toc207897907"/>
            <w:bookmarkStart w:id="103" w:name="_Toc244623582"/>
            <w:bookmarkStart w:id="104" w:name="_Toc175033583"/>
            <w:bookmarkStart w:id="105" w:name="_Toc167590766"/>
            <w:bookmarkStart w:id="106" w:name="_Toc175032428"/>
            <w:bookmarkStart w:id="107" w:name="_Toc167591034"/>
            <w:bookmarkStart w:id="108" w:name="_Toc169846864"/>
            <w:bookmarkStart w:id="109" w:name="_Toc245176656"/>
            <w:bookmarkStart w:id="110" w:name="_Toc170980543"/>
            <w:bookmarkStart w:id="111" w:name="_Toc169846767"/>
            <w:bookmarkStart w:id="112" w:name="_Toc167591321"/>
            <w:bookmarkStart w:id="113" w:name="_Toc154482470"/>
            <w:r>
              <w:rPr>
                <w:rFonts w:ascii="宋体" w:hAnsi="宋体" w:eastAsia="宋体" w:cs="宋体"/>
                <w:b/>
                <w:bCs/>
                <w:kern w:val="0"/>
                <w:sz w:val="24"/>
                <w:szCs w:val="24"/>
                <w:lang w:val="en-US" w:eastAsia="zh-CN" w:bidi="ar"/>
              </w:rPr>
              <w:t>序号</w:t>
            </w:r>
          </w:p>
        </w:tc>
        <w:tc>
          <w:tcPr>
            <w:tcW w:w="0" w:type="auto"/>
            <w:shd w:val="clear" w:color="auto" w:fill="auto"/>
            <w:tcMar>
              <w:top w:w="120" w:type="dxa"/>
              <w:left w:w="120" w:type="dxa"/>
              <w:bottom w:w="120" w:type="dxa"/>
              <w:right w:w="120" w:type="dxa"/>
            </w:tcMar>
            <w:vAlign w:val="center"/>
          </w:tcPr>
          <w:p w14:paraId="4DE5AC59">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auto"/>
              <w:rPr>
                <w:rFonts w:ascii="宋体" w:eastAsia="宋体"/>
                <w:b/>
                <w:bCs/>
                <w:sz w:val="24"/>
              </w:rPr>
            </w:pPr>
            <w:r>
              <w:rPr>
                <w:rFonts w:ascii="宋体" w:hAnsi="宋体" w:eastAsia="宋体" w:cs="宋体"/>
                <w:b/>
                <w:bCs/>
                <w:kern w:val="0"/>
                <w:sz w:val="24"/>
                <w:szCs w:val="24"/>
                <w:lang w:val="en-US" w:eastAsia="zh-CN" w:bidi="ar"/>
              </w:rPr>
              <w:t>评审项目</w:t>
            </w:r>
          </w:p>
        </w:tc>
        <w:tc>
          <w:tcPr>
            <w:tcW w:w="725" w:type="dxa"/>
            <w:shd w:val="clear" w:color="auto" w:fill="auto"/>
            <w:tcMar>
              <w:top w:w="120" w:type="dxa"/>
              <w:left w:w="120" w:type="dxa"/>
              <w:bottom w:w="120" w:type="dxa"/>
              <w:right w:w="120" w:type="dxa"/>
            </w:tcMar>
            <w:vAlign w:val="center"/>
          </w:tcPr>
          <w:p w14:paraId="54582A62">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auto"/>
              <w:rPr>
                <w:rFonts w:ascii="宋体" w:eastAsia="宋体"/>
                <w:b/>
                <w:bCs/>
                <w:sz w:val="24"/>
              </w:rPr>
            </w:pPr>
            <w:r>
              <w:rPr>
                <w:rFonts w:ascii="宋体" w:hAnsi="宋体" w:eastAsia="宋体" w:cs="宋体"/>
                <w:b/>
                <w:bCs/>
                <w:kern w:val="0"/>
                <w:sz w:val="24"/>
                <w:szCs w:val="24"/>
                <w:lang w:val="en-US" w:eastAsia="zh-CN" w:bidi="ar"/>
              </w:rPr>
              <w:t>分值</w:t>
            </w:r>
          </w:p>
        </w:tc>
        <w:tc>
          <w:tcPr>
            <w:tcW w:w="6503" w:type="dxa"/>
            <w:shd w:val="clear" w:color="auto" w:fill="auto"/>
            <w:tcMar>
              <w:top w:w="120" w:type="dxa"/>
              <w:left w:w="120" w:type="dxa"/>
              <w:bottom w:w="120" w:type="dxa"/>
              <w:right w:w="120" w:type="dxa"/>
            </w:tcMar>
            <w:vAlign w:val="center"/>
          </w:tcPr>
          <w:p w14:paraId="6C7B9576">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auto"/>
              <w:rPr>
                <w:rFonts w:ascii="宋体" w:eastAsia="宋体"/>
                <w:b/>
                <w:bCs/>
                <w:sz w:val="24"/>
              </w:rPr>
            </w:pPr>
            <w:r>
              <w:rPr>
                <w:rFonts w:ascii="宋体" w:hAnsi="宋体" w:eastAsia="宋体" w:cs="宋体"/>
                <w:b/>
                <w:bCs/>
                <w:kern w:val="0"/>
                <w:sz w:val="24"/>
                <w:szCs w:val="24"/>
                <w:lang w:val="en-US" w:eastAsia="zh-CN" w:bidi="ar"/>
              </w:rPr>
              <w:t>评审内容及打分标准</w:t>
            </w:r>
          </w:p>
        </w:tc>
      </w:tr>
      <w:tr w14:paraId="4823F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770" w:hRule="atLeast"/>
          <w:jc w:val="center"/>
        </w:trPr>
        <w:tc>
          <w:tcPr>
            <w:tcW w:w="725" w:type="dxa"/>
            <w:shd w:val="clear" w:color="auto" w:fill="auto"/>
            <w:tcMar>
              <w:top w:w="120" w:type="dxa"/>
              <w:left w:w="120" w:type="dxa"/>
              <w:bottom w:w="120" w:type="dxa"/>
              <w:right w:w="120" w:type="dxa"/>
            </w:tcMar>
            <w:vAlign w:val="center"/>
          </w:tcPr>
          <w:p w14:paraId="7B39A8B7">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auto"/>
              <w:rPr>
                <w:rFonts w:ascii="宋体" w:eastAsia="宋体"/>
                <w:sz w:val="24"/>
              </w:rPr>
            </w:pPr>
            <w:r>
              <w:rPr>
                <w:rFonts w:hint="eastAsia" w:ascii="宋体" w:hAnsi="宋体" w:eastAsia="宋体" w:cs="宋体"/>
                <w:kern w:val="0"/>
                <w:sz w:val="24"/>
                <w:szCs w:val="24"/>
                <w:lang w:val="en-US" w:eastAsia="zh-CN" w:bidi="ar"/>
              </w:rPr>
              <w:t>1</w:t>
            </w:r>
          </w:p>
        </w:tc>
        <w:tc>
          <w:tcPr>
            <w:tcW w:w="0" w:type="auto"/>
            <w:shd w:val="clear" w:color="auto" w:fill="auto"/>
            <w:tcMar>
              <w:top w:w="120" w:type="dxa"/>
              <w:left w:w="120" w:type="dxa"/>
              <w:bottom w:w="120" w:type="dxa"/>
              <w:right w:w="120" w:type="dxa"/>
            </w:tcMar>
            <w:vAlign w:val="center"/>
          </w:tcPr>
          <w:p w14:paraId="32D9F3CD">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auto"/>
              <w:rPr>
                <w:rFonts w:ascii="宋体" w:eastAsia="宋体"/>
                <w:sz w:val="24"/>
              </w:rPr>
            </w:pPr>
            <w:r>
              <w:rPr>
                <w:rFonts w:ascii="宋体" w:hAnsi="宋体" w:eastAsia="宋体" w:cs="宋体"/>
                <w:kern w:val="0"/>
                <w:sz w:val="24"/>
                <w:szCs w:val="24"/>
                <w:lang w:val="en-US" w:eastAsia="zh-CN" w:bidi="ar"/>
              </w:rPr>
              <w:t>价格部分</w:t>
            </w:r>
          </w:p>
        </w:tc>
        <w:tc>
          <w:tcPr>
            <w:tcW w:w="725" w:type="dxa"/>
            <w:shd w:val="clear" w:color="auto" w:fill="auto"/>
            <w:tcMar>
              <w:top w:w="120" w:type="dxa"/>
              <w:left w:w="120" w:type="dxa"/>
              <w:bottom w:w="120" w:type="dxa"/>
              <w:right w:w="120" w:type="dxa"/>
            </w:tcMar>
            <w:vAlign w:val="center"/>
          </w:tcPr>
          <w:p w14:paraId="5C1EBEF3">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auto"/>
              <w:rPr>
                <w:rFonts w:hint="default" w:ascii="宋体" w:eastAsia="宋体"/>
                <w:sz w:val="24"/>
                <w:lang w:val="en-US"/>
              </w:rPr>
            </w:pPr>
            <w:r>
              <w:rPr>
                <w:rFonts w:hint="eastAsia" w:ascii="宋体" w:hAnsi="宋体" w:eastAsia="宋体" w:cs="宋体"/>
                <w:kern w:val="0"/>
                <w:sz w:val="24"/>
                <w:szCs w:val="24"/>
                <w:lang w:val="en-US" w:eastAsia="zh-CN" w:bidi="ar"/>
              </w:rPr>
              <w:t>10</w:t>
            </w:r>
          </w:p>
        </w:tc>
        <w:tc>
          <w:tcPr>
            <w:tcW w:w="6503" w:type="dxa"/>
            <w:shd w:val="clear" w:color="auto" w:fill="auto"/>
            <w:tcMar>
              <w:top w:w="120" w:type="dxa"/>
              <w:left w:w="120" w:type="dxa"/>
              <w:bottom w:w="120" w:type="dxa"/>
              <w:right w:w="120" w:type="dxa"/>
            </w:tcMar>
            <w:vAlign w:val="center"/>
          </w:tcPr>
          <w:p w14:paraId="70C049D0">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auto"/>
              <w:rPr>
                <w:rFonts w:ascii="宋体" w:eastAsia="宋体"/>
                <w:sz w:val="24"/>
              </w:rPr>
            </w:pPr>
            <w:r>
              <w:rPr>
                <w:rFonts w:hint="eastAsia" w:ascii="宋体" w:hAnsi="宋体" w:eastAsia="宋体" w:cs="宋体"/>
                <w:kern w:val="0"/>
                <w:sz w:val="24"/>
                <w:szCs w:val="24"/>
                <w:lang w:val="en-US" w:eastAsia="zh-CN" w:bidi="ar"/>
              </w:rPr>
              <w:t>1、经初审合格的磋商响应文件，其投标报价为有效投标报价，对符合政策性扣减的供应商的有效投标价格进行10%的价格折扣，并依据扣减后的价格（评审价格）进行价格评审。</w:t>
            </w: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2、满足竞争性磋商文件实质性要求且最终报价最低的供应商的价格为投标基准价，其价格分为满分 10 分。</w:t>
            </w: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3、投标报价得分=（投标基准价/最终投标报价）×10 的公式计算得分。</w:t>
            </w: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4、经磋商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磋商小组应当将其作为无效投标处理。</w:t>
            </w:r>
          </w:p>
        </w:tc>
      </w:tr>
      <w:tr w14:paraId="45CBE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0" w:hRule="atLeast"/>
          <w:jc w:val="center"/>
        </w:trPr>
        <w:tc>
          <w:tcPr>
            <w:tcW w:w="725" w:type="dxa"/>
            <w:shd w:val="clear" w:color="auto" w:fill="auto"/>
            <w:tcMar>
              <w:top w:w="120" w:type="dxa"/>
              <w:left w:w="120" w:type="dxa"/>
              <w:bottom w:w="120" w:type="dxa"/>
              <w:right w:w="120" w:type="dxa"/>
            </w:tcMar>
            <w:vAlign w:val="center"/>
          </w:tcPr>
          <w:p w14:paraId="549BB2EC">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auto"/>
              <w:rPr>
                <w:rFonts w:ascii="宋体" w:eastAsia="宋体"/>
                <w:sz w:val="24"/>
              </w:rPr>
            </w:pPr>
            <w:r>
              <w:rPr>
                <w:rFonts w:hint="eastAsia" w:ascii="宋体" w:hAnsi="宋体" w:eastAsia="宋体" w:cs="宋体"/>
                <w:kern w:val="0"/>
                <w:sz w:val="24"/>
                <w:szCs w:val="24"/>
                <w:lang w:val="en-US" w:eastAsia="zh-CN" w:bidi="ar"/>
              </w:rPr>
              <w:t>2</w:t>
            </w:r>
          </w:p>
        </w:tc>
        <w:tc>
          <w:tcPr>
            <w:tcW w:w="0" w:type="auto"/>
            <w:shd w:val="clear" w:color="auto" w:fill="auto"/>
            <w:tcMar>
              <w:top w:w="120" w:type="dxa"/>
              <w:left w:w="120" w:type="dxa"/>
              <w:bottom w:w="120" w:type="dxa"/>
              <w:right w:w="120" w:type="dxa"/>
            </w:tcMar>
            <w:vAlign w:val="center"/>
          </w:tcPr>
          <w:p w14:paraId="618B4487">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auto"/>
              <w:rPr>
                <w:rFonts w:ascii="宋体" w:eastAsia="宋体"/>
                <w:sz w:val="24"/>
              </w:rPr>
            </w:pPr>
            <w:r>
              <w:rPr>
                <w:rFonts w:ascii="宋体" w:hAnsi="宋体" w:eastAsia="宋体" w:cs="宋体"/>
                <w:kern w:val="0"/>
                <w:sz w:val="24"/>
                <w:szCs w:val="24"/>
                <w:lang w:val="en-US" w:eastAsia="zh-CN" w:bidi="ar"/>
              </w:rPr>
              <w:t>技术方案</w:t>
            </w:r>
          </w:p>
        </w:tc>
        <w:tc>
          <w:tcPr>
            <w:tcW w:w="725" w:type="dxa"/>
            <w:shd w:val="clear" w:color="auto" w:fill="auto"/>
            <w:tcMar>
              <w:top w:w="120" w:type="dxa"/>
              <w:left w:w="120" w:type="dxa"/>
              <w:bottom w:w="120" w:type="dxa"/>
              <w:right w:w="120" w:type="dxa"/>
            </w:tcMar>
            <w:vAlign w:val="center"/>
          </w:tcPr>
          <w:p w14:paraId="39449276">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auto"/>
              <w:rPr>
                <w:rFonts w:hint="default" w:ascii="宋体" w:eastAsia="宋体"/>
                <w:sz w:val="24"/>
                <w:lang w:val="en-US"/>
              </w:rPr>
            </w:pPr>
            <w:r>
              <w:rPr>
                <w:rFonts w:hint="eastAsia" w:ascii="宋体" w:hAnsi="宋体" w:eastAsia="宋体" w:cs="宋体"/>
                <w:kern w:val="0"/>
                <w:sz w:val="24"/>
                <w:szCs w:val="24"/>
                <w:lang w:val="en-US" w:eastAsia="zh-CN" w:bidi="ar"/>
              </w:rPr>
              <w:t>50</w:t>
            </w:r>
          </w:p>
        </w:tc>
        <w:tc>
          <w:tcPr>
            <w:tcW w:w="6503" w:type="dxa"/>
            <w:shd w:val="clear" w:color="auto" w:fill="auto"/>
            <w:tcMar>
              <w:top w:w="120" w:type="dxa"/>
              <w:left w:w="120" w:type="dxa"/>
              <w:bottom w:w="120" w:type="dxa"/>
              <w:right w:w="120" w:type="dxa"/>
            </w:tcMar>
            <w:vAlign w:val="center"/>
          </w:tcPr>
          <w:p w14:paraId="281A30E8">
            <w:pPr>
              <w:keepNext w:val="0"/>
              <w:keepLines w:val="0"/>
              <w:pageBreakBefore w:val="0"/>
              <w:widowControl/>
              <w:kinsoku/>
              <w:wordWrap/>
              <w:overflowPunct/>
              <w:topLinePunct w:val="0"/>
              <w:autoSpaceDE/>
              <w:autoSpaceDN/>
              <w:bidi w:val="0"/>
              <w:adjustRightInd/>
              <w:snapToGrid w:val="0"/>
              <w:ind w:left="0" w:leftChars="0" w:right="0" w:rightChars="0" w:firstLine="0" w:firstLineChars="0"/>
              <w:jc w:val="left"/>
              <w:textAlignment w:val="auto"/>
              <w:rPr>
                <w:rFonts w:hint="eastAsia" w:ascii="宋体" w:eastAsia="宋体"/>
                <w:sz w:val="24"/>
                <w:szCs w:val="24"/>
              </w:rPr>
            </w:pPr>
          </w:p>
        </w:tc>
      </w:tr>
      <w:tr w14:paraId="72C27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725" w:type="dxa"/>
            <w:shd w:val="clear" w:color="auto" w:fill="auto"/>
            <w:tcMar>
              <w:top w:w="120" w:type="dxa"/>
              <w:left w:w="120" w:type="dxa"/>
              <w:bottom w:w="120" w:type="dxa"/>
              <w:right w:w="120" w:type="dxa"/>
            </w:tcMar>
            <w:vAlign w:val="center"/>
          </w:tcPr>
          <w:p w14:paraId="6913E7C7">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auto"/>
              <w:rPr>
                <w:rFonts w:hint="default" w:ascii="宋体" w:eastAsia="宋体"/>
                <w:sz w:val="24"/>
                <w:lang w:val="en-US"/>
              </w:rPr>
            </w:pPr>
          </w:p>
        </w:tc>
        <w:tc>
          <w:tcPr>
            <w:tcW w:w="0" w:type="auto"/>
            <w:shd w:val="clear" w:color="auto" w:fill="auto"/>
            <w:tcMar>
              <w:top w:w="120" w:type="dxa"/>
              <w:left w:w="120" w:type="dxa"/>
              <w:bottom w:w="120" w:type="dxa"/>
              <w:right w:w="120" w:type="dxa"/>
            </w:tcMar>
            <w:vAlign w:val="center"/>
          </w:tcPr>
          <w:p w14:paraId="568E3CBA">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auto"/>
              <w:rPr>
                <w:rFonts w:ascii="宋体" w:eastAsia="宋体"/>
                <w:sz w:val="24"/>
              </w:rPr>
            </w:pPr>
            <w:r>
              <w:rPr>
                <w:rFonts w:ascii="宋体" w:hAnsi="宋体" w:eastAsia="宋体" w:cs="宋体"/>
                <w:kern w:val="0"/>
                <w:sz w:val="24"/>
                <w:szCs w:val="24"/>
                <w:lang w:val="en-US" w:eastAsia="zh-CN" w:bidi="ar"/>
              </w:rPr>
              <w:t>项目整体实施方案</w:t>
            </w:r>
          </w:p>
        </w:tc>
        <w:tc>
          <w:tcPr>
            <w:tcW w:w="725" w:type="dxa"/>
            <w:shd w:val="clear" w:color="auto" w:fill="auto"/>
            <w:tcMar>
              <w:top w:w="120" w:type="dxa"/>
              <w:left w:w="120" w:type="dxa"/>
              <w:bottom w:w="120" w:type="dxa"/>
              <w:right w:w="120" w:type="dxa"/>
            </w:tcMar>
            <w:vAlign w:val="center"/>
          </w:tcPr>
          <w:p w14:paraId="177179B0">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auto"/>
              <w:rPr>
                <w:rFonts w:ascii="宋体" w:eastAsia="宋体"/>
                <w:sz w:val="24"/>
              </w:rPr>
            </w:pPr>
            <w:r>
              <w:rPr>
                <w:rFonts w:ascii="宋体" w:hAnsi="宋体" w:eastAsia="宋体" w:cs="宋体"/>
                <w:kern w:val="0"/>
                <w:sz w:val="24"/>
                <w:szCs w:val="24"/>
                <w:lang w:val="en-US" w:eastAsia="zh-CN" w:bidi="ar"/>
              </w:rPr>
              <w:t>1</w:t>
            </w:r>
            <w:r>
              <w:rPr>
                <w:rFonts w:hint="eastAsia" w:ascii="宋体" w:hAnsi="宋体" w:eastAsia="宋体" w:cs="宋体"/>
                <w:kern w:val="0"/>
                <w:sz w:val="24"/>
                <w:szCs w:val="24"/>
                <w:lang w:val="en-US" w:eastAsia="zh-CN" w:bidi="ar"/>
              </w:rPr>
              <w:t>5</w:t>
            </w:r>
          </w:p>
        </w:tc>
        <w:tc>
          <w:tcPr>
            <w:tcW w:w="6503" w:type="dxa"/>
            <w:shd w:val="clear" w:color="auto" w:fill="auto"/>
            <w:tcMar>
              <w:top w:w="120" w:type="dxa"/>
              <w:left w:w="120" w:type="dxa"/>
              <w:bottom w:w="120" w:type="dxa"/>
              <w:right w:w="120" w:type="dxa"/>
            </w:tcMar>
            <w:vAlign w:val="center"/>
          </w:tcPr>
          <w:p w14:paraId="04D0169C">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auto"/>
              <w:rPr>
                <w:rFonts w:ascii="宋体" w:eastAsia="宋体"/>
                <w:sz w:val="24"/>
              </w:rPr>
            </w:pPr>
            <w:r>
              <w:rPr>
                <w:rFonts w:ascii="宋体" w:hAnsi="宋体" w:eastAsia="宋体" w:cs="宋体"/>
                <w:kern w:val="0"/>
                <w:sz w:val="24"/>
                <w:szCs w:val="24"/>
                <w:lang w:val="en-US" w:eastAsia="zh-CN" w:bidi="ar"/>
              </w:rPr>
              <w:t>方案完整、81 条线路规划、点位部署、适配公安天眼场景：</w:t>
            </w:r>
            <w:r>
              <w:rPr>
                <w:rFonts w:hint="eastAsia" w:ascii="宋体" w:hAnsi="宋体" w:eastAsia="宋体" w:cs="宋体"/>
                <w:kern w:val="0"/>
                <w:sz w:val="24"/>
                <w:szCs w:val="24"/>
                <w:lang w:val="en-US" w:eastAsia="zh-CN" w:bidi="ar"/>
              </w:rPr>
              <w:t>10</w:t>
            </w:r>
            <w:r>
              <w:rPr>
                <w:rFonts w:ascii="宋体" w:hAnsi="宋体" w:eastAsia="宋体" w:cs="宋体"/>
                <w:kern w:val="0"/>
                <w:sz w:val="24"/>
                <w:szCs w:val="24"/>
                <w:lang w:val="en-US" w:eastAsia="zh-CN" w:bidi="ar"/>
              </w:rPr>
              <w:t>-1</w:t>
            </w:r>
            <w:r>
              <w:rPr>
                <w:rFonts w:hint="eastAsia" w:ascii="宋体" w:hAnsi="宋体" w:eastAsia="宋体" w:cs="宋体"/>
                <w:kern w:val="0"/>
                <w:sz w:val="24"/>
                <w:szCs w:val="24"/>
                <w:lang w:val="en-US" w:eastAsia="zh-CN" w:bidi="ar"/>
              </w:rPr>
              <w:t>5</w:t>
            </w:r>
            <w:r>
              <w:rPr>
                <w:rFonts w:ascii="宋体" w:hAnsi="宋体" w:eastAsia="宋体" w:cs="宋体"/>
                <w:kern w:val="0"/>
                <w:sz w:val="24"/>
                <w:szCs w:val="24"/>
                <w:lang w:val="en-US" w:eastAsia="zh-CN" w:bidi="ar"/>
              </w:rPr>
              <w:t>分；方案基本齐全、细节一般：</w:t>
            </w:r>
            <w:r>
              <w:rPr>
                <w:rFonts w:hint="eastAsia" w:ascii="宋体" w:hAnsi="宋体" w:eastAsia="宋体" w:cs="宋体"/>
                <w:kern w:val="0"/>
                <w:sz w:val="24"/>
                <w:szCs w:val="24"/>
                <w:lang w:val="en-US" w:eastAsia="zh-CN" w:bidi="ar"/>
              </w:rPr>
              <w:t>5</w:t>
            </w:r>
            <w:r>
              <w:rPr>
                <w:rFonts w:ascii="宋体" w:hAnsi="宋体" w:eastAsia="宋体" w:cs="宋体"/>
                <w:kern w:val="0"/>
                <w:sz w:val="24"/>
                <w:szCs w:val="24"/>
                <w:lang w:val="en-US" w:eastAsia="zh-CN" w:bidi="ar"/>
              </w:rPr>
              <w:t>-</w:t>
            </w:r>
            <w:r>
              <w:rPr>
                <w:rFonts w:hint="eastAsia" w:ascii="宋体" w:hAnsi="宋体" w:eastAsia="宋体" w:cs="宋体"/>
                <w:kern w:val="0"/>
                <w:sz w:val="24"/>
                <w:szCs w:val="24"/>
                <w:lang w:val="en-US" w:eastAsia="zh-CN" w:bidi="ar"/>
              </w:rPr>
              <w:t>10</w:t>
            </w:r>
            <w:r>
              <w:rPr>
                <w:rFonts w:ascii="宋体" w:hAnsi="宋体" w:eastAsia="宋体" w:cs="宋体"/>
                <w:kern w:val="0"/>
                <w:sz w:val="24"/>
                <w:szCs w:val="24"/>
                <w:lang w:val="en-US" w:eastAsia="zh-CN" w:bidi="ar"/>
              </w:rPr>
              <w:t>分；方案简略、逻辑混乱、不满足基本需求：0-</w:t>
            </w:r>
            <w:r>
              <w:rPr>
                <w:rFonts w:hint="eastAsia" w:ascii="宋体" w:hAnsi="宋体" w:eastAsia="宋体" w:cs="宋体"/>
                <w:kern w:val="0"/>
                <w:sz w:val="24"/>
                <w:szCs w:val="24"/>
                <w:lang w:val="en-US" w:eastAsia="zh-CN" w:bidi="ar"/>
              </w:rPr>
              <w:t>5</w:t>
            </w:r>
            <w:r>
              <w:rPr>
                <w:rFonts w:ascii="宋体" w:hAnsi="宋体" w:eastAsia="宋体" w:cs="宋体"/>
                <w:kern w:val="0"/>
                <w:sz w:val="24"/>
                <w:szCs w:val="24"/>
                <w:lang w:val="en-US" w:eastAsia="zh-CN" w:bidi="ar"/>
              </w:rPr>
              <w:t xml:space="preserve"> 分。</w:t>
            </w:r>
          </w:p>
        </w:tc>
      </w:tr>
      <w:tr w14:paraId="716A7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16" w:hRule="atLeast"/>
          <w:jc w:val="center"/>
        </w:trPr>
        <w:tc>
          <w:tcPr>
            <w:tcW w:w="725" w:type="dxa"/>
            <w:shd w:val="clear" w:color="auto" w:fill="auto"/>
            <w:tcMar>
              <w:top w:w="120" w:type="dxa"/>
              <w:left w:w="120" w:type="dxa"/>
              <w:bottom w:w="120" w:type="dxa"/>
              <w:right w:w="120" w:type="dxa"/>
            </w:tcMar>
            <w:vAlign w:val="center"/>
          </w:tcPr>
          <w:p w14:paraId="537B00D1">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auto"/>
              <w:rPr>
                <w:rFonts w:ascii="宋体" w:eastAsia="宋体"/>
                <w:sz w:val="24"/>
              </w:rPr>
            </w:pPr>
          </w:p>
        </w:tc>
        <w:tc>
          <w:tcPr>
            <w:tcW w:w="0" w:type="auto"/>
            <w:shd w:val="clear" w:color="auto" w:fill="auto"/>
            <w:tcMar>
              <w:top w:w="120" w:type="dxa"/>
              <w:left w:w="120" w:type="dxa"/>
              <w:bottom w:w="120" w:type="dxa"/>
              <w:right w:w="120" w:type="dxa"/>
            </w:tcMar>
            <w:vAlign w:val="center"/>
          </w:tcPr>
          <w:p w14:paraId="1BBB7AAC">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auto"/>
              <w:rPr>
                <w:rFonts w:ascii="宋体" w:eastAsia="宋体"/>
                <w:sz w:val="24"/>
              </w:rPr>
            </w:pPr>
            <w:r>
              <w:rPr>
                <w:rFonts w:ascii="宋体" w:hAnsi="宋体" w:eastAsia="宋体" w:cs="宋体"/>
                <w:kern w:val="0"/>
                <w:sz w:val="24"/>
                <w:szCs w:val="24"/>
                <w:lang w:val="en-US" w:eastAsia="zh-CN" w:bidi="ar"/>
              </w:rPr>
              <w:t xml:space="preserve">线路技术参数 </w:t>
            </w:r>
            <w:r>
              <w:rPr>
                <w:rFonts w:hint="eastAsia" w:ascii="宋体" w:hAnsi="宋体" w:cs="宋体"/>
                <w:kern w:val="0"/>
                <w:sz w:val="24"/>
                <w:szCs w:val="24"/>
                <w:lang w:val="en-US" w:eastAsia="zh-CN" w:bidi="ar"/>
              </w:rPr>
              <w:t>、</w:t>
            </w:r>
            <w:r>
              <w:rPr>
                <w:rFonts w:ascii="宋体" w:hAnsi="宋体" w:eastAsia="宋体" w:cs="宋体"/>
                <w:kern w:val="0"/>
                <w:sz w:val="24"/>
                <w:szCs w:val="24"/>
                <w:lang w:val="en-US" w:eastAsia="zh-CN" w:bidi="ar"/>
              </w:rPr>
              <w:t>带宽保障</w:t>
            </w:r>
          </w:p>
        </w:tc>
        <w:tc>
          <w:tcPr>
            <w:tcW w:w="725" w:type="dxa"/>
            <w:shd w:val="clear" w:color="auto" w:fill="auto"/>
            <w:tcMar>
              <w:top w:w="120" w:type="dxa"/>
              <w:left w:w="120" w:type="dxa"/>
              <w:bottom w:w="120" w:type="dxa"/>
              <w:right w:w="120" w:type="dxa"/>
            </w:tcMar>
            <w:vAlign w:val="center"/>
          </w:tcPr>
          <w:p w14:paraId="78666F7C">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auto"/>
              <w:rPr>
                <w:rFonts w:ascii="宋体" w:eastAsia="宋体"/>
                <w:sz w:val="24"/>
              </w:rPr>
            </w:pPr>
            <w:r>
              <w:rPr>
                <w:rFonts w:ascii="宋体" w:hAnsi="宋体" w:eastAsia="宋体" w:cs="宋体"/>
                <w:kern w:val="0"/>
                <w:sz w:val="24"/>
                <w:szCs w:val="24"/>
                <w:lang w:val="en-US" w:eastAsia="zh-CN" w:bidi="ar"/>
              </w:rPr>
              <w:t>1</w:t>
            </w:r>
            <w:r>
              <w:rPr>
                <w:rFonts w:hint="eastAsia" w:ascii="宋体" w:hAnsi="宋体" w:eastAsia="宋体" w:cs="宋体"/>
                <w:kern w:val="0"/>
                <w:sz w:val="24"/>
                <w:szCs w:val="24"/>
                <w:lang w:val="en-US" w:eastAsia="zh-CN" w:bidi="ar"/>
              </w:rPr>
              <w:t>5</w:t>
            </w:r>
          </w:p>
        </w:tc>
        <w:tc>
          <w:tcPr>
            <w:tcW w:w="6503" w:type="dxa"/>
            <w:shd w:val="clear" w:color="auto" w:fill="auto"/>
            <w:tcMar>
              <w:top w:w="120" w:type="dxa"/>
              <w:left w:w="120" w:type="dxa"/>
              <w:bottom w:w="120" w:type="dxa"/>
              <w:right w:w="120" w:type="dxa"/>
            </w:tcMar>
            <w:vAlign w:val="center"/>
          </w:tcPr>
          <w:p w14:paraId="35091726">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auto"/>
              <w:rPr>
                <w:rFonts w:ascii="宋体" w:eastAsia="宋体"/>
                <w:sz w:val="24"/>
              </w:rPr>
            </w:pPr>
            <w:r>
              <w:rPr>
                <w:rFonts w:ascii="宋体" w:hAnsi="宋体" w:eastAsia="宋体" w:cs="宋体"/>
                <w:kern w:val="0"/>
                <w:sz w:val="24"/>
                <w:szCs w:val="24"/>
                <w:lang w:val="en-US" w:eastAsia="zh-CN" w:bidi="ar"/>
              </w:rPr>
              <w:t>完全满足：双芯双备裸光纤、不经过乙方交换设备、端到端直达、20M 速率、速率达标占比≥90%，有冗余及备份措施：</w:t>
            </w:r>
            <w:r>
              <w:rPr>
                <w:rFonts w:hint="eastAsia" w:ascii="宋体" w:hAnsi="宋体" w:eastAsia="宋体" w:cs="宋体"/>
                <w:kern w:val="0"/>
                <w:sz w:val="24"/>
                <w:szCs w:val="24"/>
                <w:lang w:val="en-US" w:eastAsia="zh-CN" w:bidi="ar"/>
              </w:rPr>
              <w:t>10</w:t>
            </w:r>
            <w:r>
              <w:rPr>
                <w:rFonts w:ascii="宋体" w:hAnsi="宋体" w:eastAsia="宋体" w:cs="宋体"/>
                <w:kern w:val="0"/>
                <w:sz w:val="24"/>
                <w:szCs w:val="24"/>
                <w:lang w:val="en-US" w:eastAsia="zh-CN" w:bidi="ar"/>
              </w:rPr>
              <w:t>-1</w:t>
            </w:r>
            <w:r>
              <w:rPr>
                <w:rFonts w:hint="eastAsia" w:ascii="宋体" w:hAnsi="宋体" w:eastAsia="宋体" w:cs="宋体"/>
                <w:kern w:val="0"/>
                <w:sz w:val="24"/>
                <w:szCs w:val="24"/>
                <w:lang w:val="en-US" w:eastAsia="zh-CN" w:bidi="ar"/>
              </w:rPr>
              <w:t>5</w:t>
            </w:r>
            <w:r>
              <w:rPr>
                <w:rFonts w:ascii="宋体" w:hAnsi="宋体" w:eastAsia="宋体" w:cs="宋体"/>
                <w:kern w:val="0"/>
                <w:sz w:val="24"/>
                <w:szCs w:val="24"/>
                <w:lang w:val="en-US" w:eastAsia="zh-CN" w:bidi="ar"/>
              </w:rPr>
              <w:t xml:space="preserve"> 分；基本满足、保障措施简单：</w:t>
            </w:r>
            <w:r>
              <w:rPr>
                <w:rFonts w:hint="eastAsia" w:ascii="宋体" w:hAnsi="宋体" w:eastAsia="宋体" w:cs="宋体"/>
                <w:kern w:val="0"/>
                <w:sz w:val="24"/>
                <w:szCs w:val="24"/>
                <w:lang w:val="en-US" w:eastAsia="zh-CN" w:bidi="ar"/>
              </w:rPr>
              <w:t>5</w:t>
            </w:r>
            <w:r>
              <w:rPr>
                <w:rFonts w:ascii="宋体" w:hAnsi="宋体" w:eastAsia="宋体" w:cs="宋体"/>
                <w:kern w:val="0"/>
                <w:sz w:val="24"/>
                <w:szCs w:val="24"/>
                <w:lang w:val="en-US" w:eastAsia="zh-CN" w:bidi="ar"/>
              </w:rPr>
              <w:t>-</w:t>
            </w:r>
            <w:r>
              <w:rPr>
                <w:rFonts w:hint="eastAsia" w:ascii="宋体" w:hAnsi="宋体" w:eastAsia="宋体" w:cs="宋体"/>
                <w:kern w:val="0"/>
                <w:sz w:val="24"/>
                <w:szCs w:val="24"/>
                <w:lang w:val="en-US" w:eastAsia="zh-CN" w:bidi="ar"/>
              </w:rPr>
              <w:t>10</w:t>
            </w:r>
            <w:r>
              <w:rPr>
                <w:rFonts w:ascii="宋体" w:hAnsi="宋体" w:eastAsia="宋体" w:cs="宋体"/>
                <w:kern w:val="0"/>
                <w:sz w:val="24"/>
                <w:szCs w:val="24"/>
                <w:lang w:val="en-US" w:eastAsia="zh-CN" w:bidi="ar"/>
              </w:rPr>
              <w:t>分；关键参数不满足、有缺失：0-</w:t>
            </w:r>
            <w:r>
              <w:rPr>
                <w:rFonts w:hint="eastAsia" w:ascii="宋体" w:hAnsi="宋体" w:eastAsia="宋体" w:cs="宋体"/>
                <w:kern w:val="0"/>
                <w:sz w:val="24"/>
                <w:szCs w:val="24"/>
                <w:lang w:val="en-US" w:eastAsia="zh-CN" w:bidi="ar"/>
              </w:rPr>
              <w:t>5</w:t>
            </w:r>
            <w:r>
              <w:rPr>
                <w:rFonts w:ascii="宋体" w:hAnsi="宋体" w:eastAsia="宋体" w:cs="宋体"/>
                <w:kern w:val="0"/>
                <w:sz w:val="24"/>
                <w:szCs w:val="24"/>
                <w:lang w:val="en-US" w:eastAsia="zh-CN" w:bidi="ar"/>
              </w:rPr>
              <w:t xml:space="preserve"> 分。</w:t>
            </w:r>
          </w:p>
        </w:tc>
      </w:tr>
      <w:tr w14:paraId="1346D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725" w:type="dxa"/>
            <w:shd w:val="clear" w:color="auto" w:fill="auto"/>
            <w:tcMar>
              <w:top w:w="120" w:type="dxa"/>
              <w:left w:w="120" w:type="dxa"/>
              <w:bottom w:w="120" w:type="dxa"/>
              <w:right w:w="120" w:type="dxa"/>
            </w:tcMar>
            <w:vAlign w:val="center"/>
          </w:tcPr>
          <w:p w14:paraId="5379EBE1">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auto"/>
              <w:rPr>
                <w:rFonts w:ascii="宋体" w:eastAsia="宋体"/>
                <w:sz w:val="24"/>
              </w:rPr>
            </w:pPr>
          </w:p>
        </w:tc>
        <w:tc>
          <w:tcPr>
            <w:tcW w:w="0" w:type="auto"/>
            <w:shd w:val="clear" w:color="auto" w:fill="auto"/>
            <w:tcMar>
              <w:top w:w="120" w:type="dxa"/>
              <w:left w:w="120" w:type="dxa"/>
              <w:bottom w:w="120" w:type="dxa"/>
              <w:right w:w="120" w:type="dxa"/>
            </w:tcMar>
            <w:vAlign w:val="center"/>
          </w:tcPr>
          <w:p w14:paraId="0F7CEB3C">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auto"/>
              <w:rPr>
                <w:rFonts w:ascii="宋体" w:eastAsia="宋体"/>
                <w:sz w:val="24"/>
              </w:rPr>
            </w:pPr>
            <w:r>
              <w:rPr>
                <w:rFonts w:ascii="宋体" w:hAnsi="宋体" w:eastAsia="宋体" w:cs="宋体"/>
                <w:kern w:val="0"/>
                <w:sz w:val="24"/>
                <w:szCs w:val="24"/>
                <w:lang w:val="en-US" w:eastAsia="zh-CN" w:bidi="ar"/>
              </w:rPr>
              <w:t>网络集成组网方案</w:t>
            </w:r>
          </w:p>
        </w:tc>
        <w:tc>
          <w:tcPr>
            <w:tcW w:w="725" w:type="dxa"/>
            <w:shd w:val="clear" w:color="auto" w:fill="auto"/>
            <w:tcMar>
              <w:top w:w="120" w:type="dxa"/>
              <w:left w:w="120" w:type="dxa"/>
              <w:bottom w:w="120" w:type="dxa"/>
              <w:right w:w="120" w:type="dxa"/>
            </w:tcMar>
            <w:vAlign w:val="center"/>
          </w:tcPr>
          <w:p w14:paraId="4350E6DE">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auto"/>
              <w:rPr>
                <w:rFonts w:hint="default" w:ascii="宋体" w:eastAsia="宋体"/>
                <w:sz w:val="24"/>
                <w:lang w:val="en-US"/>
              </w:rPr>
            </w:pPr>
            <w:r>
              <w:rPr>
                <w:rFonts w:hint="eastAsia" w:ascii="宋体" w:hAnsi="宋体" w:eastAsia="宋体" w:cs="宋体"/>
                <w:kern w:val="0"/>
                <w:sz w:val="24"/>
                <w:szCs w:val="24"/>
                <w:lang w:val="en-US" w:eastAsia="zh-CN" w:bidi="ar"/>
              </w:rPr>
              <w:t>10</w:t>
            </w:r>
          </w:p>
        </w:tc>
        <w:tc>
          <w:tcPr>
            <w:tcW w:w="6503" w:type="dxa"/>
            <w:shd w:val="clear" w:color="auto" w:fill="auto"/>
            <w:tcMar>
              <w:top w:w="120" w:type="dxa"/>
              <w:left w:w="120" w:type="dxa"/>
              <w:bottom w:w="120" w:type="dxa"/>
              <w:right w:w="120" w:type="dxa"/>
            </w:tcMar>
            <w:vAlign w:val="center"/>
          </w:tcPr>
          <w:p w14:paraId="709C1A08">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auto"/>
              <w:rPr>
                <w:rFonts w:ascii="宋体" w:eastAsia="宋体"/>
                <w:sz w:val="24"/>
              </w:rPr>
            </w:pPr>
            <w:r>
              <w:rPr>
                <w:rFonts w:ascii="宋体" w:hAnsi="宋体" w:eastAsia="宋体" w:cs="宋体"/>
                <w:kern w:val="0"/>
                <w:sz w:val="24"/>
                <w:szCs w:val="24"/>
                <w:lang w:val="en-US" w:eastAsia="zh-CN" w:bidi="ar"/>
              </w:rPr>
              <w:t>骨干 + 接入 + 终端组网设计合理、拓扑清晰、安全隔离适配监控传输：</w:t>
            </w:r>
            <w:r>
              <w:rPr>
                <w:rFonts w:hint="eastAsia" w:ascii="宋体" w:hAnsi="宋体" w:eastAsia="宋体" w:cs="宋体"/>
                <w:kern w:val="0"/>
                <w:sz w:val="24"/>
                <w:szCs w:val="24"/>
                <w:lang w:val="en-US" w:eastAsia="zh-CN" w:bidi="ar"/>
              </w:rPr>
              <w:t>7</w:t>
            </w:r>
            <w:r>
              <w:rPr>
                <w:rFonts w:ascii="宋体" w:hAnsi="宋体" w:eastAsia="宋体" w:cs="宋体"/>
                <w:kern w:val="0"/>
                <w:sz w:val="24"/>
                <w:szCs w:val="24"/>
                <w:lang w:val="en-US" w:eastAsia="zh-CN" w:bidi="ar"/>
              </w:rPr>
              <w:t>-</w:t>
            </w:r>
            <w:r>
              <w:rPr>
                <w:rFonts w:hint="eastAsia" w:ascii="宋体" w:hAnsi="宋体" w:eastAsia="宋体" w:cs="宋体"/>
                <w:kern w:val="0"/>
                <w:sz w:val="24"/>
                <w:szCs w:val="24"/>
                <w:lang w:val="en-US" w:eastAsia="zh-CN" w:bidi="ar"/>
              </w:rPr>
              <w:t>10</w:t>
            </w:r>
            <w:r>
              <w:rPr>
                <w:rFonts w:ascii="宋体" w:hAnsi="宋体" w:eastAsia="宋体" w:cs="宋体"/>
                <w:kern w:val="0"/>
                <w:sz w:val="24"/>
                <w:szCs w:val="24"/>
                <w:lang w:val="en-US" w:eastAsia="zh-CN" w:bidi="ar"/>
              </w:rPr>
              <w:t xml:space="preserve"> 分；组网方案一般、仅简单说明：</w:t>
            </w:r>
            <w:r>
              <w:rPr>
                <w:rFonts w:hint="eastAsia" w:ascii="宋体" w:hAnsi="宋体" w:eastAsia="宋体" w:cs="宋体"/>
                <w:kern w:val="0"/>
                <w:sz w:val="24"/>
                <w:szCs w:val="24"/>
                <w:lang w:val="en-US" w:eastAsia="zh-CN" w:bidi="ar"/>
              </w:rPr>
              <w:t>4</w:t>
            </w:r>
            <w:r>
              <w:rPr>
                <w:rFonts w:ascii="宋体" w:hAnsi="宋体" w:eastAsia="宋体" w:cs="宋体"/>
                <w:kern w:val="0"/>
                <w:sz w:val="24"/>
                <w:szCs w:val="24"/>
                <w:lang w:val="en-US" w:eastAsia="zh-CN" w:bidi="ar"/>
              </w:rPr>
              <w:t>-</w:t>
            </w:r>
            <w:r>
              <w:rPr>
                <w:rFonts w:hint="eastAsia" w:ascii="宋体" w:hAnsi="宋体" w:eastAsia="宋体" w:cs="宋体"/>
                <w:kern w:val="0"/>
                <w:sz w:val="24"/>
                <w:szCs w:val="24"/>
                <w:lang w:val="en-US" w:eastAsia="zh-CN" w:bidi="ar"/>
              </w:rPr>
              <w:t>7</w:t>
            </w:r>
            <w:r>
              <w:rPr>
                <w:rFonts w:ascii="宋体" w:hAnsi="宋体" w:eastAsia="宋体" w:cs="宋体"/>
                <w:kern w:val="0"/>
                <w:sz w:val="24"/>
                <w:szCs w:val="24"/>
                <w:lang w:val="en-US" w:eastAsia="zh-CN" w:bidi="ar"/>
              </w:rPr>
              <w:t xml:space="preserve"> 分；无组网设计、违反组网禁止要求：0-</w:t>
            </w:r>
            <w:r>
              <w:rPr>
                <w:rFonts w:hint="eastAsia" w:ascii="宋体" w:hAnsi="宋体" w:eastAsia="宋体" w:cs="宋体"/>
                <w:kern w:val="0"/>
                <w:sz w:val="24"/>
                <w:szCs w:val="24"/>
                <w:lang w:val="en-US" w:eastAsia="zh-CN" w:bidi="ar"/>
              </w:rPr>
              <w:t>4</w:t>
            </w:r>
            <w:r>
              <w:rPr>
                <w:rFonts w:ascii="宋体" w:hAnsi="宋体" w:eastAsia="宋体" w:cs="宋体"/>
                <w:kern w:val="0"/>
                <w:sz w:val="24"/>
                <w:szCs w:val="24"/>
                <w:lang w:val="en-US" w:eastAsia="zh-CN" w:bidi="ar"/>
              </w:rPr>
              <w:t xml:space="preserve"> 分。</w:t>
            </w:r>
          </w:p>
        </w:tc>
      </w:tr>
      <w:tr w14:paraId="5C86D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725" w:type="dxa"/>
            <w:shd w:val="clear" w:color="auto" w:fill="auto"/>
            <w:tcMar>
              <w:top w:w="120" w:type="dxa"/>
              <w:left w:w="120" w:type="dxa"/>
              <w:bottom w:w="120" w:type="dxa"/>
              <w:right w:w="120" w:type="dxa"/>
            </w:tcMar>
            <w:vAlign w:val="center"/>
          </w:tcPr>
          <w:p w14:paraId="4D17DD01">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auto"/>
              <w:rPr>
                <w:rFonts w:ascii="宋体" w:eastAsia="宋体"/>
                <w:sz w:val="24"/>
              </w:rPr>
            </w:pPr>
          </w:p>
        </w:tc>
        <w:tc>
          <w:tcPr>
            <w:tcW w:w="0" w:type="auto"/>
            <w:shd w:val="clear" w:color="auto" w:fill="auto"/>
            <w:tcMar>
              <w:top w:w="120" w:type="dxa"/>
              <w:left w:w="120" w:type="dxa"/>
              <w:bottom w:w="120" w:type="dxa"/>
              <w:right w:w="120" w:type="dxa"/>
            </w:tcMar>
            <w:vAlign w:val="center"/>
          </w:tcPr>
          <w:p w14:paraId="2F3B8186">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auto"/>
              <w:rPr>
                <w:rFonts w:ascii="宋体" w:eastAsia="宋体"/>
                <w:sz w:val="24"/>
              </w:rPr>
            </w:pPr>
            <w:r>
              <w:rPr>
                <w:rFonts w:ascii="宋体" w:hAnsi="宋体" w:eastAsia="宋体" w:cs="宋体"/>
                <w:kern w:val="0"/>
                <w:sz w:val="24"/>
                <w:szCs w:val="24"/>
                <w:lang w:val="en-US" w:eastAsia="zh-CN" w:bidi="ar"/>
              </w:rPr>
              <w:t>开通部署及验收方案</w:t>
            </w:r>
          </w:p>
        </w:tc>
        <w:tc>
          <w:tcPr>
            <w:tcW w:w="725" w:type="dxa"/>
            <w:shd w:val="clear" w:color="auto" w:fill="auto"/>
            <w:tcMar>
              <w:top w:w="120" w:type="dxa"/>
              <w:left w:w="120" w:type="dxa"/>
              <w:bottom w:w="120" w:type="dxa"/>
              <w:right w:w="120" w:type="dxa"/>
            </w:tcMar>
            <w:vAlign w:val="center"/>
          </w:tcPr>
          <w:p w14:paraId="43DD0DE9">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auto"/>
              <w:rPr>
                <w:rFonts w:hint="default" w:ascii="宋体" w:eastAsia="宋体"/>
                <w:sz w:val="24"/>
                <w:lang w:val="en-US"/>
              </w:rPr>
            </w:pPr>
            <w:r>
              <w:rPr>
                <w:rFonts w:hint="eastAsia" w:ascii="宋体" w:hAnsi="宋体" w:eastAsia="宋体" w:cs="宋体"/>
                <w:kern w:val="0"/>
                <w:sz w:val="24"/>
                <w:szCs w:val="24"/>
                <w:lang w:val="en-US" w:eastAsia="zh-CN" w:bidi="ar"/>
              </w:rPr>
              <w:t>10</w:t>
            </w:r>
          </w:p>
        </w:tc>
        <w:tc>
          <w:tcPr>
            <w:tcW w:w="6503" w:type="dxa"/>
            <w:shd w:val="clear" w:color="auto" w:fill="auto"/>
            <w:tcMar>
              <w:top w:w="120" w:type="dxa"/>
              <w:left w:w="120" w:type="dxa"/>
              <w:bottom w:w="120" w:type="dxa"/>
              <w:right w:w="120" w:type="dxa"/>
            </w:tcMar>
            <w:vAlign w:val="center"/>
          </w:tcPr>
          <w:p w14:paraId="30BE2CB6">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auto"/>
              <w:rPr>
                <w:rFonts w:ascii="宋体" w:eastAsia="宋体"/>
                <w:sz w:val="24"/>
              </w:rPr>
            </w:pPr>
            <w:r>
              <w:rPr>
                <w:rFonts w:ascii="宋体" w:hAnsi="宋体" w:eastAsia="宋体" w:cs="宋体"/>
                <w:kern w:val="0"/>
                <w:sz w:val="24"/>
                <w:szCs w:val="24"/>
                <w:lang w:val="en-US" w:eastAsia="zh-CN" w:bidi="ar"/>
              </w:rPr>
              <w:t>含工期计划、进场协调、调测、竣工交付、验收标准、资料移交完整：</w:t>
            </w:r>
            <w:r>
              <w:rPr>
                <w:rFonts w:hint="eastAsia" w:ascii="宋体" w:hAnsi="宋体" w:eastAsia="宋体" w:cs="宋体"/>
                <w:kern w:val="0"/>
                <w:sz w:val="24"/>
                <w:szCs w:val="24"/>
                <w:lang w:val="en-US" w:eastAsia="zh-CN" w:bidi="ar"/>
              </w:rPr>
              <w:t>7</w:t>
            </w:r>
            <w:r>
              <w:rPr>
                <w:rFonts w:ascii="宋体" w:hAnsi="宋体" w:eastAsia="宋体" w:cs="宋体"/>
                <w:kern w:val="0"/>
                <w:sz w:val="24"/>
                <w:szCs w:val="24"/>
                <w:lang w:val="en-US" w:eastAsia="zh-CN" w:bidi="ar"/>
              </w:rPr>
              <w:t>-</w:t>
            </w:r>
            <w:r>
              <w:rPr>
                <w:rFonts w:hint="eastAsia" w:ascii="宋体" w:hAnsi="宋体" w:eastAsia="宋体" w:cs="宋体"/>
                <w:kern w:val="0"/>
                <w:sz w:val="24"/>
                <w:szCs w:val="24"/>
                <w:lang w:val="en-US" w:eastAsia="zh-CN" w:bidi="ar"/>
              </w:rPr>
              <w:t>10</w:t>
            </w:r>
            <w:r>
              <w:rPr>
                <w:rFonts w:ascii="宋体" w:hAnsi="宋体" w:eastAsia="宋体" w:cs="宋体"/>
                <w:kern w:val="0"/>
                <w:sz w:val="24"/>
                <w:szCs w:val="24"/>
                <w:lang w:val="en-US" w:eastAsia="zh-CN" w:bidi="ar"/>
              </w:rPr>
              <w:t xml:space="preserve"> 分；流程基本齐全但简略：</w:t>
            </w:r>
            <w:r>
              <w:rPr>
                <w:rFonts w:hint="eastAsia" w:ascii="宋体" w:hAnsi="宋体" w:eastAsia="宋体" w:cs="宋体"/>
                <w:kern w:val="0"/>
                <w:sz w:val="24"/>
                <w:szCs w:val="24"/>
                <w:lang w:val="en-US" w:eastAsia="zh-CN" w:bidi="ar"/>
              </w:rPr>
              <w:t>4</w:t>
            </w:r>
            <w:r>
              <w:rPr>
                <w:rFonts w:ascii="宋体" w:hAnsi="宋体" w:eastAsia="宋体" w:cs="宋体"/>
                <w:kern w:val="0"/>
                <w:sz w:val="24"/>
                <w:szCs w:val="24"/>
                <w:lang w:val="en-US" w:eastAsia="zh-CN" w:bidi="ar"/>
              </w:rPr>
              <w:t>-</w:t>
            </w:r>
            <w:r>
              <w:rPr>
                <w:rFonts w:hint="eastAsia" w:ascii="宋体" w:hAnsi="宋体" w:eastAsia="宋体" w:cs="宋体"/>
                <w:kern w:val="0"/>
                <w:sz w:val="24"/>
                <w:szCs w:val="24"/>
                <w:lang w:val="en-US" w:eastAsia="zh-CN" w:bidi="ar"/>
              </w:rPr>
              <w:t>7</w:t>
            </w:r>
            <w:r>
              <w:rPr>
                <w:rFonts w:ascii="宋体" w:hAnsi="宋体" w:eastAsia="宋体" w:cs="宋体"/>
                <w:kern w:val="0"/>
                <w:sz w:val="24"/>
                <w:szCs w:val="24"/>
                <w:lang w:val="en-US" w:eastAsia="zh-CN" w:bidi="ar"/>
              </w:rPr>
              <w:t xml:space="preserve"> 分；无开通验收专项方案：0-</w:t>
            </w:r>
            <w:r>
              <w:rPr>
                <w:rFonts w:hint="eastAsia" w:ascii="宋体" w:hAnsi="宋体" w:eastAsia="宋体" w:cs="宋体"/>
                <w:kern w:val="0"/>
                <w:sz w:val="24"/>
                <w:szCs w:val="24"/>
                <w:lang w:val="en-US" w:eastAsia="zh-CN" w:bidi="ar"/>
              </w:rPr>
              <w:t>4</w:t>
            </w:r>
            <w:r>
              <w:rPr>
                <w:rFonts w:ascii="宋体" w:hAnsi="宋体" w:eastAsia="宋体" w:cs="宋体"/>
                <w:kern w:val="0"/>
                <w:sz w:val="24"/>
                <w:szCs w:val="24"/>
                <w:lang w:val="en-US" w:eastAsia="zh-CN" w:bidi="ar"/>
              </w:rPr>
              <w:t xml:space="preserve"> 分。</w:t>
            </w:r>
          </w:p>
        </w:tc>
      </w:tr>
      <w:tr w14:paraId="0FCF9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725" w:type="dxa"/>
            <w:shd w:val="clear" w:color="auto" w:fill="auto"/>
            <w:tcMar>
              <w:top w:w="120" w:type="dxa"/>
              <w:left w:w="120" w:type="dxa"/>
              <w:bottom w:w="120" w:type="dxa"/>
              <w:right w:w="120" w:type="dxa"/>
            </w:tcMar>
            <w:vAlign w:val="center"/>
          </w:tcPr>
          <w:p w14:paraId="4FA02A61">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auto"/>
              <w:rPr>
                <w:rFonts w:ascii="宋体" w:eastAsia="宋体"/>
                <w:sz w:val="24"/>
              </w:rPr>
            </w:pPr>
            <w:r>
              <w:rPr>
                <w:rFonts w:hint="eastAsia" w:ascii="宋体" w:hAnsi="宋体" w:eastAsia="宋体" w:cs="宋体"/>
                <w:kern w:val="0"/>
                <w:sz w:val="24"/>
                <w:szCs w:val="24"/>
                <w:lang w:val="en-US" w:eastAsia="zh-CN" w:bidi="ar"/>
              </w:rPr>
              <w:t>3</w:t>
            </w:r>
          </w:p>
        </w:tc>
        <w:tc>
          <w:tcPr>
            <w:tcW w:w="0" w:type="auto"/>
            <w:shd w:val="clear" w:color="auto" w:fill="auto"/>
            <w:tcMar>
              <w:top w:w="120" w:type="dxa"/>
              <w:left w:w="120" w:type="dxa"/>
              <w:bottom w:w="120" w:type="dxa"/>
              <w:right w:w="120" w:type="dxa"/>
            </w:tcMar>
            <w:vAlign w:val="center"/>
          </w:tcPr>
          <w:p w14:paraId="3EB6B6A1">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auto"/>
              <w:rPr>
                <w:rFonts w:ascii="宋体" w:eastAsia="宋体"/>
                <w:sz w:val="24"/>
              </w:rPr>
            </w:pPr>
            <w:r>
              <w:rPr>
                <w:rFonts w:ascii="宋体" w:hAnsi="宋体" w:eastAsia="宋体" w:cs="宋体"/>
                <w:kern w:val="0"/>
                <w:sz w:val="24"/>
                <w:szCs w:val="24"/>
                <w:lang w:val="en-US" w:eastAsia="zh-CN" w:bidi="ar"/>
              </w:rPr>
              <w:t>服务保障与运维承诺</w:t>
            </w:r>
          </w:p>
        </w:tc>
        <w:tc>
          <w:tcPr>
            <w:tcW w:w="725" w:type="dxa"/>
            <w:shd w:val="clear" w:color="auto" w:fill="auto"/>
            <w:tcMar>
              <w:top w:w="120" w:type="dxa"/>
              <w:left w:w="120" w:type="dxa"/>
              <w:bottom w:w="120" w:type="dxa"/>
              <w:right w:w="120" w:type="dxa"/>
            </w:tcMar>
            <w:vAlign w:val="center"/>
          </w:tcPr>
          <w:p w14:paraId="4D69DAF1">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auto"/>
              <w:rPr>
                <w:rFonts w:hint="default" w:ascii="宋体" w:eastAsia="宋体"/>
                <w:sz w:val="24"/>
                <w:lang w:val="en-US"/>
              </w:rPr>
            </w:pPr>
            <w:r>
              <w:rPr>
                <w:rFonts w:hint="eastAsia" w:ascii="宋体" w:hAnsi="宋体" w:eastAsia="宋体" w:cs="宋体"/>
                <w:kern w:val="0"/>
                <w:sz w:val="24"/>
                <w:szCs w:val="24"/>
                <w:lang w:val="en-US" w:eastAsia="zh-CN" w:bidi="ar"/>
              </w:rPr>
              <w:t>30</w:t>
            </w:r>
          </w:p>
        </w:tc>
        <w:tc>
          <w:tcPr>
            <w:tcW w:w="6503" w:type="dxa"/>
            <w:shd w:val="clear" w:color="auto" w:fill="auto"/>
            <w:tcMar>
              <w:top w:w="120" w:type="dxa"/>
              <w:left w:w="120" w:type="dxa"/>
              <w:bottom w:w="120" w:type="dxa"/>
              <w:right w:w="120" w:type="dxa"/>
            </w:tcMar>
            <w:vAlign w:val="center"/>
          </w:tcPr>
          <w:p w14:paraId="04C12CF9">
            <w:pPr>
              <w:keepNext w:val="0"/>
              <w:keepLines w:val="0"/>
              <w:pageBreakBefore w:val="0"/>
              <w:widowControl/>
              <w:kinsoku/>
              <w:wordWrap/>
              <w:overflowPunct/>
              <w:topLinePunct w:val="0"/>
              <w:autoSpaceDE/>
              <w:autoSpaceDN/>
              <w:bidi w:val="0"/>
              <w:adjustRightInd/>
              <w:snapToGrid w:val="0"/>
              <w:ind w:left="0" w:leftChars="0" w:right="0" w:rightChars="0" w:firstLine="0" w:firstLineChars="0"/>
              <w:jc w:val="left"/>
              <w:textAlignment w:val="auto"/>
              <w:rPr>
                <w:rFonts w:hint="eastAsia" w:ascii="宋体" w:eastAsia="宋体"/>
                <w:sz w:val="24"/>
                <w:szCs w:val="24"/>
              </w:rPr>
            </w:pPr>
          </w:p>
        </w:tc>
      </w:tr>
      <w:tr w14:paraId="2A280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0" w:hRule="atLeast"/>
          <w:jc w:val="center"/>
        </w:trPr>
        <w:tc>
          <w:tcPr>
            <w:tcW w:w="725" w:type="dxa"/>
            <w:shd w:val="clear" w:color="auto" w:fill="auto"/>
            <w:tcMar>
              <w:top w:w="120" w:type="dxa"/>
              <w:left w:w="120" w:type="dxa"/>
              <w:bottom w:w="120" w:type="dxa"/>
              <w:right w:w="120" w:type="dxa"/>
            </w:tcMar>
            <w:vAlign w:val="center"/>
          </w:tcPr>
          <w:p w14:paraId="090FCB01">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auto"/>
              <w:rPr>
                <w:rFonts w:ascii="宋体" w:eastAsia="宋体"/>
                <w:sz w:val="24"/>
              </w:rPr>
            </w:pPr>
            <w:r>
              <w:rPr>
                <w:rFonts w:hint="eastAsia" w:ascii="宋体" w:hAnsi="宋体" w:eastAsia="宋体" w:cs="宋体"/>
                <w:kern w:val="0"/>
                <w:sz w:val="24"/>
                <w:szCs w:val="24"/>
                <w:lang w:val="en-US" w:eastAsia="zh-CN" w:bidi="ar"/>
              </w:rPr>
              <w:t xml:space="preserve"> </w:t>
            </w:r>
          </w:p>
        </w:tc>
        <w:tc>
          <w:tcPr>
            <w:tcW w:w="0" w:type="auto"/>
            <w:shd w:val="clear" w:color="auto" w:fill="auto"/>
            <w:tcMar>
              <w:top w:w="120" w:type="dxa"/>
              <w:left w:w="120" w:type="dxa"/>
              <w:bottom w:w="120" w:type="dxa"/>
              <w:right w:w="120" w:type="dxa"/>
            </w:tcMar>
            <w:vAlign w:val="center"/>
          </w:tcPr>
          <w:p w14:paraId="14B377F7">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auto"/>
              <w:rPr>
                <w:rFonts w:ascii="宋体" w:eastAsia="宋体"/>
                <w:sz w:val="24"/>
              </w:rPr>
            </w:pPr>
            <w:r>
              <w:rPr>
                <w:rFonts w:ascii="宋体" w:hAnsi="宋体" w:eastAsia="宋体" w:cs="宋体"/>
                <w:kern w:val="0"/>
                <w:sz w:val="24"/>
                <w:szCs w:val="24"/>
                <w:lang w:val="en-US" w:eastAsia="zh-CN" w:bidi="ar"/>
              </w:rPr>
              <w:t>7×24 运维及故障处置</w:t>
            </w:r>
          </w:p>
        </w:tc>
        <w:tc>
          <w:tcPr>
            <w:tcW w:w="725" w:type="dxa"/>
            <w:shd w:val="clear" w:color="auto" w:fill="auto"/>
            <w:tcMar>
              <w:top w:w="120" w:type="dxa"/>
              <w:left w:w="120" w:type="dxa"/>
              <w:bottom w:w="120" w:type="dxa"/>
              <w:right w:w="120" w:type="dxa"/>
            </w:tcMar>
            <w:vAlign w:val="center"/>
          </w:tcPr>
          <w:p w14:paraId="68A08083">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auto"/>
              <w:rPr>
                <w:rFonts w:hint="default" w:ascii="宋体" w:eastAsia="宋体"/>
                <w:sz w:val="24"/>
                <w:lang w:val="en-US"/>
              </w:rPr>
            </w:pPr>
            <w:r>
              <w:rPr>
                <w:rFonts w:hint="eastAsia" w:ascii="宋体" w:hAnsi="宋体" w:eastAsia="宋体" w:cs="宋体"/>
                <w:kern w:val="0"/>
                <w:sz w:val="24"/>
                <w:szCs w:val="24"/>
                <w:lang w:val="en-US" w:eastAsia="zh-CN" w:bidi="ar"/>
              </w:rPr>
              <w:t>10</w:t>
            </w:r>
          </w:p>
        </w:tc>
        <w:tc>
          <w:tcPr>
            <w:tcW w:w="6503" w:type="dxa"/>
            <w:shd w:val="clear" w:color="auto" w:fill="auto"/>
            <w:tcMar>
              <w:top w:w="120" w:type="dxa"/>
              <w:left w:w="120" w:type="dxa"/>
              <w:bottom w:w="120" w:type="dxa"/>
              <w:right w:w="120" w:type="dxa"/>
            </w:tcMar>
            <w:vAlign w:val="center"/>
          </w:tcPr>
          <w:p w14:paraId="3A534001">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auto"/>
              <w:rPr>
                <w:rFonts w:ascii="宋体" w:eastAsia="宋体"/>
                <w:sz w:val="24"/>
              </w:rPr>
            </w:pPr>
            <w:r>
              <w:rPr>
                <w:rFonts w:ascii="宋体" w:hAnsi="宋体" w:eastAsia="宋体" w:cs="宋体"/>
                <w:kern w:val="0"/>
                <w:sz w:val="24"/>
                <w:szCs w:val="24"/>
                <w:lang w:val="en-US" w:eastAsia="zh-CN" w:bidi="ar"/>
              </w:rPr>
              <w:t>承诺 7×24 受理、就近申告首问负责、明确响应 / 修复时限、有专属运维团队值班：</w:t>
            </w:r>
            <w:r>
              <w:rPr>
                <w:rFonts w:hint="eastAsia" w:ascii="宋体" w:hAnsi="宋体" w:eastAsia="宋体" w:cs="宋体"/>
                <w:kern w:val="0"/>
                <w:sz w:val="24"/>
                <w:szCs w:val="24"/>
                <w:lang w:val="en-US" w:eastAsia="zh-CN" w:bidi="ar"/>
              </w:rPr>
              <w:t>7</w:t>
            </w:r>
            <w:r>
              <w:rPr>
                <w:rFonts w:ascii="宋体" w:hAnsi="宋体" w:eastAsia="宋体" w:cs="宋体"/>
                <w:kern w:val="0"/>
                <w:sz w:val="24"/>
                <w:szCs w:val="24"/>
                <w:lang w:val="en-US" w:eastAsia="zh-CN" w:bidi="ar"/>
              </w:rPr>
              <w:t>-</w:t>
            </w:r>
            <w:r>
              <w:rPr>
                <w:rFonts w:hint="eastAsia" w:ascii="宋体" w:hAnsi="宋体" w:eastAsia="宋体" w:cs="宋体"/>
                <w:kern w:val="0"/>
                <w:sz w:val="24"/>
                <w:szCs w:val="24"/>
                <w:lang w:val="en-US" w:eastAsia="zh-CN" w:bidi="ar"/>
              </w:rPr>
              <w:t>10</w:t>
            </w:r>
            <w:r>
              <w:rPr>
                <w:rFonts w:ascii="宋体" w:hAnsi="宋体" w:eastAsia="宋体" w:cs="宋体"/>
                <w:kern w:val="0"/>
                <w:sz w:val="24"/>
                <w:szCs w:val="24"/>
                <w:lang w:val="en-US" w:eastAsia="zh-CN" w:bidi="ar"/>
              </w:rPr>
              <w:t xml:space="preserve"> 分；有承诺但时限、团队不具体：</w:t>
            </w:r>
            <w:r>
              <w:rPr>
                <w:rFonts w:hint="eastAsia" w:ascii="宋体" w:hAnsi="宋体" w:eastAsia="宋体" w:cs="宋体"/>
                <w:kern w:val="0"/>
                <w:sz w:val="24"/>
                <w:szCs w:val="24"/>
                <w:lang w:val="en-US" w:eastAsia="zh-CN" w:bidi="ar"/>
              </w:rPr>
              <w:t>4</w:t>
            </w:r>
            <w:r>
              <w:rPr>
                <w:rFonts w:ascii="宋体" w:hAnsi="宋体" w:eastAsia="宋体" w:cs="宋体"/>
                <w:kern w:val="0"/>
                <w:sz w:val="24"/>
                <w:szCs w:val="24"/>
                <w:lang w:val="en-US" w:eastAsia="zh-CN" w:bidi="ar"/>
              </w:rPr>
              <w:t>-</w:t>
            </w:r>
            <w:r>
              <w:rPr>
                <w:rFonts w:hint="eastAsia" w:ascii="宋体" w:hAnsi="宋体" w:eastAsia="宋体" w:cs="宋体"/>
                <w:kern w:val="0"/>
                <w:sz w:val="24"/>
                <w:szCs w:val="24"/>
                <w:lang w:val="en-US" w:eastAsia="zh-CN" w:bidi="ar"/>
              </w:rPr>
              <w:t>7</w:t>
            </w:r>
            <w:r>
              <w:rPr>
                <w:rFonts w:ascii="宋体" w:hAnsi="宋体" w:eastAsia="宋体" w:cs="宋体"/>
                <w:kern w:val="0"/>
                <w:sz w:val="24"/>
                <w:szCs w:val="24"/>
                <w:lang w:val="en-US" w:eastAsia="zh-CN" w:bidi="ar"/>
              </w:rPr>
              <w:t xml:space="preserve"> 分；无运维故障处置承诺：0-</w:t>
            </w:r>
            <w:r>
              <w:rPr>
                <w:rFonts w:hint="eastAsia" w:ascii="宋体" w:hAnsi="宋体" w:eastAsia="宋体" w:cs="宋体"/>
                <w:kern w:val="0"/>
                <w:sz w:val="24"/>
                <w:szCs w:val="24"/>
                <w:lang w:val="en-US" w:eastAsia="zh-CN" w:bidi="ar"/>
              </w:rPr>
              <w:t>4</w:t>
            </w:r>
            <w:r>
              <w:rPr>
                <w:rFonts w:ascii="宋体" w:hAnsi="宋体" w:eastAsia="宋体" w:cs="宋体"/>
                <w:kern w:val="0"/>
                <w:sz w:val="24"/>
                <w:szCs w:val="24"/>
                <w:lang w:val="en-US" w:eastAsia="zh-CN" w:bidi="ar"/>
              </w:rPr>
              <w:t xml:space="preserve"> 分。</w:t>
            </w:r>
          </w:p>
        </w:tc>
      </w:tr>
      <w:tr w14:paraId="736DE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725" w:type="dxa"/>
            <w:shd w:val="clear" w:color="auto" w:fill="auto"/>
            <w:tcMar>
              <w:top w:w="120" w:type="dxa"/>
              <w:left w:w="120" w:type="dxa"/>
              <w:bottom w:w="120" w:type="dxa"/>
              <w:right w:w="120" w:type="dxa"/>
            </w:tcMar>
            <w:vAlign w:val="center"/>
          </w:tcPr>
          <w:p w14:paraId="22881276">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auto"/>
              <w:rPr>
                <w:rFonts w:ascii="宋体" w:eastAsia="宋体"/>
                <w:sz w:val="24"/>
              </w:rPr>
            </w:pPr>
          </w:p>
        </w:tc>
        <w:tc>
          <w:tcPr>
            <w:tcW w:w="0" w:type="auto"/>
            <w:shd w:val="clear" w:color="auto" w:fill="auto"/>
            <w:tcMar>
              <w:top w:w="120" w:type="dxa"/>
              <w:left w:w="120" w:type="dxa"/>
              <w:bottom w:w="120" w:type="dxa"/>
              <w:right w:w="120" w:type="dxa"/>
            </w:tcMar>
            <w:vAlign w:val="center"/>
          </w:tcPr>
          <w:p w14:paraId="65821794">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auto"/>
              <w:rPr>
                <w:rFonts w:ascii="宋体" w:eastAsia="宋体"/>
                <w:sz w:val="24"/>
              </w:rPr>
            </w:pPr>
            <w:r>
              <w:rPr>
                <w:rFonts w:ascii="宋体" w:hAnsi="宋体" w:eastAsia="宋体" w:cs="宋体"/>
                <w:kern w:val="0"/>
                <w:sz w:val="24"/>
                <w:szCs w:val="24"/>
                <w:lang w:val="en-US" w:eastAsia="zh-CN" w:bidi="ar"/>
              </w:rPr>
              <w:t>维护责任 &amp; 一站式服务</w:t>
            </w:r>
          </w:p>
        </w:tc>
        <w:tc>
          <w:tcPr>
            <w:tcW w:w="725" w:type="dxa"/>
            <w:shd w:val="clear" w:color="auto" w:fill="auto"/>
            <w:tcMar>
              <w:top w:w="120" w:type="dxa"/>
              <w:left w:w="120" w:type="dxa"/>
              <w:bottom w:w="120" w:type="dxa"/>
              <w:right w:w="120" w:type="dxa"/>
            </w:tcMar>
            <w:vAlign w:val="center"/>
          </w:tcPr>
          <w:p w14:paraId="03CC5B2D">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auto"/>
              <w:rPr>
                <w:rFonts w:hint="default" w:ascii="宋体" w:eastAsia="宋体"/>
                <w:sz w:val="24"/>
                <w:lang w:val="en-US"/>
              </w:rPr>
            </w:pPr>
            <w:r>
              <w:rPr>
                <w:rFonts w:hint="eastAsia" w:ascii="宋体" w:hAnsi="宋体" w:eastAsia="宋体" w:cs="宋体"/>
                <w:kern w:val="0"/>
                <w:sz w:val="24"/>
                <w:szCs w:val="24"/>
                <w:lang w:val="en-US" w:eastAsia="zh-CN" w:bidi="ar"/>
              </w:rPr>
              <w:t>10</w:t>
            </w:r>
          </w:p>
        </w:tc>
        <w:tc>
          <w:tcPr>
            <w:tcW w:w="6503" w:type="dxa"/>
            <w:shd w:val="clear" w:color="auto" w:fill="auto"/>
            <w:tcMar>
              <w:top w:w="120" w:type="dxa"/>
              <w:left w:w="120" w:type="dxa"/>
              <w:bottom w:w="120" w:type="dxa"/>
              <w:right w:w="120" w:type="dxa"/>
            </w:tcMar>
            <w:vAlign w:val="center"/>
          </w:tcPr>
          <w:p w14:paraId="0D717747">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auto"/>
              <w:rPr>
                <w:rFonts w:ascii="宋体" w:eastAsia="宋体"/>
                <w:sz w:val="24"/>
              </w:rPr>
            </w:pPr>
            <w:r>
              <w:rPr>
                <w:rFonts w:ascii="宋体" w:hAnsi="宋体" w:eastAsia="宋体" w:cs="宋体"/>
                <w:kern w:val="0"/>
                <w:sz w:val="24"/>
                <w:szCs w:val="24"/>
                <w:lang w:val="en-US" w:eastAsia="zh-CN" w:bidi="ar"/>
              </w:rPr>
              <w:t>严格按机房设备为界划分维护责任，一站式业务受理、报修、变更全流程服务完善：</w:t>
            </w:r>
            <w:r>
              <w:rPr>
                <w:rFonts w:hint="eastAsia" w:ascii="宋体" w:hAnsi="宋体" w:eastAsia="宋体" w:cs="宋体"/>
                <w:kern w:val="0"/>
                <w:sz w:val="24"/>
                <w:szCs w:val="24"/>
                <w:lang w:val="en-US" w:eastAsia="zh-CN" w:bidi="ar"/>
              </w:rPr>
              <w:t>7</w:t>
            </w:r>
            <w:r>
              <w:rPr>
                <w:rFonts w:ascii="宋体" w:hAnsi="宋体" w:eastAsia="宋体" w:cs="宋体"/>
                <w:kern w:val="0"/>
                <w:sz w:val="24"/>
                <w:szCs w:val="24"/>
                <w:lang w:val="en-US" w:eastAsia="zh-CN" w:bidi="ar"/>
              </w:rPr>
              <w:t>-</w:t>
            </w:r>
            <w:r>
              <w:rPr>
                <w:rFonts w:hint="eastAsia" w:ascii="宋体" w:hAnsi="宋体" w:eastAsia="宋体" w:cs="宋体"/>
                <w:kern w:val="0"/>
                <w:sz w:val="24"/>
                <w:szCs w:val="24"/>
                <w:lang w:val="en-US" w:eastAsia="zh-CN" w:bidi="ar"/>
              </w:rPr>
              <w:t>10</w:t>
            </w:r>
            <w:r>
              <w:rPr>
                <w:rFonts w:ascii="宋体" w:hAnsi="宋体" w:eastAsia="宋体" w:cs="宋体"/>
                <w:kern w:val="0"/>
                <w:sz w:val="24"/>
                <w:szCs w:val="24"/>
                <w:lang w:val="en-US" w:eastAsia="zh-CN" w:bidi="ar"/>
              </w:rPr>
              <w:t>分；有基本承诺、不够细化：</w:t>
            </w:r>
            <w:r>
              <w:rPr>
                <w:rFonts w:hint="eastAsia" w:ascii="宋体" w:hAnsi="宋体" w:eastAsia="宋体" w:cs="宋体"/>
                <w:kern w:val="0"/>
                <w:sz w:val="24"/>
                <w:szCs w:val="24"/>
                <w:lang w:val="en-US" w:eastAsia="zh-CN" w:bidi="ar"/>
              </w:rPr>
              <w:t>4</w:t>
            </w:r>
            <w:r>
              <w:rPr>
                <w:rFonts w:ascii="宋体" w:hAnsi="宋体" w:eastAsia="宋体" w:cs="宋体"/>
                <w:kern w:val="0"/>
                <w:sz w:val="24"/>
                <w:szCs w:val="24"/>
                <w:lang w:val="en-US" w:eastAsia="zh-CN" w:bidi="ar"/>
              </w:rPr>
              <w:t>-</w:t>
            </w:r>
            <w:r>
              <w:rPr>
                <w:rFonts w:hint="eastAsia" w:ascii="宋体" w:hAnsi="宋体" w:eastAsia="宋体" w:cs="宋体"/>
                <w:kern w:val="0"/>
                <w:sz w:val="24"/>
                <w:szCs w:val="24"/>
                <w:lang w:val="en-US" w:eastAsia="zh-CN" w:bidi="ar"/>
              </w:rPr>
              <w:t>7</w:t>
            </w:r>
            <w:r>
              <w:rPr>
                <w:rFonts w:ascii="宋体" w:hAnsi="宋体" w:eastAsia="宋体" w:cs="宋体"/>
                <w:kern w:val="0"/>
                <w:sz w:val="24"/>
                <w:szCs w:val="24"/>
                <w:lang w:val="en-US" w:eastAsia="zh-CN" w:bidi="ar"/>
              </w:rPr>
              <w:t>分；未响应维护界面及一站式服务：0-</w:t>
            </w:r>
            <w:r>
              <w:rPr>
                <w:rFonts w:hint="eastAsia" w:ascii="宋体" w:hAnsi="宋体" w:eastAsia="宋体" w:cs="宋体"/>
                <w:kern w:val="0"/>
                <w:sz w:val="24"/>
                <w:szCs w:val="24"/>
                <w:lang w:val="en-US" w:eastAsia="zh-CN" w:bidi="ar"/>
              </w:rPr>
              <w:t>4</w:t>
            </w:r>
            <w:r>
              <w:rPr>
                <w:rFonts w:ascii="宋体" w:hAnsi="宋体" w:eastAsia="宋体" w:cs="宋体"/>
                <w:kern w:val="0"/>
                <w:sz w:val="24"/>
                <w:szCs w:val="24"/>
                <w:lang w:val="en-US" w:eastAsia="zh-CN" w:bidi="ar"/>
              </w:rPr>
              <w:t>分。</w:t>
            </w:r>
          </w:p>
        </w:tc>
      </w:tr>
      <w:tr w14:paraId="7F0C4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725" w:type="dxa"/>
            <w:shd w:val="clear" w:color="auto" w:fill="auto"/>
            <w:tcMar>
              <w:top w:w="120" w:type="dxa"/>
              <w:left w:w="120" w:type="dxa"/>
              <w:bottom w:w="120" w:type="dxa"/>
              <w:right w:w="120" w:type="dxa"/>
            </w:tcMar>
            <w:vAlign w:val="center"/>
          </w:tcPr>
          <w:p w14:paraId="4BFB3866">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auto"/>
              <w:rPr>
                <w:rFonts w:ascii="宋体" w:eastAsia="宋体"/>
                <w:sz w:val="24"/>
              </w:rPr>
            </w:pPr>
          </w:p>
        </w:tc>
        <w:tc>
          <w:tcPr>
            <w:tcW w:w="0" w:type="auto"/>
            <w:shd w:val="clear" w:color="auto" w:fill="auto"/>
            <w:tcMar>
              <w:top w:w="120" w:type="dxa"/>
              <w:left w:w="120" w:type="dxa"/>
              <w:bottom w:w="120" w:type="dxa"/>
              <w:right w:w="120" w:type="dxa"/>
            </w:tcMar>
            <w:vAlign w:val="center"/>
          </w:tcPr>
          <w:p w14:paraId="3020EC5B">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auto"/>
              <w:rPr>
                <w:rFonts w:ascii="宋体" w:eastAsia="宋体"/>
                <w:sz w:val="24"/>
              </w:rPr>
            </w:pPr>
            <w:r>
              <w:rPr>
                <w:rFonts w:ascii="宋体" w:hAnsi="宋体" w:eastAsia="宋体" w:cs="宋体"/>
                <w:kern w:val="0"/>
                <w:sz w:val="24"/>
                <w:szCs w:val="24"/>
                <w:lang w:val="en-US" w:eastAsia="zh-CN" w:bidi="ar"/>
              </w:rPr>
              <w:t>售后配合 &amp; 应急保密保障</w:t>
            </w:r>
          </w:p>
        </w:tc>
        <w:tc>
          <w:tcPr>
            <w:tcW w:w="725" w:type="dxa"/>
            <w:shd w:val="clear" w:color="auto" w:fill="auto"/>
            <w:tcMar>
              <w:top w:w="120" w:type="dxa"/>
              <w:left w:w="120" w:type="dxa"/>
              <w:bottom w:w="120" w:type="dxa"/>
              <w:right w:w="120" w:type="dxa"/>
            </w:tcMar>
            <w:vAlign w:val="center"/>
          </w:tcPr>
          <w:p w14:paraId="2B13DE07">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auto"/>
              <w:rPr>
                <w:rFonts w:hint="default" w:ascii="宋体" w:eastAsia="宋体"/>
                <w:sz w:val="24"/>
                <w:lang w:val="en-US"/>
              </w:rPr>
            </w:pPr>
            <w:r>
              <w:rPr>
                <w:rFonts w:hint="eastAsia" w:ascii="宋体" w:hAnsi="宋体" w:eastAsia="宋体" w:cs="宋体"/>
                <w:kern w:val="0"/>
                <w:sz w:val="24"/>
                <w:szCs w:val="24"/>
                <w:lang w:val="en-US" w:eastAsia="zh-CN" w:bidi="ar"/>
              </w:rPr>
              <w:t>10</w:t>
            </w:r>
          </w:p>
        </w:tc>
        <w:tc>
          <w:tcPr>
            <w:tcW w:w="6503" w:type="dxa"/>
            <w:shd w:val="clear" w:color="auto" w:fill="auto"/>
            <w:tcMar>
              <w:top w:w="120" w:type="dxa"/>
              <w:left w:w="120" w:type="dxa"/>
              <w:bottom w:w="120" w:type="dxa"/>
              <w:right w:w="120" w:type="dxa"/>
            </w:tcMar>
            <w:vAlign w:val="center"/>
          </w:tcPr>
          <w:p w14:paraId="08F3C54D">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auto"/>
              <w:rPr>
                <w:rFonts w:ascii="宋体" w:eastAsia="宋体"/>
                <w:sz w:val="24"/>
              </w:rPr>
            </w:pPr>
            <w:r>
              <w:rPr>
                <w:rFonts w:ascii="宋体" w:hAnsi="宋体" w:eastAsia="宋体" w:cs="宋体"/>
                <w:kern w:val="0"/>
                <w:sz w:val="24"/>
                <w:szCs w:val="24"/>
                <w:lang w:val="en-US" w:eastAsia="zh-CN" w:bidi="ar"/>
              </w:rPr>
              <w:t>无条件配合公安点位调度调整、网络割接提前告知、应急抢修、保密制度承诺齐全：</w:t>
            </w:r>
            <w:r>
              <w:rPr>
                <w:rFonts w:hint="eastAsia" w:ascii="宋体" w:hAnsi="宋体" w:eastAsia="宋体" w:cs="宋体"/>
                <w:kern w:val="0"/>
                <w:sz w:val="24"/>
                <w:szCs w:val="24"/>
                <w:lang w:val="en-US" w:eastAsia="zh-CN" w:bidi="ar"/>
              </w:rPr>
              <w:t>7</w:t>
            </w:r>
            <w:r>
              <w:rPr>
                <w:rFonts w:ascii="宋体" w:hAnsi="宋体" w:eastAsia="宋体" w:cs="宋体"/>
                <w:kern w:val="0"/>
                <w:sz w:val="24"/>
                <w:szCs w:val="24"/>
                <w:lang w:val="en-US" w:eastAsia="zh-CN" w:bidi="ar"/>
              </w:rPr>
              <w:t>-</w:t>
            </w:r>
            <w:r>
              <w:rPr>
                <w:rFonts w:hint="eastAsia" w:ascii="宋体" w:hAnsi="宋体" w:eastAsia="宋体" w:cs="宋体"/>
                <w:kern w:val="0"/>
                <w:sz w:val="24"/>
                <w:szCs w:val="24"/>
                <w:lang w:val="en-US" w:eastAsia="zh-CN" w:bidi="ar"/>
              </w:rPr>
              <w:t>10</w:t>
            </w:r>
            <w:r>
              <w:rPr>
                <w:rFonts w:ascii="宋体" w:hAnsi="宋体" w:eastAsia="宋体" w:cs="宋体"/>
                <w:kern w:val="0"/>
                <w:sz w:val="24"/>
                <w:szCs w:val="24"/>
                <w:lang w:val="en-US" w:eastAsia="zh-CN" w:bidi="ar"/>
              </w:rPr>
              <w:t>分；有基本配合、无应急保密细化：</w:t>
            </w:r>
            <w:r>
              <w:rPr>
                <w:rFonts w:hint="eastAsia" w:ascii="宋体" w:hAnsi="宋体" w:eastAsia="宋体" w:cs="宋体"/>
                <w:kern w:val="0"/>
                <w:sz w:val="24"/>
                <w:szCs w:val="24"/>
                <w:lang w:val="en-US" w:eastAsia="zh-CN" w:bidi="ar"/>
              </w:rPr>
              <w:t>4</w:t>
            </w:r>
            <w:r>
              <w:rPr>
                <w:rFonts w:ascii="宋体" w:hAnsi="宋体" w:eastAsia="宋体" w:cs="宋体"/>
                <w:kern w:val="0"/>
                <w:sz w:val="24"/>
                <w:szCs w:val="24"/>
                <w:lang w:val="en-US" w:eastAsia="zh-CN" w:bidi="ar"/>
              </w:rPr>
              <w:t>-</w:t>
            </w:r>
            <w:r>
              <w:rPr>
                <w:rFonts w:hint="eastAsia" w:ascii="宋体" w:hAnsi="宋体" w:eastAsia="宋体" w:cs="宋体"/>
                <w:kern w:val="0"/>
                <w:sz w:val="24"/>
                <w:szCs w:val="24"/>
                <w:lang w:val="en-US" w:eastAsia="zh-CN" w:bidi="ar"/>
              </w:rPr>
              <w:t>7</w:t>
            </w:r>
            <w:r>
              <w:rPr>
                <w:rFonts w:ascii="宋体" w:hAnsi="宋体" w:eastAsia="宋体" w:cs="宋体"/>
                <w:kern w:val="0"/>
                <w:sz w:val="24"/>
                <w:szCs w:val="24"/>
                <w:lang w:val="en-US" w:eastAsia="zh-CN" w:bidi="ar"/>
              </w:rPr>
              <w:t>分；无配合、应急、保密承诺：0-</w:t>
            </w:r>
            <w:r>
              <w:rPr>
                <w:rFonts w:hint="eastAsia" w:ascii="宋体" w:hAnsi="宋体" w:eastAsia="宋体" w:cs="宋体"/>
                <w:kern w:val="0"/>
                <w:sz w:val="24"/>
                <w:szCs w:val="24"/>
                <w:lang w:val="en-US" w:eastAsia="zh-CN" w:bidi="ar"/>
              </w:rPr>
              <w:t>4</w:t>
            </w:r>
            <w:r>
              <w:rPr>
                <w:rFonts w:ascii="宋体" w:hAnsi="宋体" w:eastAsia="宋体" w:cs="宋体"/>
                <w:kern w:val="0"/>
                <w:sz w:val="24"/>
                <w:szCs w:val="24"/>
                <w:lang w:val="en-US" w:eastAsia="zh-CN" w:bidi="ar"/>
              </w:rPr>
              <w:t xml:space="preserve"> 分。</w:t>
            </w:r>
          </w:p>
        </w:tc>
      </w:tr>
      <w:tr w14:paraId="3A269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93" w:hRule="atLeast"/>
          <w:jc w:val="center"/>
        </w:trPr>
        <w:tc>
          <w:tcPr>
            <w:tcW w:w="725" w:type="dxa"/>
            <w:shd w:val="clear" w:color="auto" w:fill="auto"/>
            <w:tcMar>
              <w:top w:w="120" w:type="dxa"/>
              <w:left w:w="120" w:type="dxa"/>
              <w:bottom w:w="120" w:type="dxa"/>
              <w:right w:w="120" w:type="dxa"/>
            </w:tcMar>
            <w:vAlign w:val="center"/>
          </w:tcPr>
          <w:p w14:paraId="458E3B14">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auto"/>
              <w:rPr>
                <w:rFonts w:ascii="宋体" w:eastAsia="宋体"/>
                <w:sz w:val="24"/>
              </w:rPr>
            </w:pPr>
            <w:r>
              <w:rPr>
                <w:rFonts w:hint="eastAsia" w:ascii="宋体" w:hAnsi="宋体" w:eastAsia="宋体" w:cs="宋体"/>
                <w:kern w:val="0"/>
                <w:sz w:val="24"/>
                <w:szCs w:val="24"/>
                <w:lang w:val="en-US" w:eastAsia="zh-CN" w:bidi="ar"/>
              </w:rPr>
              <w:t>4</w:t>
            </w:r>
          </w:p>
        </w:tc>
        <w:tc>
          <w:tcPr>
            <w:tcW w:w="0" w:type="auto"/>
            <w:shd w:val="clear" w:color="auto" w:fill="auto"/>
            <w:tcMar>
              <w:top w:w="120" w:type="dxa"/>
              <w:left w:w="120" w:type="dxa"/>
              <w:bottom w:w="120" w:type="dxa"/>
              <w:right w:w="120" w:type="dxa"/>
            </w:tcMar>
            <w:vAlign w:val="center"/>
          </w:tcPr>
          <w:p w14:paraId="62E28B55">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auto"/>
              <w:rPr>
                <w:rFonts w:ascii="宋体" w:eastAsia="宋体"/>
                <w:sz w:val="24"/>
              </w:rPr>
            </w:pPr>
            <w:r>
              <w:rPr>
                <w:rFonts w:ascii="宋体" w:hAnsi="宋体" w:eastAsia="宋体" w:cs="宋体"/>
                <w:kern w:val="0"/>
                <w:sz w:val="24"/>
                <w:szCs w:val="24"/>
                <w:lang w:val="en-US" w:eastAsia="zh-CN" w:bidi="ar"/>
              </w:rPr>
              <w:t>同类项目业绩</w:t>
            </w:r>
          </w:p>
        </w:tc>
        <w:tc>
          <w:tcPr>
            <w:tcW w:w="725" w:type="dxa"/>
            <w:shd w:val="clear" w:color="auto" w:fill="auto"/>
            <w:tcMar>
              <w:top w:w="120" w:type="dxa"/>
              <w:left w:w="120" w:type="dxa"/>
              <w:bottom w:w="120" w:type="dxa"/>
              <w:right w:w="120" w:type="dxa"/>
            </w:tcMar>
            <w:vAlign w:val="center"/>
          </w:tcPr>
          <w:p w14:paraId="427FACEC">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auto"/>
              <w:rPr>
                <w:rFonts w:hint="default" w:ascii="宋体" w:eastAsia="宋体"/>
                <w:sz w:val="24"/>
                <w:lang w:val="en-US"/>
              </w:rPr>
            </w:pPr>
            <w:r>
              <w:rPr>
                <w:rFonts w:hint="eastAsia" w:ascii="宋体" w:hAnsi="宋体" w:eastAsia="宋体" w:cs="宋体"/>
                <w:kern w:val="0"/>
                <w:sz w:val="24"/>
                <w:szCs w:val="24"/>
                <w:lang w:val="en-US" w:eastAsia="zh-CN" w:bidi="ar"/>
              </w:rPr>
              <w:t>10</w:t>
            </w:r>
          </w:p>
        </w:tc>
        <w:tc>
          <w:tcPr>
            <w:tcW w:w="6503" w:type="dxa"/>
            <w:shd w:val="clear" w:color="auto" w:fill="auto"/>
            <w:tcMar>
              <w:top w:w="120" w:type="dxa"/>
              <w:left w:w="120" w:type="dxa"/>
              <w:bottom w:w="120" w:type="dxa"/>
              <w:right w:w="120" w:type="dxa"/>
            </w:tcMar>
            <w:vAlign w:val="center"/>
          </w:tcPr>
          <w:p w14:paraId="1AED68E9">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auto"/>
              <w:rPr>
                <w:rFonts w:ascii="宋体" w:eastAsia="宋体"/>
                <w:sz w:val="24"/>
              </w:rPr>
            </w:pPr>
            <w:r>
              <w:rPr>
                <w:rFonts w:ascii="宋体" w:hAnsi="宋体" w:eastAsia="宋体" w:cs="宋体"/>
                <w:kern w:val="0"/>
                <w:sz w:val="24"/>
                <w:szCs w:val="24"/>
                <w:lang w:val="en-US" w:eastAsia="zh-CN" w:bidi="ar"/>
              </w:rPr>
              <w:t>近 3 年视频监控线路、光纤专线运维同类业绩，每提供 1 个有效合同</w:t>
            </w:r>
            <w:r>
              <w:rPr>
                <w:rFonts w:hint="eastAsia" w:ascii="宋体" w:hAnsi="宋体" w:cs="宋体"/>
                <w:kern w:val="0"/>
                <w:sz w:val="24"/>
                <w:szCs w:val="24"/>
                <w:lang w:val="en-US" w:eastAsia="zh-CN" w:bidi="ar"/>
              </w:rPr>
              <w:t>或中标通知书</w:t>
            </w:r>
            <w:r>
              <w:rPr>
                <w:rFonts w:ascii="宋体" w:hAnsi="宋体" w:eastAsia="宋体" w:cs="宋体"/>
                <w:kern w:val="0"/>
                <w:sz w:val="24"/>
                <w:szCs w:val="24"/>
                <w:lang w:val="en-US" w:eastAsia="zh-CN" w:bidi="ar"/>
              </w:rPr>
              <w:t xml:space="preserve">业绩得 </w:t>
            </w:r>
            <w:r>
              <w:rPr>
                <w:rFonts w:hint="eastAsia" w:ascii="宋体" w:hAnsi="宋体" w:eastAsia="宋体" w:cs="宋体"/>
                <w:kern w:val="0"/>
                <w:sz w:val="24"/>
                <w:szCs w:val="24"/>
                <w:lang w:val="en-US" w:eastAsia="zh-CN" w:bidi="ar"/>
              </w:rPr>
              <w:t>5</w:t>
            </w:r>
            <w:r>
              <w:rPr>
                <w:rFonts w:ascii="宋体" w:hAnsi="宋体" w:eastAsia="宋体" w:cs="宋体"/>
                <w:kern w:val="0"/>
                <w:sz w:val="24"/>
                <w:szCs w:val="24"/>
                <w:lang w:val="en-US" w:eastAsia="zh-CN" w:bidi="ar"/>
              </w:rPr>
              <w:t xml:space="preserve"> 分，最高 </w:t>
            </w:r>
            <w:r>
              <w:rPr>
                <w:rFonts w:hint="eastAsia" w:ascii="宋体" w:hAnsi="宋体" w:eastAsia="宋体" w:cs="宋体"/>
                <w:kern w:val="0"/>
                <w:sz w:val="24"/>
                <w:szCs w:val="24"/>
                <w:lang w:val="en-US" w:eastAsia="zh-CN" w:bidi="ar"/>
              </w:rPr>
              <w:t>10</w:t>
            </w:r>
            <w:r>
              <w:rPr>
                <w:rFonts w:ascii="宋体" w:hAnsi="宋体" w:eastAsia="宋体" w:cs="宋体"/>
                <w:kern w:val="0"/>
                <w:sz w:val="24"/>
                <w:szCs w:val="24"/>
                <w:lang w:val="en-US" w:eastAsia="zh-CN" w:bidi="ar"/>
              </w:rPr>
              <w:t xml:space="preserve"> 分；无合同佐证不计分，非同类不计分。</w:t>
            </w:r>
          </w:p>
        </w:tc>
      </w:tr>
      <w:tr w14:paraId="01036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725" w:type="dxa"/>
            <w:shd w:val="clear" w:color="auto" w:fill="auto"/>
            <w:tcMar>
              <w:top w:w="120" w:type="dxa"/>
              <w:left w:w="120" w:type="dxa"/>
              <w:bottom w:w="120" w:type="dxa"/>
              <w:right w:w="120" w:type="dxa"/>
            </w:tcMar>
            <w:vAlign w:val="center"/>
          </w:tcPr>
          <w:p w14:paraId="1A35DC52">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auto"/>
              <w:rPr>
                <w:rFonts w:ascii="宋体" w:eastAsia="宋体"/>
                <w:b/>
                <w:sz w:val="24"/>
              </w:rPr>
            </w:pPr>
            <w:r>
              <w:rPr>
                <w:rFonts w:ascii="宋体" w:hAnsi="宋体" w:eastAsia="宋体" w:cs="宋体"/>
                <w:b/>
                <w:kern w:val="0"/>
                <w:sz w:val="24"/>
                <w:szCs w:val="24"/>
                <w:lang w:val="en-US" w:eastAsia="zh-CN" w:bidi="ar"/>
              </w:rPr>
              <w:t>合计</w:t>
            </w:r>
          </w:p>
        </w:tc>
        <w:tc>
          <w:tcPr>
            <w:tcW w:w="1386" w:type="dxa"/>
            <w:shd w:val="clear" w:color="auto" w:fill="auto"/>
            <w:tcMar>
              <w:top w:w="120" w:type="dxa"/>
              <w:left w:w="120" w:type="dxa"/>
              <w:bottom w:w="120" w:type="dxa"/>
              <w:right w:w="120" w:type="dxa"/>
            </w:tcMar>
            <w:vAlign w:val="center"/>
          </w:tcPr>
          <w:p w14:paraId="1D2894D1">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auto"/>
              <w:rPr>
                <w:rFonts w:ascii="宋体" w:eastAsia="宋体"/>
                <w:b/>
                <w:sz w:val="24"/>
              </w:rPr>
            </w:pPr>
            <w:r>
              <w:rPr>
                <w:rFonts w:ascii="宋体" w:hAnsi="宋体" w:eastAsia="宋体" w:cs="宋体"/>
                <w:b/>
                <w:kern w:val="0"/>
                <w:sz w:val="24"/>
                <w:szCs w:val="24"/>
                <w:lang w:val="en-US" w:eastAsia="zh-CN" w:bidi="ar"/>
              </w:rPr>
              <w:t>总分</w:t>
            </w:r>
          </w:p>
        </w:tc>
        <w:tc>
          <w:tcPr>
            <w:tcW w:w="725" w:type="dxa"/>
            <w:shd w:val="clear" w:color="auto" w:fill="auto"/>
            <w:tcMar>
              <w:top w:w="120" w:type="dxa"/>
              <w:left w:w="120" w:type="dxa"/>
              <w:bottom w:w="120" w:type="dxa"/>
              <w:right w:w="120" w:type="dxa"/>
            </w:tcMar>
            <w:vAlign w:val="center"/>
          </w:tcPr>
          <w:p w14:paraId="4A80CAED">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auto"/>
              <w:rPr>
                <w:rFonts w:ascii="宋体" w:eastAsia="宋体"/>
                <w:b/>
                <w:sz w:val="24"/>
              </w:rPr>
            </w:pPr>
            <w:r>
              <w:rPr>
                <w:rFonts w:ascii="宋体" w:hAnsi="宋体" w:eastAsia="宋体" w:cs="宋体"/>
                <w:b/>
                <w:kern w:val="0"/>
                <w:sz w:val="24"/>
                <w:szCs w:val="24"/>
                <w:lang w:val="en-US" w:eastAsia="zh-CN" w:bidi="ar"/>
              </w:rPr>
              <w:t>100</w:t>
            </w:r>
          </w:p>
        </w:tc>
        <w:tc>
          <w:tcPr>
            <w:tcW w:w="6503" w:type="dxa"/>
            <w:shd w:val="clear" w:color="auto" w:fill="auto"/>
            <w:tcMar>
              <w:top w:w="120" w:type="dxa"/>
              <w:left w:w="120" w:type="dxa"/>
              <w:bottom w:w="120" w:type="dxa"/>
              <w:right w:w="120" w:type="dxa"/>
            </w:tcMar>
            <w:vAlign w:val="center"/>
          </w:tcPr>
          <w:p w14:paraId="095DF588">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auto"/>
              <w:rPr>
                <w:rFonts w:ascii="宋体" w:eastAsia="宋体"/>
                <w:b/>
                <w:sz w:val="24"/>
              </w:rPr>
            </w:pPr>
            <w:r>
              <w:rPr>
                <w:rFonts w:ascii="宋体" w:hAnsi="宋体" w:eastAsia="宋体" w:cs="宋体"/>
                <w:b/>
                <w:kern w:val="0"/>
                <w:sz w:val="24"/>
                <w:szCs w:val="24"/>
                <w:lang w:val="en-US" w:eastAsia="zh-CN" w:bidi="ar"/>
              </w:rPr>
              <w:t>——</w:t>
            </w:r>
          </w:p>
        </w:tc>
      </w:tr>
    </w:tbl>
    <w:p w14:paraId="13903A7A">
      <w:pPr>
        <w:keepNext w:val="0"/>
        <w:keepLines w:val="0"/>
        <w:pageBreakBefore w:val="0"/>
        <w:numPr>
          <w:ilvl w:val="0"/>
          <w:numId w:val="0"/>
        </w:numPr>
        <w:kinsoku/>
        <w:wordWrap/>
        <w:overflowPunct/>
        <w:topLinePunct w:val="0"/>
        <w:autoSpaceDE w:val="0"/>
        <w:autoSpaceDN w:val="0"/>
        <w:bidi w:val="0"/>
        <w:adjustRightInd w:val="0"/>
        <w:snapToGrid w:val="0"/>
        <w:spacing w:after="191" w:afterLines="50" w:line="240" w:lineRule="auto"/>
        <w:ind w:firstLine="482" w:firstLineChars="200"/>
        <w:rPr>
          <w:rFonts w:hint="eastAsia" w:ascii="宋体" w:hAnsi="宋体" w:eastAsia="宋体" w:cs="宋体"/>
          <w:b/>
          <w:color w:val="000000"/>
          <w:sz w:val="24"/>
          <w:szCs w:val="24"/>
          <w:lang w:val="en-US" w:eastAsia="zh-CN"/>
        </w:rPr>
      </w:pPr>
    </w:p>
    <w:p w14:paraId="35460886">
      <w:pPr>
        <w:keepNext w:val="0"/>
        <w:keepLines w:val="0"/>
        <w:pageBreakBefore w:val="0"/>
        <w:numPr>
          <w:ilvl w:val="0"/>
          <w:numId w:val="0"/>
        </w:numPr>
        <w:kinsoku/>
        <w:wordWrap/>
        <w:overflowPunct/>
        <w:topLinePunct w:val="0"/>
        <w:autoSpaceDE w:val="0"/>
        <w:autoSpaceDN w:val="0"/>
        <w:bidi w:val="0"/>
        <w:adjustRightInd w:val="0"/>
        <w:snapToGrid w:val="0"/>
        <w:spacing w:after="191" w:afterLines="50" w:line="240" w:lineRule="auto"/>
        <w:ind w:firstLine="482" w:firstLineChars="200"/>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val="en-US" w:eastAsia="zh-CN"/>
        </w:rPr>
        <w:t>22.</w:t>
      </w:r>
      <w:r>
        <w:rPr>
          <w:rFonts w:hint="eastAsia" w:ascii="宋体" w:hAnsi="宋体" w:eastAsia="宋体" w:cs="宋体"/>
          <w:b/>
          <w:color w:val="000000"/>
          <w:sz w:val="24"/>
          <w:szCs w:val="24"/>
          <w:lang w:val="zh-CN"/>
        </w:rPr>
        <w:t>本项目落实政府采购政策</w:t>
      </w:r>
    </w:p>
    <w:p w14:paraId="58246273">
      <w:pPr>
        <w:keepNext w:val="0"/>
        <w:keepLines w:val="0"/>
        <w:pageBreakBefore w:val="0"/>
        <w:kinsoku/>
        <w:wordWrap/>
        <w:overflowPunct/>
        <w:topLinePunct w:val="0"/>
        <w:autoSpaceDE w:val="0"/>
        <w:autoSpaceDN w:val="0"/>
        <w:bidi w:val="0"/>
        <w:adjustRightInd w:val="0"/>
        <w:snapToGrid w:val="0"/>
        <w:spacing w:after="191" w:afterLines="50" w:line="240" w:lineRule="auto"/>
        <w:ind w:firstLine="482" w:firstLineChars="200"/>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val="zh-CN"/>
        </w:rPr>
        <w:t>2</w:t>
      </w:r>
      <w:r>
        <w:rPr>
          <w:rFonts w:hint="eastAsia" w:ascii="宋体" w:hAnsi="宋体" w:eastAsia="宋体" w:cs="宋体"/>
          <w:b/>
          <w:color w:val="000000"/>
          <w:sz w:val="24"/>
          <w:szCs w:val="24"/>
          <w:lang w:val="en-US" w:eastAsia="zh-CN"/>
        </w:rPr>
        <w:t>2</w:t>
      </w:r>
      <w:r>
        <w:rPr>
          <w:rFonts w:hint="eastAsia" w:ascii="宋体" w:hAnsi="宋体" w:eastAsia="宋体" w:cs="宋体"/>
          <w:b/>
          <w:color w:val="000000"/>
          <w:sz w:val="24"/>
          <w:szCs w:val="24"/>
          <w:lang w:val="zh-CN"/>
        </w:rPr>
        <w:t>.</w:t>
      </w:r>
      <w:r>
        <w:rPr>
          <w:rFonts w:hint="eastAsia" w:ascii="宋体" w:hAnsi="宋体" w:eastAsia="宋体" w:cs="宋体"/>
          <w:b/>
          <w:color w:val="000000"/>
          <w:sz w:val="24"/>
          <w:szCs w:val="24"/>
        </w:rPr>
        <w:t>1</w:t>
      </w:r>
      <w:r>
        <w:rPr>
          <w:rFonts w:hint="eastAsia" w:ascii="宋体" w:hAnsi="宋体" w:eastAsia="宋体" w:cs="宋体"/>
          <w:b/>
          <w:color w:val="000000"/>
          <w:sz w:val="24"/>
          <w:szCs w:val="24"/>
          <w:lang w:val="zh-CN"/>
        </w:rPr>
        <w:t>.1</w:t>
      </w:r>
      <w:r>
        <w:rPr>
          <w:rFonts w:hint="eastAsia" w:ascii="宋体" w:hAnsi="宋体" w:eastAsia="宋体" w:cs="宋体"/>
          <w:b/>
          <w:color w:val="000000"/>
          <w:sz w:val="24"/>
          <w:szCs w:val="24"/>
        </w:rPr>
        <w:t xml:space="preserve"> </w:t>
      </w:r>
      <w:r>
        <w:rPr>
          <w:rFonts w:hint="eastAsia" w:ascii="宋体" w:hAnsi="宋体" w:eastAsia="宋体" w:cs="宋体"/>
          <w:b/>
          <w:color w:val="000000"/>
          <w:sz w:val="24"/>
          <w:szCs w:val="24"/>
          <w:lang w:val="zh-CN"/>
        </w:rPr>
        <w:t>投标企业政府采购政策</w:t>
      </w:r>
    </w:p>
    <w:p w14:paraId="3D63C2A7">
      <w:pPr>
        <w:keepNext w:val="0"/>
        <w:keepLines w:val="0"/>
        <w:pageBreakBefore w:val="0"/>
        <w:kinsoku/>
        <w:wordWrap/>
        <w:overflowPunct/>
        <w:topLinePunct w:val="0"/>
        <w:autoSpaceDE w:val="0"/>
        <w:autoSpaceDN w:val="0"/>
        <w:bidi w:val="0"/>
        <w:adjustRightInd w:val="0"/>
        <w:snapToGrid w:val="0"/>
        <w:spacing w:after="191" w:afterLines="50" w:line="240" w:lineRule="auto"/>
        <w:ind w:firstLine="480" w:firstLineChars="200"/>
        <w:rPr>
          <w:rFonts w:hint="eastAsia" w:ascii="宋体" w:hAnsi="宋体" w:eastAsia="宋体" w:cs="宋体"/>
          <w:color w:val="000000"/>
          <w:sz w:val="24"/>
          <w:szCs w:val="24"/>
          <w:lang w:val="zh-CN"/>
        </w:rPr>
      </w:pPr>
      <w:r>
        <w:rPr>
          <w:rFonts w:hint="eastAsia" w:ascii="宋体" w:hAnsi="宋体" w:eastAsia="宋体" w:cs="宋体"/>
          <w:color w:val="000000"/>
          <w:sz w:val="24"/>
          <w:szCs w:val="24"/>
        </w:rPr>
        <w:t>（1）中小企业落实政府采购政策</w:t>
      </w:r>
    </w:p>
    <w:p w14:paraId="701EB43C">
      <w:pPr>
        <w:keepNext w:val="0"/>
        <w:keepLines w:val="0"/>
        <w:pageBreakBefore w:val="0"/>
        <w:kinsoku/>
        <w:wordWrap/>
        <w:overflowPunct/>
        <w:topLinePunct w:val="0"/>
        <w:autoSpaceDE w:val="0"/>
        <w:autoSpaceDN w:val="0"/>
        <w:bidi w:val="0"/>
        <w:adjustRightInd w:val="0"/>
        <w:snapToGrid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财政部、工业和信息化部关于印发《政府采购促进中小企业发展管理办法》的通知--财库〔2020〕46号。</w:t>
      </w:r>
      <w:r>
        <w:rPr>
          <w:rFonts w:hint="eastAsia" w:ascii="宋体" w:hAnsi="宋体" w:eastAsia="宋体" w:cs="宋体"/>
          <w:b/>
          <w:bCs/>
          <w:color w:val="000000"/>
          <w:sz w:val="24"/>
          <w:szCs w:val="24"/>
          <w:lang w:val="en-US" w:eastAsia="zh-CN"/>
        </w:rPr>
        <w:t>本项目所属行业：</w:t>
      </w:r>
      <w:r>
        <w:rPr>
          <w:rFonts w:hint="eastAsia" w:ascii="宋体" w:hAnsi="宋体" w:eastAsia="宋体" w:cs="宋体"/>
          <w:b/>
          <w:bCs/>
          <w:color w:val="auto"/>
          <w:sz w:val="24"/>
          <w:szCs w:val="24"/>
          <w:lang w:val="en-US" w:eastAsia="zh-CN"/>
        </w:rPr>
        <w:t>“其他未列明行业”</w:t>
      </w:r>
    </w:p>
    <w:p w14:paraId="44DFC360">
      <w:pPr>
        <w:keepNext w:val="0"/>
        <w:keepLines w:val="0"/>
        <w:pageBreakBefore w:val="0"/>
        <w:kinsoku/>
        <w:wordWrap/>
        <w:overflowPunct/>
        <w:topLinePunct w:val="0"/>
        <w:autoSpaceDE w:val="0"/>
        <w:autoSpaceDN w:val="0"/>
        <w:bidi w:val="0"/>
        <w:adjustRightInd w:val="0"/>
        <w:snapToGrid w:val="0"/>
        <w:spacing w:after="191" w:afterLines="50" w:line="240" w:lineRule="auto"/>
        <w:ind w:firstLine="480" w:firstLineChars="200"/>
        <w:rPr>
          <w:rFonts w:hint="eastAsia" w:ascii="宋体" w:hAnsi="宋体" w:eastAsia="宋体" w:cs="宋体"/>
          <w:color w:val="000000"/>
          <w:sz w:val="24"/>
          <w:szCs w:val="24"/>
          <w:lang w:val="zh-CN"/>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zh-CN"/>
        </w:rPr>
        <w:t>监狱和戒毒企业应符合《财政部</w:t>
      </w:r>
      <w:r>
        <w:rPr>
          <w:rFonts w:hint="eastAsia" w:ascii="宋体" w:hAnsi="宋体" w:eastAsia="宋体" w:cs="宋体"/>
          <w:color w:val="000000"/>
          <w:sz w:val="24"/>
          <w:szCs w:val="24"/>
        </w:rPr>
        <w:t>、司法部关于政府采购支持监狱企业发展有关问题的通知》--财库[2014]68号</w:t>
      </w:r>
      <w:r>
        <w:rPr>
          <w:rFonts w:hint="eastAsia" w:ascii="宋体" w:hAnsi="宋体" w:eastAsia="宋体" w:cs="宋体"/>
          <w:color w:val="000000"/>
          <w:sz w:val="24"/>
          <w:szCs w:val="24"/>
          <w:lang w:val="zh-CN"/>
        </w:rPr>
        <w:t>，并提供由省级以上监狱管理局、戒毒管理局(含新疆生产建设兵团)出具的属于监狱企业的证明，</w:t>
      </w:r>
      <w:r>
        <w:rPr>
          <w:rFonts w:hint="eastAsia" w:ascii="宋体" w:hAnsi="宋体" w:eastAsia="宋体" w:cs="宋体"/>
          <w:color w:val="000000"/>
          <w:sz w:val="24"/>
          <w:szCs w:val="24"/>
        </w:rPr>
        <w:t>开标时提供原件备查。</w:t>
      </w:r>
    </w:p>
    <w:p w14:paraId="170322C1">
      <w:pPr>
        <w:keepNext w:val="0"/>
        <w:keepLines w:val="0"/>
        <w:pageBreakBefore w:val="0"/>
        <w:kinsoku/>
        <w:wordWrap/>
        <w:overflowPunct/>
        <w:topLinePunct w:val="0"/>
        <w:autoSpaceDE w:val="0"/>
        <w:autoSpaceDN w:val="0"/>
        <w:bidi w:val="0"/>
        <w:adjustRightInd w:val="0"/>
        <w:snapToGrid w:val="0"/>
        <w:spacing w:after="191" w:afterLines="50" w:line="240" w:lineRule="auto"/>
        <w:ind w:firstLine="480" w:firstLineChars="200"/>
        <w:rPr>
          <w:rFonts w:hint="eastAsia" w:ascii="宋体" w:hAnsi="宋体" w:eastAsia="宋体" w:cs="宋体"/>
          <w:b/>
          <w:color w:val="000000"/>
          <w:sz w:val="24"/>
          <w:szCs w:val="24"/>
          <w:lang w:val="zh-CN"/>
        </w:rPr>
      </w:pPr>
      <w:r>
        <w:rPr>
          <w:rFonts w:hint="eastAsia" w:ascii="宋体" w:hAnsi="宋体" w:eastAsia="宋体" w:cs="宋体"/>
          <w:color w:val="000000"/>
          <w:sz w:val="24"/>
          <w:szCs w:val="24"/>
        </w:rPr>
        <w:t>（3）投标供</w:t>
      </w:r>
      <w:r>
        <w:rPr>
          <w:rFonts w:hint="eastAsia" w:ascii="宋体" w:hAnsi="宋体" w:eastAsia="宋体" w:cs="宋体"/>
          <w:bCs/>
          <w:color w:val="000000"/>
          <w:sz w:val="24"/>
          <w:szCs w:val="24"/>
        </w:rPr>
        <w:t>应商应如实提供以上证明文件，如存在虚假应标，将取消其投标资格。</w:t>
      </w:r>
    </w:p>
    <w:p w14:paraId="270B5223">
      <w:pPr>
        <w:keepNext w:val="0"/>
        <w:keepLines w:val="0"/>
        <w:pageBreakBefore w:val="0"/>
        <w:kinsoku/>
        <w:wordWrap/>
        <w:overflowPunct/>
        <w:topLinePunct w:val="0"/>
        <w:autoSpaceDE w:val="0"/>
        <w:autoSpaceDN w:val="0"/>
        <w:bidi w:val="0"/>
        <w:adjustRightInd w:val="0"/>
        <w:snapToGrid w:val="0"/>
        <w:spacing w:after="191" w:afterLines="50" w:line="240" w:lineRule="auto"/>
        <w:ind w:firstLine="472" w:firstLineChars="196"/>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val="zh-CN"/>
        </w:rPr>
        <w:t>2</w:t>
      </w:r>
      <w:r>
        <w:rPr>
          <w:rFonts w:hint="eastAsia" w:ascii="宋体" w:hAnsi="宋体" w:eastAsia="宋体" w:cs="宋体"/>
          <w:b/>
          <w:color w:val="000000"/>
          <w:sz w:val="24"/>
          <w:szCs w:val="24"/>
          <w:lang w:val="en-US" w:eastAsia="zh-CN"/>
        </w:rPr>
        <w:t>2</w:t>
      </w:r>
      <w:r>
        <w:rPr>
          <w:rFonts w:hint="eastAsia" w:ascii="宋体" w:hAnsi="宋体" w:eastAsia="宋体" w:cs="宋体"/>
          <w:b/>
          <w:color w:val="000000"/>
          <w:sz w:val="24"/>
          <w:szCs w:val="24"/>
          <w:lang w:val="zh-CN"/>
        </w:rPr>
        <w:t>.</w:t>
      </w:r>
      <w:r>
        <w:rPr>
          <w:rFonts w:hint="eastAsia" w:ascii="宋体" w:hAnsi="宋体" w:eastAsia="宋体" w:cs="宋体"/>
          <w:b/>
          <w:color w:val="000000"/>
          <w:sz w:val="24"/>
          <w:szCs w:val="24"/>
        </w:rPr>
        <w:t>1</w:t>
      </w:r>
      <w:r>
        <w:rPr>
          <w:rFonts w:hint="eastAsia" w:ascii="宋体" w:hAnsi="宋体" w:eastAsia="宋体" w:cs="宋体"/>
          <w:b/>
          <w:color w:val="000000"/>
          <w:sz w:val="24"/>
          <w:szCs w:val="24"/>
          <w:lang w:val="zh-CN"/>
        </w:rPr>
        <w:t>.2</w:t>
      </w:r>
      <w:r>
        <w:rPr>
          <w:rFonts w:hint="eastAsia" w:ascii="宋体" w:hAnsi="宋体" w:eastAsia="宋体" w:cs="宋体"/>
          <w:b/>
          <w:color w:val="000000"/>
          <w:sz w:val="24"/>
          <w:szCs w:val="24"/>
        </w:rPr>
        <w:t xml:space="preserve"> </w:t>
      </w:r>
      <w:r>
        <w:rPr>
          <w:rFonts w:hint="eastAsia" w:ascii="宋体" w:hAnsi="宋体" w:eastAsia="宋体" w:cs="宋体"/>
          <w:b/>
          <w:color w:val="000000"/>
          <w:sz w:val="24"/>
          <w:szCs w:val="24"/>
          <w:lang w:val="zh-CN"/>
        </w:rPr>
        <w:t>投标产品政府采购政策</w:t>
      </w:r>
    </w:p>
    <w:p w14:paraId="7093CD71">
      <w:pPr>
        <w:keepNext w:val="0"/>
        <w:keepLines w:val="0"/>
        <w:pageBreakBefore w:val="0"/>
        <w:kinsoku/>
        <w:wordWrap/>
        <w:overflowPunct/>
        <w:topLinePunct w:val="0"/>
        <w:autoSpaceDE w:val="0"/>
        <w:autoSpaceDN w:val="0"/>
        <w:bidi w:val="0"/>
        <w:adjustRightInd w:val="0"/>
        <w:snapToGrid w:val="0"/>
        <w:spacing w:after="191" w:afterLines="50" w:line="240" w:lineRule="auto"/>
        <w:ind w:firstLine="470" w:firstLineChars="196"/>
        <w:rPr>
          <w:rFonts w:hint="eastAsia" w:ascii="宋体" w:hAnsi="宋体" w:eastAsia="宋体" w:cs="宋体"/>
          <w:color w:val="000000"/>
          <w:sz w:val="24"/>
          <w:szCs w:val="24"/>
          <w:lang w:val="zh-CN"/>
        </w:rPr>
      </w:pPr>
      <w:r>
        <w:rPr>
          <w:rFonts w:hint="eastAsia" w:ascii="宋体" w:hAnsi="宋体" w:eastAsia="宋体" w:cs="宋体"/>
          <w:color w:val="000000"/>
          <w:sz w:val="24"/>
          <w:szCs w:val="24"/>
        </w:rPr>
        <w:t>（1）节能产品</w:t>
      </w:r>
      <w:r>
        <w:rPr>
          <w:rFonts w:hint="eastAsia" w:ascii="宋体" w:hAnsi="宋体" w:eastAsia="宋体" w:cs="宋体"/>
          <w:color w:val="000000"/>
          <w:sz w:val="24"/>
          <w:szCs w:val="24"/>
          <w:lang w:val="zh-CN"/>
        </w:rPr>
        <w:t>根据《国务院办公厅关于建立政府强制采购节能产品制度的通知》</w:t>
      </w:r>
      <w:r>
        <w:rPr>
          <w:rFonts w:hint="eastAsia" w:ascii="宋体" w:hAnsi="宋体" w:eastAsia="宋体" w:cs="宋体"/>
          <w:color w:val="000000"/>
          <w:sz w:val="24"/>
          <w:szCs w:val="24"/>
        </w:rPr>
        <w:t>（</w:t>
      </w:r>
      <w:r>
        <w:rPr>
          <w:rFonts w:hint="eastAsia" w:ascii="宋体" w:hAnsi="宋体" w:eastAsia="宋体" w:cs="宋体"/>
          <w:color w:val="000000"/>
          <w:sz w:val="24"/>
          <w:szCs w:val="24"/>
          <w:lang w:val="zh-CN"/>
        </w:rPr>
        <w:t>国办发[2007] 51号</w:t>
      </w:r>
      <w:r>
        <w:rPr>
          <w:rFonts w:hint="eastAsia" w:ascii="宋体" w:hAnsi="宋体" w:eastAsia="宋体" w:cs="宋体"/>
          <w:color w:val="000000"/>
          <w:sz w:val="24"/>
          <w:szCs w:val="24"/>
        </w:rPr>
        <w:t>）</w:t>
      </w:r>
      <w:r>
        <w:rPr>
          <w:rFonts w:hint="eastAsia" w:ascii="宋体" w:hAnsi="宋体" w:eastAsia="宋体" w:cs="宋体"/>
          <w:color w:val="000000"/>
          <w:sz w:val="24"/>
          <w:szCs w:val="24"/>
          <w:lang w:val="zh-CN"/>
        </w:rPr>
        <w:t>的规定</w:t>
      </w:r>
      <w:r>
        <w:rPr>
          <w:rFonts w:hint="eastAsia" w:ascii="宋体" w:hAnsi="宋体" w:eastAsia="宋体" w:cs="宋体"/>
          <w:color w:val="000000"/>
          <w:sz w:val="24"/>
          <w:szCs w:val="24"/>
        </w:rPr>
        <w:t>，</w:t>
      </w:r>
      <w:r>
        <w:rPr>
          <w:rFonts w:hint="eastAsia" w:ascii="宋体" w:hAnsi="宋体" w:eastAsia="宋体" w:cs="宋体"/>
          <w:color w:val="000000"/>
          <w:sz w:val="24"/>
          <w:szCs w:val="24"/>
          <w:lang w:val="zh-CN"/>
        </w:rPr>
        <w:t>以中国政府采购网</w:t>
      </w:r>
      <w:r>
        <w:rPr>
          <w:rFonts w:hint="eastAsia" w:ascii="宋体" w:hAnsi="宋体" w:eastAsia="宋体" w:cs="宋体"/>
          <w:color w:val="000000"/>
          <w:sz w:val="24"/>
          <w:szCs w:val="24"/>
        </w:rPr>
        <w:t>（</w:t>
      </w:r>
      <w:r>
        <w:rPr>
          <w:rFonts w:hint="eastAsia" w:ascii="宋体" w:hAnsi="宋体" w:eastAsia="宋体" w:cs="宋体"/>
          <w:color w:val="000000"/>
          <w:sz w:val="24"/>
          <w:szCs w:val="24"/>
          <w:lang w:val="zh-CN"/>
        </w:rPr>
        <w:t>http://www.ccgp.gov.cn/</w:t>
      </w:r>
      <w:r>
        <w:rPr>
          <w:rFonts w:hint="eastAsia" w:ascii="宋体" w:hAnsi="宋体" w:eastAsia="宋体" w:cs="宋体"/>
          <w:color w:val="000000"/>
          <w:sz w:val="24"/>
          <w:szCs w:val="24"/>
        </w:rPr>
        <w:t>）</w:t>
      </w:r>
      <w:r>
        <w:rPr>
          <w:rFonts w:hint="eastAsia" w:ascii="宋体" w:hAnsi="宋体" w:eastAsia="宋体" w:cs="宋体"/>
          <w:color w:val="000000"/>
          <w:sz w:val="24"/>
          <w:szCs w:val="24"/>
          <w:lang w:val="zh-CN"/>
        </w:rPr>
        <w:t>公布的最新一期节能产品政府采购清单为准。</w:t>
      </w:r>
    </w:p>
    <w:p w14:paraId="155D781D">
      <w:pPr>
        <w:keepNext w:val="0"/>
        <w:keepLines w:val="0"/>
        <w:pageBreakBefore w:val="0"/>
        <w:kinsoku/>
        <w:wordWrap/>
        <w:overflowPunct/>
        <w:topLinePunct w:val="0"/>
        <w:autoSpaceDE w:val="0"/>
        <w:autoSpaceDN w:val="0"/>
        <w:bidi w:val="0"/>
        <w:adjustRightInd w:val="0"/>
        <w:snapToGrid w:val="0"/>
        <w:spacing w:after="191" w:afterLines="50" w:line="240" w:lineRule="auto"/>
        <w:ind w:firstLine="470" w:firstLineChars="196"/>
        <w:rPr>
          <w:rFonts w:hint="eastAsia" w:ascii="宋体" w:hAnsi="宋体" w:eastAsia="宋体" w:cs="宋体"/>
          <w:color w:val="000000"/>
          <w:sz w:val="24"/>
          <w:szCs w:val="24"/>
          <w:lang w:val="zh-CN"/>
        </w:rPr>
      </w:pPr>
      <w:r>
        <w:rPr>
          <w:rFonts w:hint="eastAsia" w:ascii="宋体" w:hAnsi="宋体" w:eastAsia="宋体" w:cs="宋体"/>
          <w:color w:val="000000"/>
          <w:sz w:val="24"/>
          <w:szCs w:val="24"/>
        </w:rPr>
        <w:t>（2）环境标志产品</w:t>
      </w:r>
      <w:r>
        <w:rPr>
          <w:rFonts w:hint="eastAsia" w:ascii="宋体" w:hAnsi="宋体" w:eastAsia="宋体" w:cs="宋体"/>
          <w:color w:val="000000"/>
          <w:sz w:val="24"/>
          <w:szCs w:val="24"/>
          <w:lang w:val="zh-CN"/>
        </w:rPr>
        <w:t>根据《环境标志产品政府采购实施的意见》</w:t>
      </w:r>
      <w:r>
        <w:rPr>
          <w:rFonts w:hint="eastAsia" w:ascii="宋体" w:hAnsi="宋体" w:eastAsia="宋体" w:cs="宋体"/>
          <w:color w:val="000000"/>
          <w:sz w:val="24"/>
          <w:szCs w:val="24"/>
        </w:rPr>
        <w:t>（</w:t>
      </w:r>
      <w:r>
        <w:rPr>
          <w:rFonts w:hint="eastAsia" w:ascii="宋体" w:hAnsi="宋体" w:eastAsia="宋体" w:cs="宋体"/>
          <w:color w:val="000000"/>
          <w:sz w:val="24"/>
          <w:szCs w:val="24"/>
          <w:lang w:val="zh-CN"/>
        </w:rPr>
        <w:t>财库</w:t>
      </w:r>
      <w:r>
        <w:rPr>
          <w:rFonts w:hint="eastAsia" w:ascii="宋体" w:hAnsi="宋体" w:eastAsia="宋体" w:cs="宋体"/>
          <w:color w:val="000000"/>
          <w:sz w:val="24"/>
          <w:szCs w:val="24"/>
        </w:rPr>
        <w:t>[2006]90</w:t>
      </w:r>
      <w:r>
        <w:rPr>
          <w:rFonts w:hint="eastAsia" w:ascii="宋体" w:hAnsi="宋体" w:eastAsia="宋体" w:cs="宋体"/>
          <w:color w:val="000000"/>
          <w:sz w:val="24"/>
          <w:szCs w:val="24"/>
          <w:lang w:val="zh-CN"/>
        </w:rPr>
        <w:t>号</w:t>
      </w:r>
      <w:r>
        <w:rPr>
          <w:rFonts w:hint="eastAsia" w:ascii="宋体" w:hAnsi="宋体" w:eastAsia="宋体" w:cs="宋体"/>
          <w:color w:val="000000"/>
          <w:sz w:val="24"/>
          <w:szCs w:val="24"/>
        </w:rPr>
        <w:t>）</w:t>
      </w:r>
      <w:r>
        <w:rPr>
          <w:rFonts w:hint="eastAsia" w:ascii="宋体" w:hAnsi="宋体" w:eastAsia="宋体" w:cs="宋体"/>
          <w:color w:val="000000"/>
          <w:sz w:val="24"/>
          <w:szCs w:val="24"/>
          <w:lang w:val="zh-CN"/>
        </w:rPr>
        <w:t>的规定</w:t>
      </w:r>
      <w:r>
        <w:rPr>
          <w:rFonts w:hint="eastAsia" w:ascii="宋体" w:hAnsi="宋体" w:eastAsia="宋体" w:cs="宋体"/>
          <w:color w:val="000000"/>
          <w:sz w:val="24"/>
          <w:szCs w:val="24"/>
        </w:rPr>
        <w:t>，</w:t>
      </w:r>
      <w:r>
        <w:rPr>
          <w:rFonts w:hint="eastAsia" w:ascii="宋体" w:hAnsi="宋体" w:eastAsia="宋体" w:cs="宋体"/>
          <w:color w:val="000000"/>
          <w:sz w:val="24"/>
          <w:szCs w:val="24"/>
          <w:lang w:val="zh-CN"/>
        </w:rPr>
        <w:t>以中国政府采购网</w:t>
      </w:r>
      <w:r>
        <w:rPr>
          <w:rFonts w:hint="eastAsia" w:ascii="宋体" w:hAnsi="宋体" w:eastAsia="宋体" w:cs="宋体"/>
          <w:color w:val="000000"/>
          <w:sz w:val="24"/>
          <w:szCs w:val="24"/>
        </w:rPr>
        <w:t>（http://www.ccgp.gov.cn/）</w:t>
      </w:r>
      <w:r>
        <w:rPr>
          <w:rFonts w:hint="eastAsia" w:ascii="宋体" w:hAnsi="宋体" w:eastAsia="宋体" w:cs="宋体"/>
          <w:color w:val="000000"/>
          <w:sz w:val="24"/>
          <w:szCs w:val="24"/>
          <w:lang w:val="zh-CN"/>
        </w:rPr>
        <w:t>公布的最新一期环境标志产品政府采购清单为准。</w:t>
      </w:r>
    </w:p>
    <w:p w14:paraId="1EF95F80">
      <w:pPr>
        <w:keepNext w:val="0"/>
        <w:keepLines w:val="0"/>
        <w:pageBreakBefore w:val="0"/>
        <w:kinsoku/>
        <w:wordWrap/>
        <w:overflowPunct/>
        <w:topLinePunct w:val="0"/>
        <w:autoSpaceDE w:val="0"/>
        <w:autoSpaceDN w:val="0"/>
        <w:bidi w:val="0"/>
        <w:adjustRightInd w:val="0"/>
        <w:snapToGrid w:val="0"/>
        <w:spacing w:after="191" w:afterLines="50" w:line="240" w:lineRule="auto"/>
        <w:ind w:firstLine="470" w:firstLineChars="196"/>
        <w:rPr>
          <w:rFonts w:hint="eastAsia" w:ascii="宋体" w:hAnsi="宋体" w:eastAsia="宋体" w:cs="宋体"/>
          <w:color w:val="000000"/>
          <w:sz w:val="24"/>
          <w:szCs w:val="24"/>
          <w:lang w:val="zh-CN"/>
        </w:rPr>
      </w:pPr>
      <w:r>
        <w:rPr>
          <w:rFonts w:hint="eastAsia" w:ascii="宋体" w:hAnsi="宋体" w:eastAsia="宋体" w:cs="宋体"/>
          <w:color w:val="000000"/>
          <w:sz w:val="24"/>
          <w:szCs w:val="24"/>
        </w:rPr>
        <w:t>（3）</w:t>
      </w:r>
      <w:r>
        <w:rPr>
          <w:rFonts w:hint="eastAsia" w:ascii="宋体" w:hAnsi="宋体" w:eastAsia="宋体" w:cs="宋体"/>
          <w:color w:val="000000"/>
          <w:sz w:val="24"/>
          <w:szCs w:val="24"/>
          <w:lang w:val="zh-CN"/>
        </w:rPr>
        <w:t>供应商在磋商响应文件中对所投标产品为节能、环保、环境标志产品清单中的产品，在磋商报价时必须对此类产品单独分项报价，计算出小计及占磋商报价总金额的百分比，并提供属于清单内产品的证明资料（从中国政府采购网上下载的网页公告等），未提供节能、环保、环境标志产品优惠明细表及属于清单内产品的证明资料的不给予优惠。</w:t>
      </w:r>
    </w:p>
    <w:p w14:paraId="7A215020">
      <w:pPr>
        <w:keepNext w:val="0"/>
        <w:keepLines w:val="0"/>
        <w:pageBreakBefore w:val="0"/>
        <w:kinsoku/>
        <w:wordWrap/>
        <w:overflowPunct/>
        <w:topLinePunct w:val="0"/>
        <w:autoSpaceDE w:val="0"/>
        <w:autoSpaceDN w:val="0"/>
        <w:bidi w:val="0"/>
        <w:adjustRightInd w:val="0"/>
        <w:snapToGrid w:val="0"/>
        <w:spacing w:after="191" w:afterLines="50" w:line="240" w:lineRule="auto"/>
        <w:ind w:firstLine="470" w:firstLineChars="196"/>
        <w:rPr>
          <w:rFonts w:hint="eastAsia" w:ascii="宋体" w:hAnsi="宋体" w:eastAsia="宋体" w:cs="宋体"/>
          <w:color w:val="000000"/>
          <w:sz w:val="24"/>
          <w:szCs w:val="24"/>
          <w:lang w:val="zh-CN"/>
        </w:rPr>
      </w:pPr>
      <w:r>
        <w:rPr>
          <w:rFonts w:hint="eastAsia" w:ascii="宋体" w:hAnsi="宋体" w:eastAsia="宋体" w:cs="宋体"/>
          <w:color w:val="000000"/>
          <w:sz w:val="24"/>
          <w:szCs w:val="24"/>
        </w:rPr>
        <w:t>（4）</w:t>
      </w:r>
      <w:r>
        <w:rPr>
          <w:rFonts w:hint="eastAsia" w:ascii="宋体" w:hAnsi="宋体" w:eastAsia="宋体" w:cs="宋体"/>
          <w:color w:val="000000"/>
          <w:sz w:val="24"/>
          <w:szCs w:val="24"/>
          <w:lang w:val="zh-CN"/>
        </w:rPr>
        <w:t>若节能、环保、环境标志清单内的产品仅是构成投标产品的部件、组件或零件的，则该投标产品不享受鼓励优惠政策。</w:t>
      </w:r>
    </w:p>
    <w:p w14:paraId="5C056BF2">
      <w:pPr>
        <w:keepNext w:val="0"/>
        <w:keepLines w:val="0"/>
        <w:pageBreakBefore w:val="0"/>
        <w:kinsoku/>
        <w:wordWrap/>
        <w:overflowPunct/>
        <w:topLinePunct w:val="0"/>
        <w:autoSpaceDE w:val="0"/>
        <w:autoSpaceDN w:val="0"/>
        <w:bidi w:val="0"/>
        <w:adjustRightInd w:val="0"/>
        <w:snapToGrid w:val="0"/>
        <w:spacing w:after="191" w:afterLines="50" w:line="240" w:lineRule="auto"/>
        <w:ind w:firstLine="470" w:firstLineChars="196"/>
        <w:rPr>
          <w:rFonts w:hint="eastAsia" w:ascii="宋体" w:hAnsi="宋体" w:eastAsia="宋体" w:cs="宋体"/>
          <w:color w:val="000000"/>
          <w:sz w:val="24"/>
          <w:szCs w:val="24"/>
          <w:lang w:val="zh-CN"/>
        </w:rPr>
      </w:pPr>
      <w:r>
        <w:rPr>
          <w:rFonts w:hint="eastAsia" w:ascii="宋体" w:hAnsi="宋体" w:eastAsia="宋体" w:cs="宋体"/>
          <w:color w:val="000000"/>
          <w:sz w:val="24"/>
          <w:szCs w:val="24"/>
        </w:rPr>
        <w:t>（5）</w:t>
      </w:r>
      <w:r>
        <w:rPr>
          <w:rFonts w:hint="eastAsia" w:ascii="宋体" w:hAnsi="宋体" w:eastAsia="宋体" w:cs="宋体"/>
          <w:color w:val="000000"/>
          <w:sz w:val="24"/>
          <w:szCs w:val="24"/>
          <w:lang w:val="zh-CN"/>
        </w:rPr>
        <w:t>同一标段的节能、环保、环境标志产品部分优惠只对属于清单内的非强制类产品进行优惠，强制类产品不给予优惠。</w:t>
      </w:r>
    </w:p>
    <w:p w14:paraId="4E1C8BC7">
      <w:pPr>
        <w:keepNext w:val="0"/>
        <w:keepLines w:val="0"/>
        <w:pageBreakBefore w:val="0"/>
        <w:kinsoku/>
        <w:wordWrap/>
        <w:overflowPunct/>
        <w:topLinePunct w:val="0"/>
        <w:autoSpaceDE w:val="0"/>
        <w:autoSpaceDN w:val="0"/>
        <w:bidi w:val="0"/>
        <w:adjustRightInd w:val="0"/>
        <w:snapToGrid w:val="0"/>
        <w:spacing w:after="191" w:afterLines="50" w:line="240" w:lineRule="auto"/>
        <w:ind w:firstLine="470" w:firstLineChars="196"/>
        <w:rPr>
          <w:rFonts w:hint="eastAsia" w:ascii="宋体" w:hAnsi="宋体" w:eastAsia="宋体" w:cs="宋体"/>
          <w:color w:val="000000"/>
          <w:sz w:val="24"/>
          <w:szCs w:val="24"/>
          <w:lang w:val="zh-CN"/>
        </w:rPr>
      </w:pPr>
      <w:r>
        <w:rPr>
          <w:rFonts w:hint="eastAsia" w:ascii="宋体" w:hAnsi="宋体" w:eastAsia="宋体" w:cs="宋体"/>
          <w:color w:val="000000"/>
          <w:sz w:val="24"/>
          <w:szCs w:val="24"/>
        </w:rPr>
        <w:t>（6）</w:t>
      </w:r>
      <w:r>
        <w:rPr>
          <w:rFonts w:hint="eastAsia" w:ascii="宋体" w:hAnsi="宋体" w:eastAsia="宋体" w:cs="宋体"/>
          <w:color w:val="000000"/>
          <w:sz w:val="24"/>
          <w:szCs w:val="24"/>
          <w:lang w:val="zh-CN"/>
        </w:rPr>
        <w:t>节能、环保、环境标志产品不重复优惠；同时列入国家级清单和省级清单的产品不重复优惠。</w:t>
      </w:r>
    </w:p>
    <w:p w14:paraId="49B76C0E">
      <w:pPr>
        <w:keepNext w:val="0"/>
        <w:keepLines w:val="0"/>
        <w:pageBreakBefore w:val="0"/>
        <w:kinsoku/>
        <w:wordWrap/>
        <w:overflowPunct/>
        <w:topLinePunct w:val="0"/>
        <w:autoSpaceDE w:val="0"/>
        <w:autoSpaceDN w:val="0"/>
        <w:bidi w:val="0"/>
        <w:adjustRightInd w:val="0"/>
        <w:snapToGrid w:val="0"/>
        <w:spacing w:after="191" w:afterLines="50" w:line="240" w:lineRule="auto"/>
        <w:ind w:firstLine="470" w:firstLineChars="196"/>
        <w:rPr>
          <w:rFonts w:hint="eastAsia" w:ascii="宋体" w:hAnsi="宋体" w:eastAsia="宋体" w:cs="宋体"/>
          <w:color w:val="000000"/>
          <w:sz w:val="24"/>
          <w:szCs w:val="24"/>
          <w:lang w:val="zh-CN"/>
        </w:rPr>
      </w:pPr>
      <w:r>
        <w:rPr>
          <w:rFonts w:hint="eastAsia" w:ascii="宋体" w:hAnsi="宋体" w:eastAsia="宋体" w:cs="宋体"/>
          <w:color w:val="000000"/>
          <w:sz w:val="24"/>
          <w:szCs w:val="24"/>
        </w:rPr>
        <w:t>（7）</w:t>
      </w:r>
      <w:r>
        <w:rPr>
          <w:rFonts w:hint="eastAsia" w:ascii="宋体" w:hAnsi="宋体" w:eastAsia="宋体" w:cs="宋体"/>
          <w:color w:val="000000"/>
          <w:sz w:val="24"/>
          <w:szCs w:val="24"/>
          <w:lang w:val="zh-CN"/>
        </w:rPr>
        <w:t>获得上述认证的产品在投标时应提供有效证明材料。以上所有证明文件复印件须加盖供应商公章并注明“与原件一致”，否则不予优惠。</w:t>
      </w:r>
    </w:p>
    <w:p w14:paraId="2F5852C3">
      <w:pPr>
        <w:keepNext w:val="0"/>
        <w:keepLines w:val="0"/>
        <w:pageBreakBefore w:val="0"/>
        <w:kinsoku/>
        <w:wordWrap/>
        <w:overflowPunct/>
        <w:topLinePunct w:val="0"/>
        <w:bidi w:val="0"/>
        <w:spacing w:after="191" w:afterLines="50" w:line="240" w:lineRule="auto"/>
        <w:ind w:firstLine="472" w:firstLineChars="196"/>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val="zh-CN"/>
        </w:rPr>
        <w:t>2</w:t>
      </w:r>
      <w:r>
        <w:rPr>
          <w:rFonts w:hint="eastAsia" w:ascii="宋体" w:hAnsi="宋体" w:eastAsia="宋体" w:cs="宋体"/>
          <w:b/>
          <w:color w:val="000000"/>
          <w:sz w:val="24"/>
          <w:szCs w:val="24"/>
          <w:lang w:val="en-US" w:eastAsia="zh-CN"/>
        </w:rPr>
        <w:t>2</w:t>
      </w:r>
      <w:r>
        <w:rPr>
          <w:rFonts w:hint="eastAsia" w:ascii="宋体" w:hAnsi="宋体" w:eastAsia="宋体" w:cs="宋体"/>
          <w:b/>
          <w:color w:val="000000"/>
          <w:sz w:val="24"/>
          <w:szCs w:val="24"/>
          <w:lang w:val="zh-CN"/>
        </w:rPr>
        <w:t>.</w:t>
      </w:r>
      <w:r>
        <w:rPr>
          <w:rFonts w:hint="eastAsia" w:ascii="宋体" w:hAnsi="宋体" w:eastAsia="宋体" w:cs="宋体"/>
          <w:b/>
          <w:color w:val="000000"/>
          <w:sz w:val="24"/>
          <w:szCs w:val="24"/>
        </w:rPr>
        <w:t>1</w:t>
      </w:r>
      <w:r>
        <w:rPr>
          <w:rFonts w:hint="eastAsia" w:ascii="宋体" w:hAnsi="宋体" w:eastAsia="宋体" w:cs="宋体"/>
          <w:b/>
          <w:color w:val="000000"/>
          <w:sz w:val="24"/>
          <w:szCs w:val="24"/>
          <w:lang w:val="zh-CN"/>
        </w:rPr>
        <w:t>.3</w:t>
      </w:r>
      <w:r>
        <w:rPr>
          <w:rFonts w:hint="eastAsia" w:ascii="宋体" w:hAnsi="宋体" w:eastAsia="宋体" w:cs="宋体"/>
          <w:b/>
          <w:color w:val="000000"/>
          <w:sz w:val="24"/>
          <w:szCs w:val="24"/>
        </w:rPr>
        <w:t xml:space="preserve"> </w:t>
      </w:r>
      <w:r>
        <w:rPr>
          <w:rFonts w:hint="eastAsia" w:ascii="宋体" w:hAnsi="宋体" w:eastAsia="宋体" w:cs="宋体"/>
          <w:b/>
          <w:color w:val="000000"/>
          <w:sz w:val="24"/>
          <w:szCs w:val="24"/>
          <w:lang w:val="zh-CN"/>
        </w:rPr>
        <w:t>价格优惠比例</w:t>
      </w:r>
    </w:p>
    <w:p w14:paraId="072EC235">
      <w:pPr>
        <w:keepNext w:val="0"/>
        <w:keepLines w:val="0"/>
        <w:pageBreakBefore w:val="0"/>
        <w:kinsoku/>
        <w:wordWrap/>
        <w:overflowPunct/>
        <w:topLinePunct w:val="0"/>
        <w:bidi w:val="0"/>
        <w:spacing w:after="191" w:afterLines="50" w:line="240" w:lineRule="auto"/>
        <w:ind w:firstLine="470" w:firstLineChars="196"/>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本项目对符合文件要求的小微企业、</w:t>
      </w:r>
      <w:r>
        <w:rPr>
          <w:rFonts w:hint="eastAsia" w:ascii="宋体" w:hAnsi="宋体" w:eastAsia="宋体" w:cs="宋体"/>
          <w:color w:val="000000"/>
          <w:sz w:val="24"/>
          <w:szCs w:val="24"/>
          <w:lang w:val="zh-CN" w:eastAsia="zh-CN"/>
        </w:rPr>
        <w:t>监狱和戒毒企业、投标产品为节能、环保、环境标志产品的</w:t>
      </w:r>
      <w:r>
        <w:rPr>
          <w:rFonts w:hint="eastAsia" w:ascii="宋体" w:hAnsi="宋体" w:eastAsia="宋体" w:cs="宋体"/>
          <w:color w:val="000000"/>
          <w:sz w:val="24"/>
          <w:szCs w:val="24"/>
          <w:lang w:val="en-US" w:eastAsia="zh-CN"/>
        </w:rPr>
        <w:t>企业给予10%的价格折扣。</w:t>
      </w:r>
    </w:p>
    <w:p w14:paraId="151750BB">
      <w:pPr>
        <w:keepNext w:val="0"/>
        <w:keepLines w:val="0"/>
        <w:pageBreakBefore w:val="0"/>
        <w:kinsoku/>
        <w:wordWrap/>
        <w:overflowPunct/>
        <w:topLinePunct w:val="0"/>
        <w:bidi w:val="0"/>
        <w:spacing w:after="191" w:afterLines="50" w:line="24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2</w:t>
      </w:r>
      <w:r>
        <w:rPr>
          <w:rFonts w:hint="eastAsia" w:ascii="宋体" w:hAnsi="宋体" w:eastAsia="宋体" w:cs="宋体"/>
          <w:b/>
          <w:color w:val="000000"/>
          <w:sz w:val="24"/>
          <w:szCs w:val="24"/>
          <w:lang w:val="en-US" w:eastAsia="zh-CN"/>
        </w:rPr>
        <w:t>3</w:t>
      </w:r>
      <w:r>
        <w:rPr>
          <w:rFonts w:hint="eastAsia" w:ascii="宋体" w:hAnsi="宋体" w:eastAsia="宋体" w:cs="宋体"/>
          <w:b/>
          <w:color w:val="000000"/>
          <w:sz w:val="24"/>
          <w:szCs w:val="24"/>
        </w:rPr>
        <w:t>. 确定成交单位</w:t>
      </w:r>
    </w:p>
    <w:p w14:paraId="6BE8332C">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2"/>
          <w:szCs w:val="22"/>
        </w:rPr>
      </w:pPr>
      <w:r>
        <w:rPr>
          <w:rFonts w:hint="eastAsia" w:ascii="宋体" w:hAnsi="宋体" w:eastAsia="宋体" w:cs="宋体"/>
          <w:color w:val="000000"/>
          <w:sz w:val="24"/>
          <w:szCs w:val="24"/>
        </w:rPr>
        <w:t>采购人按照</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小组推荐的成交候选人排名顺序确定成交单位。</w:t>
      </w:r>
    </w:p>
    <w:p w14:paraId="56A6CB92">
      <w:pPr>
        <w:keepNext w:val="0"/>
        <w:keepLines w:val="0"/>
        <w:pageBreakBefore w:val="0"/>
        <w:kinsoku/>
        <w:wordWrap/>
        <w:overflowPunct/>
        <w:topLinePunct w:val="0"/>
        <w:bidi w:val="0"/>
        <w:adjustRightInd w:val="0"/>
        <w:snapToGrid w:val="0"/>
        <w:spacing w:after="191" w:afterLines="50" w:line="240" w:lineRule="auto"/>
        <w:jc w:val="center"/>
        <w:outlineLvl w:val="1"/>
        <w:rPr>
          <w:rFonts w:hint="eastAsia" w:ascii="宋体" w:hAnsi="宋体" w:eastAsia="宋体" w:cs="宋体"/>
          <w:b/>
          <w:color w:val="000000"/>
          <w:sz w:val="24"/>
          <w:szCs w:val="24"/>
        </w:rPr>
      </w:pPr>
      <w:r>
        <w:rPr>
          <w:rFonts w:hint="eastAsia" w:ascii="宋体" w:hAnsi="宋体" w:eastAsia="宋体" w:cs="宋体"/>
          <w:b/>
          <w:color w:val="000000"/>
          <w:sz w:val="24"/>
          <w:szCs w:val="24"/>
        </w:rPr>
        <w:t>六、授予合同</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p w14:paraId="4210DFD4">
      <w:pPr>
        <w:keepNext w:val="0"/>
        <w:keepLines w:val="0"/>
        <w:pageBreakBefore w:val="0"/>
        <w:kinsoku/>
        <w:wordWrap/>
        <w:overflowPunct/>
        <w:topLinePunct w:val="0"/>
        <w:bidi w:val="0"/>
        <w:spacing w:after="191" w:afterLines="50" w:line="24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2</w:t>
      </w:r>
      <w:r>
        <w:rPr>
          <w:rFonts w:hint="eastAsia" w:ascii="宋体" w:hAnsi="宋体" w:eastAsia="宋体" w:cs="宋体"/>
          <w:b/>
          <w:color w:val="000000"/>
          <w:sz w:val="24"/>
          <w:szCs w:val="24"/>
          <w:lang w:val="en-US" w:eastAsia="zh-CN"/>
        </w:rPr>
        <w:t>4</w:t>
      </w:r>
      <w:r>
        <w:rPr>
          <w:rFonts w:hint="eastAsia" w:ascii="宋体" w:hAnsi="宋体" w:eastAsia="宋体" w:cs="宋体"/>
          <w:b/>
          <w:color w:val="000000"/>
          <w:sz w:val="24"/>
          <w:szCs w:val="24"/>
        </w:rPr>
        <w:t>．成交通知书</w:t>
      </w:r>
    </w:p>
    <w:p w14:paraId="2388BA05">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.1采购代理机构在收到采购人的定标复函后，按规定时间向成交人发出成交通知书。</w:t>
      </w:r>
    </w:p>
    <w:p w14:paraId="447DC094">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.2 成交通知书是合同的组成部分。</w:t>
      </w:r>
    </w:p>
    <w:p w14:paraId="1452AC55">
      <w:pPr>
        <w:keepNext w:val="0"/>
        <w:keepLines w:val="0"/>
        <w:pageBreakBefore w:val="0"/>
        <w:kinsoku/>
        <w:wordWrap/>
        <w:overflowPunct/>
        <w:topLinePunct w:val="0"/>
        <w:bidi w:val="0"/>
        <w:spacing w:after="191" w:afterLines="50" w:line="24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2</w:t>
      </w:r>
      <w:r>
        <w:rPr>
          <w:rFonts w:hint="eastAsia" w:ascii="宋体" w:hAnsi="宋体" w:eastAsia="宋体" w:cs="宋体"/>
          <w:b/>
          <w:color w:val="000000"/>
          <w:sz w:val="24"/>
          <w:szCs w:val="24"/>
          <w:lang w:val="en-US" w:eastAsia="zh-CN"/>
        </w:rPr>
        <w:t>5</w:t>
      </w:r>
      <w:r>
        <w:rPr>
          <w:rFonts w:hint="eastAsia" w:ascii="宋体" w:hAnsi="宋体" w:eastAsia="宋体" w:cs="宋体"/>
          <w:b/>
          <w:color w:val="000000"/>
          <w:sz w:val="24"/>
          <w:szCs w:val="24"/>
        </w:rPr>
        <w:t>．招标代理服务费</w:t>
      </w:r>
    </w:p>
    <w:p w14:paraId="64878921">
      <w:pPr>
        <w:keepNext w:val="0"/>
        <w:keepLines w:val="0"/>
        <w:pageBreakBefore w:val="0"/>
        <w:kinsoku/>
        <w:wordWrap/>
        <w:overflowPunct/>
        <w:topLinePunct w:val="0"/>
        <w:autoSpaceDN w:val="0"/>
        <w:bidi w:val="0"/>
        <w:spacing w:after="191" w:afterLines="50" w:line="240" w:lineRule="auto"/>
        <w:rPr>
          <w:rFonts w:hint="eastAsia" w:ascii="宋体" w:hAnsi="宋体" w:eastAsia="宋体" w:cs="宋体"/>
          <w:color w:val="auto"/>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1招标代理服务费的计算方法：参照国家计委颁布《招标代理服务收费管理暂行办法》（计价格[2002]1980号）和国家发展和改革委员会办公厅颁发的《关于招标代理服务收费有关问题的通知》（发改办价格[2003]857号）文件规定执行，不足5000.00元，按5000.00元计取。</w:t>
      </w:r>
    </w:p>
    <w:p w14:paraId="529373B5">
      <w:pPr>
        <w:keepNext w:val="0"/>
        <w:keepLines w:val="0"/>
        <w:pageBreakBefore w:val="0"/>
        <w:kinsoku/>
        <w:wordWrap/>
        <w:overflowPunct/>
        <w:topLinePunct w:val="0"/>
        <w:autoSpaceDN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25.2</w:t>
      </w:r>
      <w:r>
        <w:rPr>
          <w:rFonts w:hint="eastAsia" w:ascii="宋体" w:hAnsi="宋体" w:eastAsia="宋体" w:cs="宋体"/>
          <w:color w:val="000000"/>
          <w:sz w:val="24"/>
          <w:szCs w:val="24"/>
        </w:rPr>
        <w:t>招标代理服务费按约定由成交人支付，成交单位在领取成交通知书前，须向采购代理机构支付成交服务费</w:t>
      </w:r>
    </w:p>
    <w:p w14:paraId="286D67B5">
      <w:pPr>
        <w:keepNext w:val="0"/>
        <w:keepLines w:val="0"/>
        <w:pageBreakBefore w:val="0"/>
        <w:kinsoku/>
        <w:wordWrap/>
        <w:overflowPunct/>
        <w:topLinePunct w:val="0"/>
        <w:bidi w:val="0"/>
        <w:spacing w:after="191" w:afterLines="50" w:line="24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    2</w:t>
      </w:r>
      <w:r>
        <w:rPr>
          <w:rFonts w:hint="eastAsia" w:ascii="宋体" w:hAnsi="宋体" w:eastAsia="宋体" w:cs="宋体"/>
          <w:b/>
          <w:color w:val="000000"/>
          <w:sz w:val="24"/>
          <w:szCs w:val="24"/>
          <w:lang w:val="en-US" w:eastAsia="zh-CN"/>
        </w:rPr>
        <w:t>6</w:t>
      </w:r>
      <w:r>
        <w:rPr>
          <w:rFonts w:hint="eastAsia" w:ascii="宋体" w:hAnsi="宋体" w:eastAsia="宋体" w:cs="宋体"/>
          <w:b/>
          <w:color w:val="000000"/>
          <w:sz w:val="24"/>
          <w:szCs w:val="24"/>
        </w:rPr>
        <w:t>．签订合同</w:t>
      </w:r>
    </w:p>
    <w:p w14:paraId="1D3B03C9">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rPr>
        <w:t>.1成交人应按《成交通知书》</w:t>
      </w:r>
      <w:r>
        <w:rPr>
          <w:rFonts w:hint="eastAsia" w:ascii="宋体" w:hAnsi="宋体" w:eastAsia="宋体" w:cs="宋体"/>
          <w:color w:val="000000"/>
          <w:sz w:val="24"/>
          <w:szCs w:val="24"/>
          <w:lang w:val="en-US" w:eastAsia="zh-CN"/>
        </w:rPr>
        <w:t>约定</w:t>
      </w:r>
      <w:r>
        <w:rPr>
          <w:rFonts w:hint="eastAsia" w:ascii="宋体" w:hAnsi="宋体" w:eastAsia="宋体" w:cs="宋体"/>
          <w:color w:val="000000"/>
          <w:sz w:val="24"/>
          <w:szCs w:val="24"/>
        </w:rPr>
        <w:t>的时间、地点与采购人签订合同。</w:t>
      </w:r>
    </w:p>
    <w:p w14:paraId="073362E2">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rPr>
        <w:t>.2 如果</w:t>
      </w:r>
      <w:r>
        <w:rPr>
          <w:rFonts w:hint="eastAsia" w:ascii="宋体" w:hAnsi="宋体" w:eastAsia="宋体" w:cs="宋体"/>
          <w:color w:val="auto"/>
          <w:sz w:val="24"/>
          <w:szCs w:val="24"/>
        </w:rPr>
        <w:t>成交人没有按照上述第</w:t>
      </w:r>
      <w:r>
        <w:rPr>
          <w:rFonts w:hint="eastAsia" w:ascii="宋体" w:hAnsi="宋体" w:eastAsia="宋体" w:cs="宋体"/>
          <w:color w:val="auto"/>
          <w:sz w:val="24"/>
          <w:szCs w:val="24"/>
          <w:lang w:val="en-US" w:eastAsia="zh-CN"/>
        </w:rPr>
        <w:t>25.1</w:t>
      </w:r>
      <w:r>
        <w:rPr>
          <w:rFonts w:hint="eastAsia" w:ascii="宋体" w:hAnsi="宋体" w:eastAsia="宋体" w:cs="宋体"/>
          <w:color w:val="auto"/>
          <w:sz w:val="24"/>
          <w:szCs w:val="24"/>
        </w:rPr>
        <w:t>条或第</w:t>
      </w:r>
      <w:r>
        <w:rPr>
          <w:rFonts w:hint="eastAsia" w:ascii="宋体" w:hAnsi="宋体" w:eastAsia="宋体" w:cs="宋体"/>
          <w:color w:val="auto"/>
          <w:sz w:val="24"/>
          <w:szCs w:val="24"/>
          <w:lang w:val="en-US" w:eastAsia="zh-CN"/>
        </w:rPr>
        <w:t>26.1</w:t>
      </w:r>
      <w:r>
        <w:rPr>
          <w:rFonts w:hint="eastAsia" w:ascii="宋体" w:hAnsi="宋体" w:eastAsia="宋体" w:cs="宋体"/>
          <w:color w:val="auto"/>
          <w:sz w:val="24"/>
          <w:szCs w:val="24"/>
        </w:rPr>
        <w:t>条规定执行，</w:t>
      </w:r>
      <w:r>
        <w:rPr>
          <w:rFonts w:hint="eastAsia" w:ascii="宋体" w:hAnsi="宋体" w:eastAsia="宋体" w:cs="宋体"/>
          <w:color w:val="000000"/>
          <w:sz w:val="24"/>
          <w:szCs w:val="24"/>
        </w:rPr>
        <w:t>招标采购单位将有充分理由取消该成交决定。在此情况下，招标采购单位可将合同授予综合得分排序名列下一个的供应商，或重新组织采购。</w:t>
      </w:r>
    </w:p>
    <w:p w14:paraId="23790FD4">
      <w:pPr>
        <w:keepNext w:val="0"/>
        <w:keepLines w:val="0"/>
        <w:pageBreakBefore w:val="0"/>
        <w:kinsoku/>
        <w:wordWrap/>
        <w:overflowPunct/>
        <w:topLinePunct w:val="0"/>
        <w:bidi w:val="0"/>
        <w:spacing w:after="191" w:afterLines="50" w:line="240" w:lineRule="auto"/>
        <w:ind w:firstLine="482" w:firstLineChars="200"/>
        <w:rPr>
          <w:rFonts w:hint="eastAsia" w:ascii="宋体" w:hAnsi="宋体" w:eastAsia="宋体" w:cs="宋体"/>
          <w:b/>
          <w:color w:val="auto"/>
          <w:sz w:val="24"/>
          <w:szCs w:val="24"/>
        </w:rPr>
      </w:pPr>
      <w:r>
        <w:rPr>
          <w:rFonts w:hint="eastAsia" w:ascii="宋体" w:hAnsi="宋体" w:eastAsia="宋体" w:cs="宋体"/>
          <w:b/>
          <w:bCs/>
          <w:color w:val="000000"/>
          <w:sz w:val="24"/>
          <w:szCs w:val="24"/>
          <w:lang w:val="en-US" w:eastAsia="zh-CN"/>
        </w:rPr>
        <w:t>27.</w:t>
      </w:r>
      <w:r>
        <w:rPr>
          <w:rFonts w:hint="eastAsia" w:ascii="宋体" w:hAnsi="宋体" w:eastAsia="宋体" w:cs="宋体"/>
          <w:b/>
          <w:color w:val="auto"/>
          <w:sz w:val="24"/>
          <w:szCs w:val="24"/>
        </w:rPr>
        <w:t>履约保证金：</w:t>
      </w:r>
    </w:p>
    <w:p w14:paraId="7AB3BD50">
      <w:pPr>
        <w:keepNext w:val="0"/>
        <w:keepLines w:val="0"/>
        <w:pageBreakBefore w:val="0"/>
        <w:widowControl w:val="0"/>
        <w:kinsoku/>
        <w:wordWrap/>
        <w:overflowPunct/>
        <w:topLinePunct w:val="0"/>
        <w:autoSpaceDE/>
        <w:autoSpaceDN/>
        <w:bidi w:val="0"/>
        <w:adjustRightInd/>
        <w:snapToGrid/>
        <w:spacing w:after="191" w:afterLines="50" w:line="24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☑不要求提供</w:t>
      </w:r>
    </w:p>
    <w:p w14:paraId="66B30B0F">
      <w:pPr>
        <w:pStyle w:val="50"/>
        <w:keepNext w:val="0"/>
        <w:keepLines w:val="0"/>
        <w:pageBreakBefore w:val="0"/>
        <w:widowControl w:val="0"/>
        <w:numPr>
          <w:ilvl w:val="0"/>
          <w:numId w:val="0"/>
        </w:numPr>
        <w:kinsoku/>
        <w:wordWrap/>
        <w:overflowPunct/>
        <w:topLinePunct w:val="0"/>
        <w:autoSpaceDE/>
        <w:autoSpaceDN/>
        <w:bidi w:val="0"/>
        <w:adjustRightInd/>
        <w:snapToGrid/>
        <w:spacing w:after="191" w:afterLines="50" w:line="24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□要求提供，金额为本采购项目履约保证金为合同金额的10%，提交方式为：</w:t>
      </w:r>
      <w:r>
        <w:rPr>
          <w:rFonts w:hint="eastAsia" w:ascii="宋体" w:hAnsi="宋体" w:eastAsia="宋体" w:cs="宋体"/>
          <w:color w:val="auto"/>
          <w:sz w:val="24"/>
          <w:szCs w:val="24"/>
        </w:rPr>
        <w:t>转账、电汇、担保机构保函</w:t>
      </w:r>
      <w:r>
        <w:rPr>
          <w:rFonts w:hint="eastAsia" w:ascii="宋体" w:hAnsi="宋体" w:eastAsia="宋体" w:cs="宋体"/>
          <w:color w:val="auto"/>
          <w:sz w:val="24"/>
          <w:szCs w:val="24"/>
          <w:lang w:eastAsia="zh-CN"/>
        </w:rPr>
        <w:t>。</w:t>
      </w:r>
    </w:p>
    <w:p w14:paraId="11688EB0">
      <w:pPr>
        <w:keepNext w:val="0"/>
        <w:keepLines w:val="0"/>
        <w:pageBreakBefore w:val="0"/>
        <w:kinsoku/>
        <w:wordWrap/>
        <w:overflowPunct/>
        <w:topLinePunct w:val="0"/>
        <w:bidi w:val="0"/>
        <w:spacing w:after="191" w:afterLines="50" w:line="240" w:lineRule="auto"/>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28</w:t>
      </w:r>
      <w:r>
        <w:rPr>
          <w:rFonts w:hint="eastAsia" w:ascii="宋体" w:hAnsi="宋体" w:eastAsia="宋体" w:cs="宋体"/>
          <w:b/>
          <w:color w:val="auto"/>
          <w:sz w:val="24"/>
          <w:szCs w:val="24"/>
        </w:rPr>
        <w:t>.质疑与质疑答复</w:t>
      </w:r>
    </w:p>
    <w:p w14:paraId="3EA7D81A">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28.1质疑提出与答复</w:t>
      </w:r>
    </w:p>
    <w:p w14:paraId="1F437C48">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供应商认为采购文件、采购过程、中标或者成交结果使自己的权益受到损害的，可以在知道或者应知其权益受到损害之日起7个工作日内，以书面形式向采购人、采购代理机构提出质疑。针对同一采购程序环节的质疑应在法定质疑期内一次性提出。属于采购程序问题的，向采购代理机构提出质疑；属于采购需求的（包括资质要求、技术指标、参数、评分办法等），应向采购人提出质疑；</w:t>
      </w:r>
    </w:p>
    <w:p w14:paraId="1CA58274">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（2）提出质疑的供应商应当是参与本项目采购活动的供应商。</w:t>
      </w:r>
    </w:p>
    <w:p w14:paraId="6271E6B4">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（3）潜在供应商已依法获取其可质疑的采购文件的，可以对该文件提出质疑。对采购文件提出质疑的，应当在获取采购文件（以供应商填写报名登记表的时间为准）起7个工作日内提出。</w:t>
      </w:r>
    </w:p>
    <w:p w14:paraId="06B4C8F2">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（4）供应商提出质疑应当提交质疑函和必要的证明材料，质疑函应包括下列内容：</w:t>
      </w:r>
    </w:p>
    <w:p w14:paraId="62999329">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①供应商的姓名或者名称、地址、邮编、联系人及联系电话；</w:t>
      </w:r>
    </w:p>
    <w:p w14:paraId="5AB8FCDC">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②质疑项目的名称、编号；</w:t>
      </w:r>
    </w:p>
    <w:p w14:paraId="61577646">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③具体、明确的质疑事项和与质疑事项相关的请求；</w:t>
      </w:r>
    </w:p>
    <w:p w14:paraId="2B60D66D">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④事实依据；</w:t>
      </w:r>
    </w:p>
    <w:p w14:paraId="356317D8">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⑤必要的法律依据；</w:t>
      </w:r>
    </w:p>
    <w:p w14:paraId="32892A82">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⑥提出质疑的日期。</w:t>
      </w:r>
    </w:p>
    <w:p w14:paraId="2C9673C5">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（5）供应商为自然人的，应当由本人签字；供应商为法人或者其他组织的，应当由法定代表人、主要负责人，或者其授权代表签字或者盖章并加盖公章。</w:t>
      </w:r>
    </w:p>
    <w:p w14:paraId="7054BC58">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0BD4D87C">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（7）采购人负责供应商质疑答复。采购人委托采购代理机构采购的，采购代理机构在委托授权范围内作出答复。</w:t>
      </w:r>
    </w:p>
    <w:p w14:paraId="29A9DE53">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（8）接收质疑函的方式和联系方式：</w:t>
      </w:r>
    </w:p>
    <w:p w14:paraId="35F7D1C4">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①接收质疑函的方式：书面递交质疑函纸质版（当面递交）或PDF格式扫描件（发至电子邮箱），业务受理时间为工作日的08:30至17:30。</w:t>
      </w:r>
    </w:p>
    <w:p w14:paraId="7EC49723">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②联系方式</w:t>
      </w:r>
    </w:p>
    <w:p w14:paraId="496F18E1">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采购人信息：安康市公安局汉滨分局</w:t>
      </w:r>
    </w:p>
    <w:p w14:paraId="17C010A8">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地址：安康市汉滨区五星街</w:t>
      </w:r>
    </w:p>
    <w:p w14:paraId="61008259">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采购代理机构：陕西中源项目管理有限公司</w:t>
      </w:r>
    </w:p>
    <w:p w14:paraId="49CAD597">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地址：安康市汉滨区木竹桥安置点1栋3楼中源公司</w:t>
      </w:r>
    </w:p>
    <w:p w14:paraId="24CE8F37">
      <w:pPr>
        <w:keepNext w:val="0"/>
        <w:keepLines w:val="0"/>
        <w:pageBreakBefore w:val="0"/>
        <w:kinsoku/>
        <w:wordWrap/>
        <w:overflowPunct/>
        <w:topLinePunct w:val="0"/>
        <w:bidi w:val="0"/>
        <w:spacing w:after="191" w:afterLines="50" w:line="240" w:lineRule="auto"/>
        <w:ind w:firstLine="480" w:firstLineChars="200"/>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联系方式：16609151911</w:t>
      </w:r>
    </w:p>
    <w:p w14:paraId="39782EA2">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邮箱：</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"mailto:3903651946@qq.com"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lang w:val="en-US" w:eastAsia="zh-CN"/>
        </w:rPr>
        <w:t>752171105</w:t>
      </w:r>
      <w:r>
        <w:rPr>
          <w:rFonts w:hint="eastAsia" w:ascii="宋体" w:hAnsi="宋体" w:eastAsia="宋体" w:cs="宋体"/>
          <w:color w:val="000000"/>
          <w:sz w:val="24"/>
          <w:szCs w:val="24"/>
          <w:lang w:eastAsia="zh-CN"/>
        </w:rPr>
        <w:t>@qq.com</w:t>
      </w:r>
      <w:r>
        <w:rPr>
          <w:rFonts w:hint="eastAsia" w:ascii="宋体" w:hAnsi="宋体" w:eastAsia="宋体" w:cs="宋体"/>
          <w:color w:val="000000"/>
          <w:sz w:val="24"/>
          <w:szCs w:val="24"/>
        </w:rPr>
        <w:fldChar w:fldCharType="end"/>
      </w:r>
    </w:p>
    <w:p w14:paraId="5EAA25FB">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28.2 投诉：</w:t>
      </w:r>
    </w:p>
    <w:p w14:paraId="0E538417">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（1）质疑供应商对采购人、采购代理机构的答复不满意，或者采购人、采购代理机构未在规定时间内作出答复的，可以在答复期满后15个工作日内向同级财政部门提起投诉。</w:t>
      </w:r>
    </w:p>
    <w:p w14:paraId="60D155B7">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（2）投诉人投诉时,应当提交投诉书和必要的证明材料，并按照被投诉采购人、采购代理机构（以下简称被投诉人）和与投诉事项有关的供应商数量提供投诉书的副本。投诉书应当包括下列内容：</w:t>
      </w:r>
    </w:p>
    <w:p w14:paraId="657929DE">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①投诉人和被投诉人的姓名或者名称、通讯地址、邮编、联系人及联系电话；</w:t>
      </w:r>
    </w:p>
    <w:p w14:paraId="5E05A56B">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②质疑和质疑答复情况说明及相关证明材料；</w:t>
      </w:r>
    </w:p>
    <w:p w14:paraId="73C6D579">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③具体、明确的投诉事项和与投诉事项相关的投诉请求；</w:t>
      </w:r>
    </w:p>
    <w:p w14:paraId="13562176">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④事实依据；</w:t>
      </w:r>
    </w:p>
    <w:p w14:paraId="0676CA9D">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⑤法律依据；</w:t>
      </w:r>
    </w:p>
    <w:p w14:paraId="349BABA4">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⑥提起投诉的日期。</w:t>
      </w:r>
    </w:p>
    <w:p w14:paraId="210B42E5">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（3）投诉人为自然人的，应当由本人签字；投诉人为法人或者其他组织的，应当由法定代表人、主要负责人，或者其授权代表签字或者盖章，并加盖公章。</w:t>
      </w:r>
    </w:p>
    <w:p w14:paraId="26C07E3F">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（4）投诉人提起投诉应当符合下列条件：</w:t>
      </w:r>
    </w:p>
    <w:p w14:paraId="66026469">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①提起投诉前已依法进行质疑；</w:t>
      </w:r>
    </w:p>
    <w:p w14:paraId="785BA4DC">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②投诉书内容符合《政府采购质疑和投诉办法》（财政部令第94号令）的规定；</w:t>
      </w:r>
    </w:p>
    <w:p w14:paraId="54E4E4E7">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③在投诉有效期限内提起投诉；</w:t>
      </w:r>
    </w:p>
    <w:p w14:paraId="5A0774B9">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④同一投诉事项未经财政部门投诉处理；</w:t>
      </w:r>
    </w:p>
    <w:p w14:paraId="6FC76C3B">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⑤财政部规定的其他条件。</w:t>
      </w:r>
    </w:p>
    <w:p w14:paraId="4444FFC0">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（5）供应商投诉的事项不得超出已质疑事项的范围，但基于质疑答复内容提出的投诉事项除外。</w:t>
      </w:r>
    </w:p>
    <w:p w14:paraId="09619E4D">
      <w:pPr>
        <w:keepNext w:val="0"/>
        <w:keepLines w:val="0"/>
        <w:pageBreakBefore w:val="0"/>
        <w:kinsoku/>
        <w:wordWrap/>
        <w:overflowPunct/>
        <w:topLinePunct w:val="0"/>
        <w:bidi w:val="0"/>
        <w:spacing w:after="191" w:afterLines="50" w:line="240" w:lineRule="auto"/>
        <w:ind w:firstLine="482" w:firstLineChars="20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2</w:t>
      </w:r>
      <w:r>
        <w:rPr>
          <w:rFonts w:hint="eastAsia" w:ascii="宋体" w:hAnsi="宋体" w:eastAsia="宋体" w:cs="宋体"/>
          <w:b/>
          <w:bCs/>
          <w:color w:val="000000"/>
          <w:sz w:val="24"/>
          <w:szCs w:val="24"/>
          <w:lang w:val="en-US" w:eastAsia="zh-CN"/>
        </w:rPr>
        <w:t>9</w:t>
      </w:r>
      <w:r>
        <w:rPr>
          <w:rFonts w:hint="eastAsia" w:ascii="宋体" w:hAnsi="宋体" w:eastAsia="宋体" w:cs="宋体"/>
          <w:b/>
          <w:bCs/>
          <w:color w:val="000000"/>
          <w:sz w:val="24"/>
          <w:szCs w:val="24"/>
        </w:rPr>
        <w:t>．其他</w:t>
      </w:r>
    </w:p>
    <w:p w14:paraId="289F25AB">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9</w:t>
      </w:r>
      <w:r>
        <w:rPr>
          <w:rFonts w:hint="eastAsia" w:ascii="宋体" w:hAnsi="宋体" w:eastAsia="宋体" w:cs="宋体"/>
          <w:color w:val="000000"/>
          <w:sz w:val="24"/>
          <w:szCs w:val="24"/>
        </w:rPr>
        <w:t xml:space="preserve">.1 </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时，当全部报价均超出预算限额或均低于公认的制作成本时，</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小组有权决定是否进行第三次报价或本次竞争性</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失败。若第三次报价仍超预算，采购单位又无力追加，</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小组可宣布本次竞争性</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失败。</w:t>
      </w:r>
    </w:p>
    <w:p w14:paraId="3ECA5B16">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9</w:t>
      </w:r>
      <w:r>
        <w:rPr>
          <w:rFonts w:hint="eastAsia" w:ascii="宋体" w:hAnsi="宋体" w:eastAsia="宋体" w:cs="宋体"/>
          <w:color w:val="000000"/>
          <w:sz w:val="24"/>
          <w:szCs w:val="24"/>
        </w:rPr>
        <w:t>.2</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响应文件递交截止时间结束后参加</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的供应商不足三家的，除采购任务取消情形外，采购代理机构应取得采购单位同意后，按照以下原则处理：</w:t>
      </w:r>
    </w:p>
    <w:p w14:paraId="5ABBFB3B">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（1）竞争性</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文件没有不合理条款、竞争性</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公告时间及程序符合规定的，同意继续进行竞争性</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或改用其它方式采购。</w:t>
      </w:r>
    </w:p>
    <w:p w14:paraId="2180405A">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（2）竞争性</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文件存在不合理条款的，</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程序不符合规定的，应按无效处理，并责成采购代理机构依法重新组织</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工作。</w:t>
      </w:r>
    </w:p>
    <w:p w14:paraId="145D7A10">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.3拒绝商业贿赂</w:t>
      </w:r>
    </w:p>
    <w:p w14:paraId="474BBD5F">
      <w:pPr>
        <w:keepNext w:val="0"/>
        <w:keepLines w:val="0"/>
        <w:pageBreakBefore w:val="0"/>
        <w:kinsoku/>
        <w:wordWrap/>
        <w:overflowPunct/>
        <w:topLinePunct w:val="0"/>
        <w:bidi w:val="0"/>
        <w:spacing w:after="191" w:afterLines="50" w:line="24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供应商必须填写一份《拒绝政府采购领域商业贿赂承诺书》（格式见第五章）编制在</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响应文件中，同时保证</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响应文件正、副本中都有且一致。</w:t>
      </w:r>
    </w:p>
    <w:p w14:paraId="257D6497">
      <w:pPr>
        <w:rPr>
          <w:rFonts w:hint="eastAsia" w:ascii="宋体" w:hAnsi="宋体" w:cs="宋体"/>
          <w:sz w:val="24"/>
        </w:rPr>
      </w:pPr>
      <w:r>
        <w:rPr>
          <w:rFonts w:hint="eastAsia" w:ascii="宋体" w:hAnsi="宋体" w:cs="宋体"/>
          <w:sz w:val="24"/>
        </w:rPr>
        <w:br w:type="page"/>
      </w:r>
    </w:p>
    <w:p w14:paraId="4F1834E3">
      <w:pPr>
        <w:pStyle w:val="2"/>
        <w:keepNext/>
        <w:keepLines/>
        <w:pageBreakBefore w:val="0"/>
        <w:widowControl w:val="0"/>
        <w:numPr>
          <w:ilvl w:val="0"/>
          <w:numId w:val="0"/>
        </w:numPr>
        <w:kinsoku/>
        <w:wordWrap/>
        <w:overflowPunct/>
        <w:topLinePunct w:val="0"/>
        <w:autoSpaceDE/>
        <w:autoSpaceDN/>
        <w:bidi w:val="0"/>
        <w:adjustRightInd/>
        <w:snapToGrid/>
        <w:spacing w:before="0" w:beforeLines="0" w:after="0" w:afterLines="0" w:line="360" w:lineRule="auto"/>
        <w:textAlignment w:val="auto"/>
        <w:rPr>
          <w:rFonts w:hint="eastAsia" w:ascii="宋体" w:hAnsi="宋体" w:cs="宋体"/>
          <w:bCs w:val="0"/>
          <w:szCs w:val="32"/>
        </w:rPr>
      </w:pPr>
      <w:bookmarkStart w:id="114" w:name="_Toc24929"/>
      <w:r>
        <w:rPr>
          <w:rFonts w:hint="eastAsia" w:ascii="宋体" w:hAnsi="宋体" w:eastAsia="宋体" w:cs="宋体"/>
          <w:b/>
          <w:bCs w:val="0"/>
          <w:kern w:val="44"/>
          <w:sz w:val="32"/>
          <w:szCs w:val="32"/>
          <w:lang w:val="en-US" w:eastAsia="zh-CN" w:bidi="ar-SA"/>
        </w:rPr>
        <w:t>第四章</w:t>
      </w:r>
      <w:r>
        <w:rPr>
          <w:rFonts w:hint="eastAsia" w:ascii="宋体" w:hAnsi="宋体" w:cs="宋体"/>
          <w:bCs w:val="0"/>
          <w:szCs w:val="32"/>
        </w:rPr>
        <w:t xml:space="preserve"> </w:t>
      </w:r>
      <w:bookmarkStart w:id="115" w:name="_Toc20101"/>
      <w:r>
        <w:rPr>
          <w:rFonts w:hint="eastAsia" w:ascii="宋体" w:hAnsi="宋体" w:cs="宋体"/>
          <w:bCs w:val="0"/>
          <w:szCs w:val="32"/>
          <w:lang w:eastAsia="zh-CN"/>
        </w:rPr>
        <w:t>采购需求</w:t>
      </w:r>
      <w:bookmarkEnd w:id="115"/>
    </w:p>
    <w:p w14:paraId="681CF2F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right="0" w:firstLine="482" w:firstLineChars="200"/>
        <w:jc w:val="left"/>
        <w:textAlignment w:val="auto"/>
        <w:rPr>
          <w:rFonts w:hint="eastAsia" w:ascii="宋体" w:hAnsi="宋体" w:eastAsia="宋体" w:cs="宋体"/>
          <w:b/>
          <w:bCs/>
          <w:color w:val="000000"/>
          <w:sz w:val="24"/>
          <w:szCs w:val="24"/>
        </w:rPr>
      </w:pPr>
      <w:bookmarkStart w:id="116" w:name="_Toc20959"/>
      <w:r>
        <w:rPr>
          <w:rFonts w:hint="eastAsia" w:ascii="宋体" w:hAnsi="宋体" w:eastAsia="宋体" w:cs="宋体"/>
          <w:b/>
          <w:bCs/>
          <w:color w:val="000000"/>
          <w:sz w:val="24"/>
          <w:szCs w:val="24"/>
        </w:rPr>
        <w:t>一、项目概况</w:t>
      </w:r>
    </w:p>
    <w:p w14:paraId="7EAA5FC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right="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kern w:val="0"/>
          <w:sz w:val="24"/>
          <w:szCs w:val="24"/>
          <w:lang w:val="en-US" w:eastAsia="zh-CN" w:bidi="ar"/>
        </w:rPr>
        <w:t>本项目为安康市公安局汉滨分局 81 条天眼视频监控线路采购服务，属于治安防控体系建设重要组成部分，通过租赁运营商传输线路，构建</w:t>
      </w:r>
      <w:r>
        <w:rPr>
          <w:rStyle w:val="29"/>
          <w:rFonts w:hint="eastAsia" w:ascii="宋体" w:hAnsi="宋体" w:eastAsia="宋体" w:cs="宋体"/>
          <w:b w:val="0"/>
          <w:bCs w:val="0"/>
          <w:color w:val="000000"/>
          <w:kern w:val="0"/>
          <w:sz w:val="24"/>
          <w:szCs w:val="24"/>
          <w:lang w:val="en-US" w:eastAsia="zh-CN" w:bidi="ar"/>
        </w:rPr>
        <w:t>点全监控、线无缝隙、环可封闭、网可控制、面全覆盖</w:t>
      </w:r>
      <w:r>
        <w:rPr>
          <w:rFonts w:hint="eastAsia" w:ascii="宋体" w:hAnsi="宋体" w:eastAsia="宋体" w:cs="宋体"/>
          <w:b w:val="0"/>
          <w:bCs w:val="0"/>
          <w:color w:val="000000"/>
          <w:kern w:val="0"/>
          <w:sz w:val="24"/>
          <w:szCs w:val="24"/>
          <w:lang w:val="en-US" w:eastAsia="zh-CN" w:bidi="ar"/>
        </w:rPr>
        <w:t>的前端治安防控体系，服务期限 1 年，项目年度服务费预算 22 万元。</w:t>
      </w:r>
    </w:p>
    <w:p w14:paraId="237C620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right="0" w:firstLine="482" w:firstLineChars="200"/>
        <w:jc w:val="left"/>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二、采购服务内容及技术参数要求</w:t>
      </w:r>
    </w:p>
    <w:p w14:paraId="75E5AB6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191" w:afterLines="50" w:afterAutospacing="0" w:line="240" w:lineRule="auto"/>
        <w:ind w:left="0" w:right="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（一）线路整体构成</w:t>
      </w:r>
    </w:p>
    <w:p w14:paraId="052E1F3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leftChars="0" w:right="0" w:rightChars="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kern w:val="2"/>
          <w:sz w:val="24"/>
          <w:szCs w:val="24"/>
          <w:lang w:val="en-US" w:eastAsia="zh-CN" w:bidi="ar-SA"/>
        </w:rPr>
        <w:t>1.</w:t>
      </w:r>
      <w:r>
        <w:rPr>
          <w:rFonts w:hint="eastAsia" w:ascii="宋体" w:hAnsi="宋体" w:eastAsia="宋体" w:cs="宋体"/>
          <w:b w:val="0"/>
          <w:bCs w:val="0"/>
          <w:color w:val="000000"/>
          <w:sz w:val="24"/>
          <w:szCs w:val="24"/>
        </w:rPr>
        <w:t>提供 81 条天眼视频监控线路，包含</w:t>
      </w:r>
      <w:r>
        <w:rPr>
          <w:rStyle w:val="29"/>
          <w:rFonts w:hint="eastAsia" w:ascii="宋体" w:hAnsi="宋体" w:eastAsia="宋体" w:cs="宋体"/>
          <w:b w:val="0"/>
          <w:bCs w:val="0"/>
          <w:color w:val="000000"/>
          <w:sz w:val="24"/>
          <w:szCs w:val="24"/>
        </w:rPr>
        <w:t>点对点双芯双备裸光纤传输电路</w:t>
      </w:r>
      <w:r>
        <w:rPr>
          <w:rFonts w:hint="eastAsia" w:ascii="宋体" w:hAnsi="宋体" w:eastAsia="宋体" w:cs="宋体"/>
          <w:b w:val="0"/>
          <w:bCs w:val="0"/>
          <w:color w:val="000000"/>
          <w:sz w:val="24"/>
          <w:szCs w:val="24"/>
        </w:rPr>
        <w:t>、线路两端光点设备、设备外网线全套配套资源。</w:t>
      </w:r>
    </w:p>
    <w:p w14:paraId="1930CEA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leftChars="0" w:right="0" w:rightChars="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kern w:val="2"/>
          <w:sz w:val="24"/>
          <w:szCs w:val="24"/>
          <w:lang w:val="en-US" w:eastAsia="zh-CN" w:bidi="ar-SA"/>
        </w:rPr>
        <w:t>2.</w:t>
      </w:r>
      <w:r>
        <w:rPr>
          <w:rFonts w:hint="eastAsia" w:ascii="宋体" w:hAnsi="宋体" w:eastAsia="宋体" w:cs="宋体"/>
          <w:b w:val="0"/>
          <w:bCs w:val="0"/>
          <w:color w:val="000000"/>
          <w:sz w:val="24"/>
          <w:szCs w:val="24"/>
        </w:rPr>
        <w:t>负责骨干层、接入层至甲方终端设备的全程网络集成组网，</w:t>
      </w:r>
      <w:r>
        <w:rPr>
          <w:rStyle w:val="29"/>
          <w:rFonts w:hint="eastAsia" w:ascii="宋体" w:hAnsi="宋体" w:eastAsia="宋体" w:cs="宋体"/>
          <w:b w:val="0"/>
          <w:bCs w:val="0"/>
          <w:color w:val="000000"/>
          <w:sz w:val="24"/>
          <w:szCs w:val="24"/>
        </w:rPr>
        <w:t>组网链路严禁经过乙方任何交换设备</w:t>
      </w:r>
      <w:r>
        <w:rPr>
          <w:rFonts w:hint="eastAsia" w:ascii="宋体" w:hAnsi="宋体" w:eastAsia="宋体" w:cs="宋体"/>
          <w:b w:val="0"/>
          <w:bCs w:val="0"/>
          <w:color w:val="000000"/>
          <w:sz w:val="24"/>
          <w:szCs w:val="24"/>
        </w:rPr>
        <w:t>，端到端直达传输。</w:t>
      </w:r>
    </w:p>
    <w:p w14:paraId="221D00D0">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leftChars="0" w:right="0" w:rightChars="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kern w:val="2"/>
          <w:sz w:val="24"/>
          <w:szCs w:val="24"/>
          <w:lang w:val="en-US" w:eastAsia="zh-CN" w:bidi="ar-SA"/>
        </w:rPr>
        <w:t>3.</w:t>
      </w:r>
      <w:r>
        <w:rPr>
          <w:rFonts w:hint="eastAsia" w:ascii="宋体" w:hAnsi="宋体" w:eastAsia="宋体" w:cs="宋体"/>
          <w:b w:val="0"/>
          <w:bCs w:val="0"/>
          <w:color w:val="000000"/>
          <w:sz w:val="24"/>
          <w:szCs w:val="24"/>
        </w:rPr>
        <w:t>提供一站式专属服务，所有线路业务办理、故障报修、业务变更等均可实现一点受理、全程办结。</w:t>
      </w:r>
    </w:p>
    <w:p w14:paraId="7BB555C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191" w:afterLines="50" w:afterAutospacing="0" w:line="240" w:lineRule="auto"/>
        <w:ind w:left="0" w:right="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（二）网络带宽及运行速率要求</w:t>
      </w:r>
    </w:p>
    <w:p w14:paraId="6F74BB03">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leftChars="0" w:right="0" w:rightChars="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kern w:val="2"/>
          <w:sz w:val="24"/>
          <w:szCs w:val="24"/>
          <w:lang w:val="en-US" w:eastAsia="zh-CN" w:bidi="ar-SA"/>
        </w:rPr>
        <w:t>1.</w:t>
      </w:r>
      <w:r>
        <w:rPr>
          <w:rFonts w:hint="eastAsia" w:ascii="宋体" w:hAnsi="宋体" w:eastAsia="宋体" w:cs="宋体"/>
          <w:b w:val="0"/>
          <w:bCs w:val="0"/>
          <w:color w:val="000000"/>
          <w:sz w:val="24"/>
          <w:szCs w:val="24"/>
        </w:rPr>
        <w:t>线路运行</w:t>
      </w:r>
      <w:r>
        <w:rPr>
          <w:rStyle w:val="29"/>
          <w:rFonts w:hint="eastAsia" w:ascii="宋体" w:hAnsi="宋体" w:eastAsia="宋体" w:cs="宋体"/>
          <w:b w:val="0"/>
          <w:bCs w:val="0"/>
          <w:color w:val="000000"/>
          <w:sz w:val="24"/>
          <w:szCs w:val="24"/>
        </w:rPr>
        <w:t>固定速率必须达到 20M</w:t>
      </w:r>
      <w:r>
        <w:rPr>
          <w:rFonts w:hint="eastAsia" w:ascii="宋体" w:hAnsi="宋体" w:eastAsia="宋体" w:cs="宋体"/>
          <w:b w:val="0"/>
          <w:bCs w:val="0"/>
          <w:color w:val="000000"/>
          <w:sz w:val="24"/>
          <w:szCs w:val="24"/>
        </w:rPr>
        <w:t>标准。</w:t>
      </w:r>
    </w:p>
    <w:p w14:paraId="03052B88">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leftChars="0" w:right="0" w:rightChars="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kern w:val="2"/>
          <w:sz w:val="24"/>
          <w:szCs w:val="24"/>
          <w:lang w:val="en-US" w:eastAsia="zh-CN" w:bidi="ar-SA"/>
        </w:rPr>
        <w:t>2.</w:t>
      </w:r>
      <w:r>
        <w:rPr>
          <w:rFonts w:hint="eastAsia" w:ascii="宋体" w:hAnsi="宋体" w:eastAsia="宋体" w:cs="宋体"/>
          <w:b w:val="0"/>
          <w:bCs w:val="0"/>
          <w:color w:val="000000"/>
          <w:sz w:val="24"/>
          <w:szCs w:val="24"/>
        </w:rPr>
        <w:t>网络实际速率依据骨干带宽、接入带宽及平台出口带宽核定，</w:t>
      </w:r>
      <w:r>
        <w:rPr>
          <w:rStyle w:val="29"/>
          <w:rFonts w:hint="eastAsia" w:ascii="宋体" w:hAnsi="宋体" w:eastAsia="宋体" w:cs="宋体"/>
          <w:b w:val="0"/>
          <w:bCs w:val="0"/>
          <w:color w:val="000000"/>
          <w:sz w:val="24"/>
          <w:szCs w:val="24"/>
        </w:rPr>
        <w:t>达到承诺最高速率的时间段及时间比例不低于 90%</w:t>
      </w:r>
      <w:r>
        <w:rPr>
          <w:rFonts w:hint="eastAsia" w:ascii="宋体" w:hAnsi="宋体" w:eastAsia="宋体" w:cs="宋体"/>
          <w:b w:val="0"/>
          <w:bCs w:val="0"/>
          <w:color w:val="000000"/>
          <w:sz w:val="24"/>
          <w:szCs w:val="24"/>
        </w:rPr>
        <w:t>。</w:t>
      </w:r>
    </w:p>
    <w:p w14:paraId="6CC851D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right="0" w:firstLine="482" w:firstLineChars="200"/>
        <w:jc w:val="left"/>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三、服务开通要求</w:t>
      </w:r>
    </w:p>
    <w:p w14:paraId="659E1FFD">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leftChars="0" w:right="0" w:rightChars="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kern w:val="2"/>
          <w:sz w:val="24"/>
          <w:szCs w:val="24"/>
          <w:lang w:val="en-US" w:eastAsia="zh-CN" w:bidi="ar-SA"/>
        </w:rPr>
        <w:t>1.</w:t>
      </w:r>
      <w:r>
        <w:rPr>
          <w:rFonts w:hint="eastAsia" w:ascii="宋体" w:hAnsi="宋体" w:eastAsia="宋体" w:cs="宋体"/>
          <w:b w:val="0"/>
          <w:bCs w:val="0"/>
          <w:color w:val="000000"/>
          <w:sz w:val="24"/>
          <w:szCs w:val="24"/>
        </w:rPr>
        <w:t>供应商在项目资源具备、采购方完成业务受理手续及费用缴纳后，在约定工作日内完成电路开通部署。</w:t>
      </w:r>
    </w:p>
    <w:p w14:paraId="4A21BFF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leftChars="0" w:right="0" w:rightChars="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kern w:val="2"/>
          <w:sz w:val="24"/>
          <w:szCs w:val="24"/>
          <w:lang w:val="en-US" w:eastAsia="zh-CN" w:bidi="ar-SA"/>
        </w:rPr>
        <w:t>2.</w:t>
      </w:r>
      <w:r>
        <w:rPr>
          <w:rFonts w:hint="eastAsia" w:ascii="宋体" w:hAnsi="宋体" w:eastAsia="宋体" w:cs="宋体"/>
          <w:b w:val="0"/>
          <w:bCs w:val="0"/>
          <w:color w:val="000000"/>
          <w:sz w:val="24"/>
          <w:szCs w:val="24"/>
        </w:rPr>
        <w:t>因供应商端口、线路资源不足导致无法按时开通的，需主动协调资源加急完成开通，不得无故拖延。</w:t>
      </w:r>
    </w:p>
    <w:p w14:paraId="15FC7ECF">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leftChars="0" w:right="0" w:rightChars="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kern w:val="2"/>
          <w:sz w:val="24"/>
          <w:szCs w:val="24"/>
          <w:lang w:val="en-US" w:eastAsia="zh-CN" w:bidi="ar-SA"/>
        </w:rPr>
        <w:t>3.</w:t>
      </w:r>
      <w:r>
        <w:rPr>
          <w:rFonts w:hint="eastAsia" w:ascii="宋体" w:hAnsi="宋体" w:eastAsia="宋体" w:cs="宋体"/>
          <w:b w:val="0"/>
          <w:bCs w:val="0"/>
          <w:color w:val="000000"/>
          <w:sz w:val="24"/>
          <w:szCs w:val="24"/>
        </w:rPr>
        <w:t>电路开通以双方商定接口点外侧全程测通为标准，以最晚一端开通时间为准；供应商不负责采购方客户端自有网络设备调测。</w:t>
      </w:r>
    </w:p>
    <w:p w14:paraId="37BA8EA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leftChars="0" w:right="0" w:rightChars="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kern w:val="2"/>
          <w:sz w:val="24"/>
          <w:szCs w:val="24"/>
          <w:lang w:val="en-US" w:eastAsia="zh-CN" w:bidi="ar-SA"/>
        </w:rPr>
        <w:t>4.</w:t>
      </w:r>
      <w:r>
        <w:rPr>
          <w:rFonts w:hint="eastAsia" w:ascii="宋体" w:hAnsi="宋体" w:eastAsia="宋体" w:cs="宋体"/>
          <w:b w:val="0"/>
          <w:bCs w:val="0"/>
          <w:color w:val="000000"/>
          <w:sz w:val="24"/>
          <w:szCs w:val="24"/>
        </w:rPr>
        <w:t>线路开通完成后，供应商需出具业务竣工单，采购方 5 个工作日内完成验收确认，以双方签字盖章日期作为实际开通起始日期，并自此按年度计收服务费用。</w:t>
      </w:r>
    </w:p>
    <w:p w14:paraId="6AA4552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right="0" w:firstLine="482" w:firstLineChars="200"/>
        <w:jc w:val="left"/>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四、双方权责要求</w:t>
      </w:r>
    </w:p>
    <w:p w14:paraId="7E23D65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191" w:afterLines="50" w:afterAutospacing="0" w:line="240" w:lineRule="auto"/>
        <w:ind w:left="0" w:right="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（一）采购方权利义务</w:t>
      </w:r>
    </w:p>
    <w:p w14:paraId="7873D05F">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leftChars="0" w:right="0" w:rightChars="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kern w:val="2"/>
          <w:sz w:val="24"/>
          <w:szCs w:val="24"/>
          <w:lang w:val="en-US" w:eastAsia="zh-CN" w:bidi="ar-SA"/>
        </w:rPr>
        <w:t>1.</w:t>
      </w:r>
      <w:r>
        <w:rPr>
          <w:rFonts w:hint="eastAsia" w:ascii="宋体" w:hAnsi="宋体" w:eastAsia="宋体" w:cs="宋体"/>
          <w:b w:val="0"/>
          <w:bCs w:val="0"/>
          <w:color w:val="000000"/>
          <w:sz w:val="24"/>
          <w:szCs w:val="24"/>
        </w:rPr>
        <w:t>享受集团客户一站式专属服务，线路使用、故障问题可就近向供应商及项目负责人随时申告，实行就近申告、首问负责机制。</w:t>
      </w:r>
    </w:p>
    <w:p w14:paraId="5782E8A8">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leftChars="0" w:right="0" w:rightChars="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kern w:val="2"/>
          <w:sz w:val="24"/>
          <w:szCs w:val="24"/>
          <w:lang w:val="en-US" w:eastAsia="zh-CN" w:bidi="ar-SA"/>
        </w:rPr>
        <w:t>2.</w:t>
      </w:r>
      <w:r>
        <w:rPr>
          <w:rFonts w:hint="eastAsia" w:ascii="宋体" w:hAnsi="宋体" w:eastAsia="宋体" w:cs="宋体"/>
          <w:b w:val="0"/>
          <w:bCs w:val="0"/>
          <w:color w:val="000000"/>
          <w:sz w:val="24"/>
          <w:szCs w:val="24"/>
        </w:rPr>
        <w:t>按法律法规及合同约定合规使用线路服务，不得擅自转借第三方、不得超用途使用。</w:t>
      </w:r>
    </w:p>
    <w:p w14:paraId="4183727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leftChars="0" w:right="0" w:rightChars="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kern w:val="2"/>
          <w:sz w:val="24"/>
          <w:szCs w:val="24"/>
          <w:lang w:val="en-US" w:eastAsia="zh-CN" w:bidi="ar-SA"/>
        </w:rPr>
        <w:t>3.</w:t>
      </w:r>
      <w:r>
        <w:rPr>
          <w:rFonts w:hint="eastAsia" w:ascii="宋体" w:hAnsi="宋体" w:eastAsia="宋体" w:cs="宋体"/>
          <w:b w:val="0"/>
          <w:bCs w:val="0"/>
          <w:color w:val="000000"/>
          <w:sz w:val="24"/>
          <w:szCs w:val="24"/>
        </w:rPr>
        <w:t>接入通信设备需符合国家质量标准，具备正规进网许可证；按时足额缴纳线路服务相关费用。</w:t>
      </w:r>
    </w:p>
    <w:p w14:paraId="56ADE07A">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leftChars="0" w:right="0" w:rightChars="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kern w:val="2"/>
          <w:sz w:val="24"/>
          <w:szCs w:val="24"/>
          <w:lang w:val="en-US" w:eastAsia="zh-CN" w:bidi="ar-SA"/>
        </w:rPr>
        <w:t>4.</w:t>
      </w:r>
      <w:r>
        <w:rPr>
          <w:rFonts w:hint="eastAsia" w:ascii="宋体" w:hAnsi="宋体" w:eastAsia="宋体" w:cs="宋体"/>
          <w:b w:val="0"/>
          <w:bCs w:val="0"/>
          <w:color w:val="000000"/>
          <w:sz w:val="24"/>
          <w:szCs w:val="24"/>
        </w:rPr>
        <w:t>以书面形式提供线路类型、走向、速率、数量、接入点位、开通时间、联系人等详细需求信息；无偿提供机房场地，协调物业配合线路进场施工、安装调测，并承担相关协调费用。</w:t>
      </w:r>
    </w:p>
    <w:p w14:paraId="4E65CB68">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leftChars="0" w:right="0" w:rightChars="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kern w:val="2"/>
          <w:sz w:val="24"/>
          <w:szCs w:val="24"/>
          <w:lang w:val="en-US" w:eastAsia="zh-CN" w:bidi="ar-SA"/>
        </w:rPr>
        <w:t>5.</w:t>
      </w:r>
      <w:r>
        <w:rPr>
          <w:rFonts w:hint="eastAsia" w:ascii="宋体" w:hAnsi="宋体" w:eastAsia="宋体" w:cs="宋体"/>
          <w:b w:val="0"/>
          <w:bCs w:val="0"/>
          <w:color w:val="000000"/>
          <w:sz w:val="24"/>
          <w:szCs w:val="24"/>
        </w:rPr>
        <w:t>负责机房设备侧线路及自有设备的维护管理，对租赁线路承担保管责任，因我方人为损坏需按价赔偿。</w:t>
      </w:r>
    </w:p>
    <w:p w14:paraId="14C6341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191" w:afterLines="50" w:afterAutospacing="0" w:line="240" w:lineRule="auto"/>
        <w:ind w:left="0" w:right="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（二）供应商权利义务</w:t>
      </w:r>
    </w:p>
    <w:p w14:paraId="5E8E49EE">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leftChars="0" w:right="0" w:rightChars="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kern w:val="2"/>
          <w:sz w:val="24"/>
          <w:szCs w:val="24"/>
          <w:lang w:val="en-US" w:eastAsia="zh-CN" w:bidi="ar-SA"/>
        </w:rPr>
        <w:t>1.</w:t>
      </w:r>
      <w:r>
        <w:rPr>
          <w:rFonts w:hint="eastAsia" w:ascii="宋体" w:hAnsi="宋体" w:eastAsia="宋体" w:cs="宋体"/>
          <w:b w:val="0"/>
          <w:bCs w:val="0"/>
          <w:color w:val="000000"/>
          <w:sz w:val="24"/>
          <w:szCs w:val="24"/>
        </w:rPr>
        <w:t>视为采购方集团大客户，提供端到端信息咨询、组网方案建议、业务运维等综合性服务。</w:t>
      </w:r>
    </w:p>
    <w:p w14:paraId="38B9FD3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leftChars="0" w:right="0" w:rightChars="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kern w:val="2"/>
          <w:sz w:val="24"/>
          <w:szCs w:val="24"/>
          <w:lang w:val="en-US" w:eastAsia="zh-CN" w:bidi="ar-SA"/>
        </w:rPr>
        <w:t>2.</w:t>
      </w:r>
      <w:r>
        <w:rPr>
          <w:rFonts w:hint="eastAsia" w:ascii="宋体" w:hAnsi="宋体" w:eastAsia="宋体" w:cs="宋体"/>
          <w:b w:val="0"/>
          <w:bCs w:val="0"/>
          <w:color w:val="000000"/>
          <w:sz w:val="24"/>
          <w:szCs w:val="24"/>
        </w:rPr>
        <w:t>严格按照采购方需求按时完成线路规划、部署、开通及调试服务。</w:t>
      </w:r>
    </w:p>
    <w:p w14:paraId="5E049A72">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leftChars="0" w:right="0" w:rightChars="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kern w:val="2"/>
          <w:sz w:val="24"/>
          <w:szCs w:val="24"/>
          <w:lang w:val="en-US" w:eastAsia="zh-CN" w:bidi="ar-SA"/>
        </w:rPr>
        <w:t>3.</w:t>
      </w:r>
      <w:r>
        <w:rPr>
          <w:rFonts w:hint="eastAsia" w:ascii="宋体" w:hAnsi="宋体" w:eastAsia="宋体" w:cs="宋体"/>
          <w:b w:val="0"/>
          <w:bCs w:val="0"/>
          <w:color w:val="000000"/>
          <w:sz w:val="24"/>
          <w:szCs w:val="24"/>
        </w:rPr>
        <w:t>按照国家电信服务规范及行业标准提供线路日常维护、故障抢修服务，保障线路 7×24 小时通信畅通；故障受理执行</w:t>
      </w:r>
      <w:r>
        <w:rPr>
          <w:rStyle w:val="29"/>
          <w:rFonts w:hint="eastAsia" w:ascii="宋体" w:hAnsi="宋体" w:eastAsia="宋体" w:cs="宋体"/>
          <w:b w:val="0"/>
          <w:bCs w:val="0"/>
          <w:color w:val="000000"/>
          <w:sz w:val="24"/>
          <w:szCs w:val="24"/>
        </w:rPr>
        <w:t>首问负责制</w:t>
      </w:r>
      <w:r>
        <w:rPr>
          <w:rFonts w:hint="eastAsia" w:ascii="宋体" w:hAnsi="宋体" w:eastAsia="宋体" w:cs="宋体"/>
          <w:b w:val="0"/>
          <w:bCs w:val="0"/>
          <w:color w:val="000000"/>
          <w:sz w:val="24"/>
          <w:szCs w:val="24"/>
        </w:rPr>
        <w:t>，及时响应、快速处置。</w:t>
      </w:r>
    </w:p>
    <w:p w14:paraId="5E60C06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leftChars="0" w:right="0" w:rightChars="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kern w:val="2"/>
          <w:sz w:val="24"/>
          <w:szCs w:val="24"/>
          <w:lang w:val="en-US" w:eastAsia="zh-CN" w:bidi="ar-SA"/>
        </w:rPr>
        <w:t>4.</w:t>
      </w:r>
      <w:r>
        <w:rPr>
          <w:rFonts w:hint="eastAsia" w:ascii="宋体" w:hAnsi="宋体" w:eastAsia="宋体" w:cs="宋体"/>
          <w:b w:val="0"/>
          <w:bCs w:val="0"/>
          <w:color w:val="000000"/>
          <w:sz w:val="24"/>
          <w:szCs w:val="24"/>
        </w:rPr>
        <w:t>维护责任界面以采购方机房设备为界，</w:t>
      </w:r>
      <w:r>
        <w:rPr>
          <w:rStyle w:val="29"/>
          <w:rFonts w:hint="eastAsia" w:ascii="宋体" w:hAnsi="宋体" w:eastAsia="宋体" w:cs="宋体"/>
          <w:b w:val="0"/>
          <w:bCs w:val="0"/>
          <w:color w:val="000000"/>
          <w:sz w:val="24"/>
          <w:szCs w:val="24"/>
        </w:rPr>
        <w:t>设备以外线路侧全部由供应商负责维护管理</w:t>
      </w:r>
      <w:r>
        <w:rPr>
          <w:rFonts w:hint="eastAsia" w:ascii="宋体" w:hAnsi="宋体" w:eastAsia="宋体" w:cs="宋体"/>
          <w:b w:val="0"/>
          <w:bCs w:val="0"/>
          <w:color w:val="000000"/>
          <w:sz w:val="24"/>
          <w:szCs w:val="24"/>
        </w:rPr>
        <w:t>，设备侧由采购方负责。</w:t>
      </w:r>
    </w:p>
    <w:p w14:paraId="61B36BB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leftChars="0" w:right="0" w:rightChars="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kern w:val="2"/>
          <w:sz w:val="24"/>
          <w:szCs w:val="24"/>
          <w:lang w:val="en-US" w:eastAsia="zh-CN" w:bidi="ar-SA"/>
        </w:rPr>
        <w:t>5.</w:t>
      </w:r>
      <w:r>
        <w:rPr>
          <w:rFonts w:hint="eastAsia" w:ascii="宋体" w:hAnsi="宋体" w:eastAsia="宋体" w:cs="宋体"/>
          <w:b w:val="0"/>
          <w:bCs w:val="0"/>
          <w:color w:val="000000"/>
          <w:sz w:val="24"/>
          <w:szCs w:val="24"/>
        </w:rPr>
        <w:t>因网络割接、系统维护、政策调整、国防及政府指令等需变更服务的，须提前书面告知采购方；施工、维护影响业务使用时，尽快恢复线路正常运行。</w:t>
      </w:r>
    </w:p>
    <w:p w14:paraId="37725E6E">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leftChars="0" w:right="0" w:rightChars="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kern w:val="2"/>
          <w:sz w:val="24"/>
          <w:szCs w:val="24"/>
          <w:lang w:val="en-US" w:eastAsia="zh-CN" w:bidi="ar-SA"/>
        </w:rPr>
        <w:t>6.</w:t>
      </w:r>
      <w:r>
        <w:rPr>
          <w:rFonts w:hint="eastAsia" w:ascii="宋体" w:hAnsi="宋体" w:eastAsia="宋体" w:cs="宋体"/>
          <w:b w:val="0"/>
          <w:bCs w:val="0"/>
          <w:color w:val="000000"/>
          <w:sz w:val="24"/>
          <w:szCs w:val="24"/>
        </w:rPr>
        <w:t>本项目所投资铺设的电路、配套设备所有权归供应商所有。</w:t>
      </w:r>
    </w:p>
    <w:p w14:paraId="3DE8C5B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right="0" w:firstLine="482" w:firstLineChars="200"/>
        <w:jc w:val="left"/>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五、服务质量与故障处理要求</w:t>
      </w:r>
    </w:p>
    <w:p w14:paraId="348A153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leftChars="0" w:right="0" w:rightChars="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kern w:val="2"/>
          <w:sz w:val="24"/>
          <w:szCs w:val="24"/>
          <w:lang w:val="en-US" w:eastAsia="zh-CN" w:bidi="ar-SA"/>
        </w:rPr>
        <w:t>1.</w:t>
      </w:r>
      <w:r>
        <w:rPr>
          <w:rFonts w:hint="eastAsia" w:ascii="宋体" w:hAnsi="宋体" w:eastAsia="宋体" w:cs="宋体"/>
          <w:b w:val="0"/>
          <w:bCs w:val="0"/>
          <w:color w:val="000000"/>
          <w:sz w:val="24"/>
          <w:szCs w:val="24"/>
        </w:rPr>
        <w:t>严格遵守《中华人民共和国电信条例》等法律法规，按国家电信服务标准保障线路稳定畅通。</w:t>
      </w:r>
    </w:p>
    <w:p w14:paraId="52787589">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leftChars="0" w:right="0" w:rightChars="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kern w:val="2"/>
          <w:sz w:val="24"/>
          <w:szCs w:val="24"/>
          <w:lang w:val="en-US" w:eastAsia="zh-CN" w:bidi="ar-SA"/>
        </w:rPr>
        <w:t>2.</w:t>
      </w:r>
      <w:r>
        <w:rPr>
          <w:rFonts w:hint="eastAsia" w:ascii="宋体" w:hAnsi="宋体" w:eastAsia="宋体" w:cs="宋体"/>
          <w:b w:val="0"/>
          <w:bCs w:val="0"/>
          <w:color w:val="000000"/>
          <w:sz w:val="24"/>
          <w:szCs w:val="24"/>
        </w:rPr>
        <w:t>因采购方自备设备故障、操作不当引发的问题，由采购方自行负责；因供应商线路、设备、施工原因造成的故障，由供应商免费维修并承担全部责任。</w:t>
      </w:r>
    </w:p>
    <w:p w14:paraId="1DB14E5A">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leftChars="0" w:right="0" w:rightChars="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kern w:val="2"/>
          <w:sz w:val="24"/>
          <w:szCs w:val="24"/>
          <w:lang w:val="en-US" w:eastAsia="zh-CN" w:bidi="ar-SA"/>
        </w:rPr>
        <w:t>3.</w:t>
      </w:r>
      <w:r>
        <w:rPr>
          <w:rFonts w:hint="eastAsia" w:ascii="宋体" w:hAnsi="宋体" w:eastAsia="宋体" w:cs="宋体"/>
          <w:b w:val="0"/>
          <w:bCs w:val="0"/>
          <w:color w:val="000000"/>
          <w:sz w:val="24"/>
          <w:szCs w:val="24"/>
        </w:rPr>
        <w:t>建立日常沟通协商机制，及时排查、处理通信卡顿、掉线、速率不达标等质量问题。</w:t>
      </w:r>
    </w:p>
    <w:p w14:paraId="33CB765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right="0" w:firstLine="482" w:firstLineChars="200"/>
        <w:jc w:val="left"/>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六</w:t>
      </w:r>
      <w:r>
        <w:rPr>
          <w:rFonts w:hint="eastAsia" w:ascii="宋体" w:hAnsi="宋体" w:eastAsia="宋体" w:cs="宋体"/>
          <w:b/>
          <w:bCs/>
          <w:color w:val="000000"/>
          <w:sz w:val="24"/>
          <w:szCs w:val="24"/>
        </w:rPr>
        <w:t>、保密要求</w:t>
      </w:r>
    </w:p>
    <w:p w14:paraId="548DF4F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right="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kern w:val="0"/>
          <w:sz w:val="24"/>
          <w:szCs w:val="24"/>
          <w:lang w:val="en-US" w:eastAsia="zh-CN" w:bidi="ar"/>
        </w:rPr>
        <w:t>服务期间，双方未经对方书面许可，不得向任何第三方泄露项目合作、业务资料、点位信息、网络架构等涉密内容，法律法规另有规定除外；供应商可向其关联公司合规披露甲方业务信息。</w:t>
      </w:r>
    </w:p>
    <w:p w14:paraId="1526B3D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right="0" w:firstLine="482" w:firstLineChars="200"/>
        <w:jc w:val="left"/>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七</w:t>
      </w:r>
      <w:r>
        <w:rPr>
          <w:rFonts w:hint="eastAsia" w:ascii="宋体" w:hAnsi="宋体" w:eastAsia="宋体" w:cs="宋体"/>
          <w:b/>
          <w:bCs/>
          <w:color w:val="000000"/>
          <w:sz w:val="24"/>
          <w:szCs w:val="24"/>
        </w:rPr>
        <w:t>、其他要求</w:t>
      </w:r>
    </w:p>
    <w:p w14:paraId="563E483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191" w:afterLines="50" w:afterAutospacing="0" w:line="240" w:lineRule="auto"/>
        <w:ind w:left="0" w:leftChars="0" w:right="0" w:rightChars="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供应商须无条件配合安康市公安局汉滨分局治安防控整体建设需求，服从日常线路调度、点位调整等工作安排。</w:t>
      </w:r>
    </w:p>
    <w:p w14:paraId="037089D5">
      <w:pPr>
        <w:rPr>
          <w:rFonts w:hint="eastAsia" w:ascii="宋体" w:hAnsi="宋体" w:cs="宋体"/>
          <w:szCs w:val="32"/>
        </w:rPr>
      </w:pPr>
    </w:p>
    <w:p w14:paraId="1A26BB08">
      <w:pPr>
        <w:rPr>
          <w:rFonts w:hint="eastAsia" w:ascii="宋体" w:hAnsi="宋体" w:eastAsia="宋体" w:cs="宋体"/>
          <w:b/>
          <w:bCs w:val="0"/>
          <w:kern w:val="44"/>
          <w:sz w:val="32"/>
          <w:szCs w:val="32"/>
          <w:lang w:val="en-US" w:eastAsia="zh-CN" w:bidi="ar-SA"/>
        </w:rPr>
      </w:pPr>
      <w:r>
        <w:rPr>
          <w:rFonts w:hint="eastAsia" w:ascii="宋体" w:hAnsi="宋体" w:eastAsia="宋体" w:cs="宋体"/>
          <w:b/>
          <w:bCs w:val="0"/>
          <w:kern w:val="44"/>
          <w:sz w:val="32"/>
          <w:szCs w:val="32"/>
          <w:lang w:val="en-US" w:eastAsia="zh-CN" w:bidi="ar-SA"/>
        </w:rPr>
        <w:br w:type="page"/>
      </w:r>
    </w:p>
    <w:p w14:paraId="43067495">
      <w:pPr>
        <w:pStyle w:val="2"/>
        <w:numPr>
          <w:ilvl w:val="0"/>
          <w:numId w:val="0"/>
        </w:numPr>
        <w:rPr>
          <w:rFonts w:hint="default" w:ascii="宋体" w:hAnsi="宋体" w:cs="宋体"/>
          <w:bCs w:val="0"/>
          <w:szCs w:val="32"/>
          <w:lang w:val="en-US" w:eastAsia="zh-CN"/>
        </w:rPr>
      </w:pPr>
      <w:r>
        <w:rPr>
          <w:rFonts w:hint="eastAsia" w:ascii="宋体" w:hAnsi="宋体" w:eastAsia="宋体" w:cs="宋体"/>
          <w:b/>
          <w:bCs w:val="0"/>
          <w:kern w:val="44"/>
          <w:sz w:val="32"/>
          <w:szCs w:val="32"/>
          <w:lang w:val="en-US" w:eastAsia="zh-CN" w:bidi="ar-SA"/>
        </w:rPr>
        <w:t>第五章</w:t>
      </w:r>
      <w:r>
        <w:rPr>
          <w:rFonts w:hint="eastAsia" w:ascii="宋体" w:hAnsi="宋体" w:cs="宋体"/>
          <w:bCs w:val="0"/>
          <w:szCs w:val="32"/>
          <w:lang w:val="en-US" w:eastAsia="zh-CN"/>
        </w:rPr>
        <w:t xml:space="preserve"> 合同主要条款</w:t>
      </w:r>
    </w:p>
    <w:p w14:paraId="0F546EFE">
      <w:pPr>
        <w:keepNext w:val="0"/>
        <w:keepLines w:val="0"/>
        <w:pageBreakBefore w:val="0"/>
        <w:widowControl w:val="0"/>
        <w:kinsoku/>
        <w:wordWrap/>
        <w:overflowPunct/>
        <w:topLinePunct w:val="0"/>
        <w:autoSpaceDE/>
        <w:autoSpaceDN/>
        <w:bidi w:val="0"/>
        <w:adjustRightInd/>
        <w:snapToGrid/>
        <w:spacing w:after="191" w:afterLines="50"/>
        <w:textAlignment w:val="auto"/>
        <w:rPr>
          <w:rFonts w:hint="eastAsia" w:ascii="宋体" w:hAnsi="宋体" w:eastAsia="宋体" w:cs="宋体"/>
          <w:b/>
          <w:bCs/>
          <w:i w:val="0"/>
          <w:caps w:val="0"/>
          <w:color w:val="333333"/>
          <w:spacing w:val="0"/>
          <w:kern w:val="0"/>
          <w:sz w:val="24"/>
          <w:szCs w:val="24"/>
          <w:shd w:val="clear" w:fill="FFFFFF"/>
          <w:vertAlign w:val="baseline"/>
          <w:lang w:val="en-US" w:eastAsia="zh-CN" w:bidi="ar"/>
        </w:rPr>
      </w:pPr>
      <w:r>
        <w:rPr>
          <w:rFonts w:hint="eastAsia" w:ascii="宋体" w:hAnsi="宋体" w:eastAsia="宋体" w:cs="宋体"/>
          <w:b/>
          <w:bCs/>
          <w:i w:val="0"/>
          <w:caps w:val="0"/>
          <w:color w:val="333333"/>
          <w:spacing w:val="0"/>
          <w:kern w:val="0"/>
          <w:sz w:val="24"/>
          <w:szCs w:val="24"/>
          <w:shd w:val="clear" w:fill="FFFFFF"/>
          <w:vertAlign w:val="baseline"/>
          <w:lang w:val="en-US" w:eastAsia="zh-CN" w:bidi="ar"/>
        </w:rPr>
        <w:t>双方权利和义务</w:t>
      </w:r>
    </w:p>
    <w:p w14:paraId="202941B4">
      <w:pPr>
        <w:keepNext w:val="0"/>
        <w:keepLines w:val="0"/>
        <w:pageBreakBefore w:val="0"/>
        <w:widowControl w:val="0"/>
        <w:kinsoku/>
        <w:wordWrap/>
        <w:overflowPunct/>
        <w:topLinePunct w:val="0"/>
        <w:autoSpaceDE/>
        <w:autoSpaceDN/>
        <w:bidi w:val="0"/>
        <w:adjustRightInd/>
        <w:snapToGrid/>
        <w:spacing w:after="191" w:afterLines="50"/>
        <w:ind w:firstLine="480" w:firstLineChars="200"/>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1甲方权利和义务</w:t>
      </w:r>
    </w:p>
    <w:p w14:paraId="783F8EF7">
      <w:pPr>
        <w:keepNext w:val="0"/>
        <w:keepLines w:val="0"/>
        <w:pageBreakBefore w:val="0"/>
        <w:widowControl w:val="0"/>
        <w:kinsoku/>
        <w:wordWrap/>
        <w:overflowPunct/>
        <w:topLinePunct w:val="0"/>
        <w:autoSpaceDE/>
        <w:autoSpaceDN/>
        <w:bidi w:val="0"/>
        <w:adjustRightInd/>
        <w:snapToGrid/>
        <w:spacing w:after="191" w:afterLines="50"/>
        <w:ind w:firstLine="480" w:firstLineChars="200"/>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1.1作为乙方的集团客户，享受乙方为集团客户提供的一站式服务。</w:t>
      </w:r>
    </w:p>
    <w:p w14:paraId="79CE6481">
      <w:pPr>
        <w:keepNext w:val="0"/>
        <w:keepLines w:val="0"/>
        <w:pageBreakBefore w:val="0"/>
        <w:widowControl w:val="0"/>
        <w:kinsoku/>
        <w:wordWrap/>
        <w:overflowPunct/>
        <w:topLinePunct w:val="0"/>
        <w:autoSpaceDE/>
        <w:autoSpaceDN/>
        <w:bidi w:val="0"/>
        <w:adjustRightInd/>
        <w:snapToGrid/>
        <w:spacing w:after="191" w:afterLines="50"/>
        <w:ind w:firstLine="480" w:firstLineChars="200"/>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1.2在开通和使用电路服务业务过程中出现的技术性问题，均可就近向乙方或乙方当地下属机构及项目负责人员进行申告。</w:t>
      </w:r>
    </w:p>
    <w:p w14:paraId="0BC531C7">
      <w:pPr>
        <w:keepNext w:val="0"/>
        <w:keepLines w:val="0"/>
        <w:pageBreakBefore w:val="0"/>
        <w:widowControl w:val="0"/>
        <w:kinsoku/>
        <w:wordWrap/>
        <w:overflowPunct/>
        <w:topLinePunct w:val="0"/>
        <w:autoSpaceDE/>
        <w:autoSpaceDN/>
        <w:bidi w:val="0"/>
        <w:adjustRightInd/>
        <w:snapToGrid/>
        <w:spacing w:after="191" w:afterLines="50"/>
        <w:ind w:firstLine="480" w:firstLineChars="200"/>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1.3应按照国家法律法规的规定及本合同的约定合理使用电路服务，不得用于从事损害乙方及他人合法权益的活动。未经乙方事先书面同意，不得将本合同项下的电路服务以任何方式给其他第三方（不包括本合同项下甲方下属机构）使用，也不得用于本合同约定用途以外的其他用途。</w:t>
      </w:r>
    </w:p>
    <w:p w14:paraId="3EE967AF">
      <w:pPr>
        <w:keepNext w:val="0"/>
        <w:keepLines w:val="0"/>
        <w:pageBreakBefore w:val="0"/>
        <w:widowControl w:val="0"/>
        <w:kinsoku/>
        <w:wordWrap/>
        <w:overflowPunct/>
        <w:topLinePunct w:val="0"/>
        <w:autoSpaceDE/>
        <w:autoSpaceDN/>
        <w:bidi w:val="0"/>
        <w:adjustRightInd/>
        <w:snapToGrid/>
        <w:spacing w:after="191" w:afterLines="50"/>
        <w:ind w:firstLine="480" w:firstLineChars="200"/>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1.4应保证连接到电路上的有关通信设备全部符合国家主管部门规定的质量标准和技术要求，并取得进网许可证。</w:t>
      </w:r>
    </w:p>
    <w:p w14:paraId="7B9D70B4">
      <w:pPr>
        <w:keepNext w:val="0"/>
        <w:keepLines w:val="0"/>
        <w:pageBreakBefore w:val="0"/>
        <w:widowControl w:val="0"/>
        <w:kinsoku/>
        <w:wordWrap/>
        <w:overflowPunct/>
        <w:topLinePunct w:val="0"/>
        <w:autoSpaceDE/>
        <w:autoSpaceDN/>
        <w:bidi w:val="0"/>
        <w:adjustRightInd/>
        <w:snapToGrid/>
        <w:spacing w:after="191" w:afterLines="50"/>
        <w:ind w:firstLine="480" w:firstLineChars="200"/>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1.5应按时足额缴纳电路服务的一次性费用或电路月服务费。</w:t>
      </w:r>
    </w:p>
    <w:p w14:paraId="45B90D06">
      <w:pPr>
        <w:keepNext w:val="0"/>
        <w:keepLines w:val="0"/>
        <w:pageBreakBefore w:val="0"/>
        <w:widowControl w:val="0"/>
        <w:kinsoku/>
        <w:wordWrap/>
        <w:overflowPunct/>
        <w:topLinePunct w:val="0"/>
        <w:autoSpaceDE/>
        <w:autoSpaceDN/>
        <w:bidi w:val="0"/>
        <w:adjustRightInd/>
        <w:snapToGrid/>
        <w:spacing w:after="191" w:afterLines="50"/>
        <w:ind w:firstLine="480" w:firstLineChars="200"/>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1.6应以书面形式（“电路服务需求单”）向乙方提供本合同项下电路服务所涉电路的类型、通达方向、速率、数量、技术要求、准确的终端起止接入地点、用途、要求开通时间、服务期限、联系人、联系电话等信息。</w:t>
      </w:r>
    </w:p>
    <w:p w14:paraId="35BB2D5D">
      <w:pPr>
        <w:keepNext w:val="0"/>
        <w:keepLines w:val="0"/>
        <w:pageBreakBefore w:val="0"/>
        <w:widowControl w:val="0"/>
        <w:kinsoku/>
        <w:wordWrap/>
        <w:overflowPunct/>
        <w:topLinePunct w:val="0"/>
        <w:autoSpaceDE/>
        <w:autoSpaceDN/>
        <w:bidi w:val="0"/>
        <w:adjustRightInd/>
        <w:snapToGrid/>
        <w:spacing w:after="191" w:afterLines="50"/>
        <w:ind w:firstLine="480" w:firstLineChars="200"/>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1.7应派专人负责做好入网的各项准备和配合工作，包括但不限于：</w:t>
      </w:r>
    </w:p>
    <w:p w14:paraId="46739E6A">
      <w:pPr>
        <w:keepNext w:val="0"/>
        <w:keepLines w:val="0"/>
        <w:pageBreakBefore w:val="0"/>
        <w:widowControl w:val="0"/>
        <w:kinsoku/>
        <w:wordWrap/>
        <w:overflowPunct/>
        <w:topLinePunct w:val="0"/>
        <w:autoSpaceDE/>
        <w:autoSpaceDN/>
        <w:bidi w:val="0"/>
        <w:adjustRightInd/>
        <w:snapToGrid/>
        <w:spacing w:after="191" w:afterLines="50"/>
        <w:ind w:firstLine="480" w:firstLineChars="200"/>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（1）入网前期的组织、协调工作。</w:t>
      </w:r>
    </w:p>
    <w:p w14:paraId="6A620FDF">
      <w:pPr>
        <w:keepNext w:val="0"/>
        <w:keepLines w:val="0"/>
        <w:pageBreakBefore w:val="0"/>
        <w:widowControl w:val="0"/>
        <w:kinsoku/>
        <w:wordWrap/>
        <w:overflowPunct/>
        <w:topLinePunct w:val="0"/>
        <w:autoSpaceDE/>
        <w:autoSpaceDN/>
        <w:bidi w:val="0"/>
        <w:adjustRightInd/>
        <w:snapToGrid/>
        <w:spacing w:after="191" w:afterLines="50"/>
        <w:ind w:firstLine="480" w:firstLineChars="200"/>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（2）无偿提供机房，并做好接入设备及机房内安装场地的准备。</w:t>
      </w:r>
    </w:p>
    <w:p w14:paraId="07D40E99">
      <w:pPr>
        <w:keepNext w:val="0"/>
        <w:keepLines w:val="0"/>
        <w:pageBreakBefore w:val="0"/>
        <w:widowControl w:val="0"/>
        <w:kinsoku/>
        <w:wordWrap/>
        <w:overflowPunct/>
        <w:topLinePunct w:val="0"/>
        <w:autoSpaceDE/>
        <w:autoSpaceDN/>
        <w:bidi w:val="0"/>
        <w:adjustRightInd/>
        <w:snapToGrid/>
        <w:spacing w:after="191" w:afterLines="50"/>
        <w:ind w:firstLine="480" w:firstLineChars="200"/>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（3）负责协调所在楼宇的物业使其允许乙方进楼实施或提供线路接入，并承担协调物业涉及的相关费用。</w:t>
      </w:r>
    </w:p>
    <w:p w14:paraId="745FBECB">
      <w:pPr>
        <w:keepNext w:val="0"/>
        <w:keepLines w:val="0"/>
        <w:pageBreakBefore w:val="0"/>
        <w:widowControl w:val="0"/>
        <w:kinsoku/>
        <w:wordWrap/>
        <w:overflowPunct/>
        <w:topLinePunct w:val="0"/>
        <w:autoSpaceDE/>
        <w:autoSpaceDN/>
        <w:bidi w:val="0"/>
        <w:adjustRightInd/>
        <w:snapToGrid/>
        <w:spacing w:after="191" w:afterLines="50"/>
        <w:ind w:firstLine="480" w:firstLineChars="200"/>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（4）保证相关机构、人员、物业等入网各方配合乙方的进网调测工作。</w:t>
      </w:r>
    </w:p>
    <w:p w14:paraId="3BE2AF86">
      <w:pPr>
        <w:keepNext w:val="0"/>
        <w:keepLines w:val="0"/>
        <w:pageBreakBefore w:val="0"/>
        <w:widowControl w:val="0"/>
        <w:kinsoku/>
        <w:wordWrap/>
        <w:overflowPunct/>
        <w:topLinePunct w:val="0"/>
        <w:autoSpaceDE/>
        <w:autoSpaceDN/>
        <w:bidi w:val="0"/>
        <w:adjustRightInd/>
        <w:snapToGrid/>
        <w:spacing w:after="191" w:afterLines="50"/>
        <w:ind w:firstLine="480" w:firstLineChars="200"/>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1.10应积极配合甲方对电路的日常维护、检测等工作，并负责其机房线路设备侧电路的维护管理。</w:t>
      </w:r>
    </w:p>
    <w:p w14:paraId="735FAB35">
      <w:pPr>
        <w:keepNext w:val="0"/>
        <w:keepLines w:val="0"/>
        <w:pageBreakBefore w:val="0"/>
        <w:widowControl w:val="0"/>
        <w:kinsoku/>
        <w:wordWrap/>
        <w:overflowPunct/>
        <w:topLinePunct w:val="0"/>
        <w:autoSpaceDE/>
        <w:autoSpaceDN/>
        <w:bidi w:val="0"/>
        <w:adjustRightInd/>
        <w:snapToGrid/>
        <w:spacing w:after="191" w:afterLines="50"/>
        <w:ind w:firstLine="480" w:firstLineChars="200"/>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1.11甲方下属机构使用电路服务的（甲方下属机构的名称、账号、地址见本合同附件[  ]），甲方应保证甲方下属机构依据本合同约定使用电路服务，并就甲方下属机构使用电路服务的行为（包括但不限于对电路服务的使用及付费等行为）向乙方承担全部责任。</w:t>
      </w:r>
    </w:p>
    <w:p w14:paraId="590A5599">
      <w:pPr>
        <w:keepNext w:val="0"/>
        <w:keepLines w:val="0"/>
        <w:pageBreakBefore w:val="0"/>
        <w:widowControl w:val="0"/>
        <w:kinsoku/>
        <w:wordWrap/>
        <w:overflowPunct/>
        <w:topLinePunct w:val="0"/>
        <w:autoSpaceDE/>
        <w:autoSpaceDN/>
        <w:bidi w:val="0"/>
        <w:adjustRightInd/>
        <w:snapToGrid/>
        <w:spacing w:after="191" w:afterLines="50"/>
        <w:ind w:firstLine="480" w:firstLineChars="200"/>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1.12 甲方按照本合同约定享受电路服务，并对所涉电路负有保管责任；若由于甲方原因造成电路损坏的，须按价赔偿。</w:t>
      </w:r>
    </w:p>
    <w:p w14:paraId="3F5A2401">
      <w:pPr>
        <w:keepNext w:val="0"/>
        <w:keepLines w:val="0"/>
        <w:pageBreakBefore w:val="0"/>
        <w:widowControl w:val="0"/>
        <w:kinsoku/>
        <w:wordWrap/>
        <w:overflowPunct/>
        <w:topLinePunct w:val="0"/>
        <w:autoSpaceDE/>
        <w:autoSpaceDN/>
        <w:bidi w:val="0"/>
        <w:adjustRightInd/>
        <w:snapToGrid/>
        <w:spacing w:after="191" w:afterLines="50"/>
        <w:textAlignment w:val="auto"/>
        <w:rPr>
          <w:rFonts w:hint="eastAsia" w:ascii="宋体" w:hAnsi="宋体" w:eastAsia="宋体" w:cs="宋体"/>
          <w:b/>
          <w:bCs/>
          <w:i w:val="0"/>
          <w:caps w:val="0"/>
          <w:color w:val="333333"/>
          <w:spacing w:val="0"/>
          <w:kern w:val="0"/>
          <w:sz w:val="24"/>
          <w:szCs w:val="24"/>
          <w:shd w:val="clear" w:fill="FFFFFF"/>
          <w:vertAlign w:val="baseline"/>
          <w:lang w:val="en-US" w:eastAsia="zh-CN" w:bidi="ar"/>
        </w:rPr>
      </w:pPr>
    </w:p>
    <w:p w14:paraId="713D2C8D">
      <w:pPr>
        <w:keepNext w:val="0"/>
        <w:keepLines w:val="0"/>
        <w:pageBreakBefore w:val="0"/>
        <w:widowControl w:val="0"/>
        <w:kinsoku/>
        <w:wordWrap/>
        <w:overflowPunct/>
        <w:topLinePunct w:val="0"/>
        <w:autoSpaceDE/>
        <w:autoSpaceDN/>
        <w:bidi w:val="0"/>
        <w:adjustRightInd/>
        <w:snapToGrid/>
        <w:spacing w:after="191" w:afterLines="50"/>
        <w:textAlignment w:val="auto"/>
        <w:rPr>
          <w:rFonts w:hint="eastAsia" w:ascii="宋体" w:hAnsi="宋体" w:eastAsia="宋体" w:cs="宋体"/>
          <w:b/>
          <w:bCs/>
          <w:i w:val="0"/>
          <w:caps w:val="0"/>
          <w:color w:val="333333"/>
          <w:spacing w:val="0"/>
          <w:kern w:val="0"/>
          <w:sz w:val="24"/>
          <w:szCs w:val="24"/>
          <w:shd w:val="clear" w:fill="FFFFFF"/>
          <w:vertAlign w:val="baseline"/>
          <w:lang w:val="en-US" w:eastAsia="zh-CN" w:bidi="ar"/>
        </w:rPr>
      </w:pPr>
      <w:r>
        <w:rPr>
          <w:rFonts w:hint="eastAsia" w:ascii="宋体" w:hAnsi="宋体" w:eastAsia="宋体" w:cs="宋体"/>
          <w:b/>
          <w:bCs/>
          <w:i w:val="0"/>
          <w:caps w:val="0"/>
          <w:color w:val="333333"/>
          <w:spacing w:val="0"/>
          <w:kern w:val="0"/>
          <w:sz w:val="24"/>
          <w:szCs w:val="24"/>
          <w:shd w:val="clear" w:fill="FFFFFF"/>
          <w:vertAlign w:val="baseline"/>
          <w:lang w:val="en-US" w:eastAsia="zh-CN" w:bidi="ar"/>
        </w:rPr>
        <w:t>乙方权利和义务</w:t>
      </w:r>
    </w:p>
    <w:p w14:paraId="11DD4F70">
      <w:pPr>
        <w:keepNext w:val="0"/>
        <w:keepLines w:val="0"/>
        <w:pageBreakBefore w:val="0"/>
        <w:widowControl w:val="0"/>
        <w:kinsoku/>
        <w:wordWrap/>
        <w:overflowPunct/>
        <w:topLinePunct w:val="0"/>
        <w:autoSpaceDE/>
        <w:autoSpaceDN/>
        <w:bidi w:val="0"/>
        <w:adjustRightInd/>
        <w:snapToGrid/>
        <w:spacing w:after="191" w:afterLines="50"/>
        <w:ind w:firstLine="480" w:firstLineChars="200"/>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2.1视甲方为乙方的集团客户，提供端到端的综合性信息服务，并为甲方提供电路服务业务的咨询、组网建议等服务。</w:t>
      </w:r>
    </w:p>
    <w:p w14:paraId="26C70B75">
      <w:pPr>
        <w:keepNext w:val="0"/>
        <w:keepLines w:val="0"/>
        <w:pageBreakBefore w:val="0"/>
        <w:widowControl w:val="0"/>
        <w:kinsoku/>
        <w:wordWrap/>
        <w:overflowPunct/>
        <w:topLinePunct w:val="0"/>
        <w:autoSpaceDE/>
        <w:autoSpaceDN/>
        <w:bidi w:val="0"/>
        <w:adjustRightInd/>
        <w:snapToGrid/>
        <w:spacing w:after="191" w:afterLines="50"/>
        <w:ind w:firstLine="480" w:firstLineChars="200"/>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2.2负责依据甲方开通通知进行电路服务的开通。</w:t>
      </w:r>
    </w:p>
    <w:p w14:paraId="3CCD982D">
      <w:pPr>
        <w:keepNext w:val="0"/>
        <w:keepLines w:val="0"/>
        <w:pageBreakBefore w:val="0"/>
        <w:widowControl w:val="0"/>
        <w:kinsoku/>
        <w:wordWrap/>
        <w:overflowPunct/>
        <w:topLinePunct w:val="0"/>
        <w:autoSpaceDE/>
        <w:autoSpaceDN/>
        <w:bidi w:val="0"/>
        <w:adjustRightInd/>
        <w:snapToGrid/>
        <w:spacing w:after="191" w:afterLines="50"/>
        <w:ind w:firstLine="480" w:firstLineChars="200"/>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2.3在资源具备，且甲方办理完毕相关业务受理手续并支付一次性费用后[  ]个工作日内，向甲方提供电路服务业务。</w:t>
      </w:r>
    </w:p>
    <w:p w14:paraId="06B4545B">
      <w:pPr>
        <w:keepNext w:val="0"/>
        <w:keepLines w:val="0"/>
        <w:pageBreakBefore w:val="0"/>
        <w:widowControl w:val="0"/>
        <w:kinsoku/>
        <w:wordWrap/>
        <w:overflowPunct/>
        <w:topLinePunct w:val="0"/>
        <w:autoSpaceDE/>
        <w:autoSpaceDN/>
        <w:bidi w:val="0"/>
        <w:adjustRightInd/>
        <w:snapToGrid/>
        <w:spacing w:after="191" w:afterLines="50"/>
        <w:ind w:firstLine="480" w:firstLineChars="200"/>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2.4 由于乙方端口、线路资源暂未具备等原因而未及时开通电路服务的，乙方有责任协调相关部门尽快开通电路服务。</w:t>
      </w:r>
    </w:p>
    <w:p w14:paraId="161CC0B5">
      <w:pPr>
        <w:keepNext w:val="0"/>
        <w:keepLines w:val="0"/>
        <w:pageBreakBefore w:val="0"/>
        <w:widowControl w:val="0"/>
        <w:kinsoku/>
        <w:wordWrap/>
        <w:overflowPunct/>
        <w:topLinePunct w:val="0"/>
        <w:autoSpaceDE/>
        <w:autoSpaceDN/>
        <w:bidi w:val="0"/>
        <w:adjustRightInd/>
        <w:snapToGrid/>
        <w:spacing w:after="191" w:afterLines="50"/>
        <w:ind w:firstLine="480" w:firstLineChars="200"/>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2.5在甲方给予必要的协助和配合下，依据相关规程和规范以及本合同约定提供电路维护服务，并及时修复通信障碍，保证通信畅通。</w:t>
      </w:r>
    </w:p>
    <w:p w14:paraId="7EE8C582">
      <w:pPr>
        <w:keepNext w:val="0"/>
        <w:keepLines w:val="0"/>
        <w:pageBreakBefore w:val="0"/>
        <w:widowControl w:val="0"/>
        <w:kinsoku/>
        <w:wordWrap/>
        <w:overflowPunct/>
        <w:topLinePunct w:val="0"/>
        <w:autoSpaceDE/>
        <w:autoSpaceDN/>
        <w:bidi w:val="0"/>
        <w:adjustRightInd/>
        <w:snapToGrid/>
        <w:spacing w:after="191" w:afterLines="50"/>
        <w:ind w:firstLine="480" w:firstLineChars="200"/>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2.6乙方所提供电路维护服务的责任界面按照国家法律法规公布的维护规程明确。具体以甲方机房的设备为界,设备以外线路侧由乙方提供维护管理服务 ,另一侧（设备侧）由甲方负责维护管理。</w:t>
      </w:r>
    </w:p>
    <w:p w14:paraId="6A7DC4A1">
      <w:pPr>
        <w:keepNext w:val="0"/>
        <w:keepLines w:val="0"/>
        <w:pageBreakBefore w:val="0"/>
        <w:widowControl w:val="0"/>
        <w:kinsoku/>
        <w:wordWrap/>
        <w:overflowPunct/>
        <w:topLinePunct w:val="0"/>
        <w:autoSpaceDE/>
        <w:autoSpaceDN/>
        <w:bidi w:val="0"/>
        <w:adjustRightInd/>
        <w:snapToGrid/>
        <w:spacing w:after="191" w:afterLines="50"/>
        <w:ind w:firstLine="480" w:firstLineChars="200"/>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2.7因技术、设备或国家政策因素等原因有权对电信业务的服务功能、操作方法、计费方式、计费模式、业务号码等作出修改、调整。</w:t>
      </w:r>
    </w:p>
    <w:p w14:paraId="04825FBD">
      <w:pPr>
        <w:keepNext w:val="0"/>
        <w:keepLines w:val="0"/>
        <w:pageBreakBefore w:val="0"/>
        <w:widowControl w:val="0"/>
        <w:kinsoku/>
        <w:wordWrap/>
        <w:overflowPunct/>
        <w:topLinePunct w:val="0"/>
        <w:autoSpaceDE/>
        <w:autoSpaceDN/>
        <w:bidi w:val="0"/>
        <w:adjustRightInd/>
        <w:snapToGrid/>
        <w:spacing w:after="191" w:afterLines="50"/>
        <w:ind w:firstLine="480" w:firstLineChars="200"/>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2.8对所投资的电路和设备拥有所有权。</w:t>
      </w:r>
    </w:p>
    <w:p w14:paraId="2E468CE9">
      <w:pPr>
        <w:keepNext w:val="0"/>
        <w:keepLines w:val="0"/>
        <w:pageBreakBefore w:val="0"/>
        <w:widowControl w:val="0"/>
        <w:kinsoku/>
        <w:wordWrap/>
        <w:overflowPunct/>
        <w:topLinePunct w:val="0"/>
        <w:autoSpaceDE/>
        <w:autoSpaceDN/>
        <w:bidi w:val="0"/>
        <w:adjustRightInd/>
        <w:snapToGrid/>
        <w:spacing w:after="191" w:afterLines="50"/>
        <w:ind w:firstLine="482" w:firstLineChars="200"/>
        <w:textAlignment w:val="auto"/>
        <w:rPr>
          <w:rFonts w:hint="eastAsia" w:ascii="宋体" w:hAnsi="宋体" w:eastAsia="宋体" w:cs="宋体"/>
          <w:b/>
          <w:bCs/>
          <w:i w:val="0"/>
          <w:caps w:val="0"/>
          <w:color w:val="333333"/>
          <w:spacing w:val="0"/>
          <w:kern w:val="0"/>
          <w:sz w:val="24"/>
          <w:szCs w:val="24"/>
          <w:shd w:val="clear" w:fill="FFFFFF"/>
          <w:vertAlign w:val="baseline"/>
          <w:lang w:val="en-US" w:eastAsia="zh-CN" w:bidi="ar"/>
        </w:rPr>
      </w:pPr>
    </w:p>
    <w:p w14:paraId="23B10574">
      <w:pPr>
        <w:keepNext w:val="0"/>
        <w:keepLines w:val="0"/>
        <w:pageBreakBefore w:val="0"/>
        <w:widowControl w:val="0"/>
        <w:kinsoku/>
        <w:wordWrap/>
        <w:overflowPunct/>
        <w:topLinePunct w:val="0"/>
        <w:autoSpaceDE/>
        <w:autoSpaceDN/>
        <w:bidi w:val="0"/>
        <w:adjustRightInd/>
        <w:snapToGrid/>
        <w:spacing w:after="191" w:afterLines="50"/>
        <w:textAlignment w:val="auto"/>
        <w:rPr>
          <w:rFonts w:hint="eastAsia" w:ascii="宋体" w:hAnsi="宋体" w:eastAsia="宋体" w:cs="宋体"/>
          <w:b/>
          <w:bCs/>
          <w:i w:val="0"/>
          <w:caps w:val="0"/>
          <w:color w:val="333333"/>
          <w:spacing w:val="0"/>
          <w:kern w:val="0"/>
          <w:sz w:val="24"/>
          <w:szCs w:val="24"/>
          <w:shd w:val="clear" w:fill="FFFFFF"/>
          <w:vertAlign w:val="baseline"/>
          <w:lang w:val="en-US" w:eastAsia="zh-CN" w:bidi="ar"/>
        </w:rPr>
      </w:pPr>
      <w:r>
        <w:rPr>
          <w:rFonts w:hint="eastAsia" w:ascii="宋体" w:hAnsi="宋体" w:eastAsia="宋体" w:cs="宋体"/>
          <w:b/>
          <w:bCs/>
          <w:i w:val="0"/>
          <w:caps w:val="0"/>
          <w:color w:val="333333"/>
          <w:spacing w:val="0"/>
          <w:kern w:val="0"/>
          <w:sz w:val="24"/>
          <w:szCs w:val="24"/>
          <w:shd w:val="clear" w:fill="FFFFFF"/>
          <w:vertAlign w:val="baseline"/>
          <w:lang w:val="en-US" w:eastAsia="zh-CN" w:bidi="ar"/>
        </w:rPr>
        <w:t>电路服务的开通</w:t>
      </w:r>
    </w:p>
    <w:p w14:paraId="6362753E">
      <w:pPr>
        <w:keepNext w:val="0"/>
        <w:keepLines w:val="0"/>
        <w:pageBreakBefore w:val="0"/>
        <w:widowControl w:val="0"/>
        <w:kinsoku/>
        <w:wordWrap/>
        <w:overflowPunct/>
        <w:topLinePunct w:val="0"/>
        <w:autoSpaceDE/>
        <w:autoSpaceDN/>
        <w:bidi w:val="0"/>
        <w:adjustRightInd/>
        <w:snapToGrid/>
        <w:spacing w:after="191" w:afterLines="50"/>
        <w:ind w:firstLine="480" w:firstLineChars="200"/>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1电路服务开通是指甲乙双方商定的接口点外侧间的电路全程测通，并以最晚一端开通为准。乙方不负责甲方客户端网络设备的调测。</w:t>
      </w:r>
    </w:p>
    <w:p w14:paraId="763B07A7">
      <w:pPr>
        <w:keepNext w:val="0"/>
        <w:keepLines w:val="0"/>
        <w:pageBreakBefore w:val="0"/>
        <w:widowControl w:val="0"/>
        <w:kinsoku/>
        <w:wordWrap/>
        <w:overflowPunct/>
        <w:topLinePunct w:val="0"/>
        <w:autoSpaceDE/>
        <w:autoSpaceDN/>
        <w:bidi w:val="0"/>
        <w:adjustRightInd/>
        <w:snapToGrid/>
        <w:spacing w:after="191" w:afterLines="50"/>
        <w:ind w:firstLine="480" w:firstLineChars="200"/>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2电路服务开通后，乙方或乙方下属机构向甲方提供业务竣工单。</w:t>
      </w:r>
    </w:p>
    <w:p w14:paraId="6B78D7A4">
      <w:pPr>
        <w:keepNext w:val="0"/>
        <w:keepLines w:val="0"/>
        <w:pageBreakBefore w:val="0"/>
        <w:widowControl w:val="0"/>
        <w:kinsoku/>
        <w:wordWrap/>
        <w:overflowPunct/>
        <w:topLinePunct w:val="0"/>
        <w:autoSpaceDE/>
        <w:autoSpaceDN/>
        <w:bidi w:val="0"/>
        <w:adjustRightInd/>
        <w:snapToGrid/>
        <w:spacing w:after="191" w:afterLines="50"/>
        <w:ind w:firstLine="480" w:firstLineChars="200"/>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2.1甲方应当在收到业务竣工单后的五日内验收核实，电路服务确已根据本合同约定和国家有关电信业务规定开通的，甲方应签字或盖章确认。电路服务实际开通日，以乙方或乙方当地下属机构与开通地点的甲方代表签字或盖章确认的日期为准。</w:t>
      </w:r>
    </w:p>
    <w:p w14:paraId="597EC906">
      <w:pPr>
        <w:keepNext w:val="0"/>
        <w:keepLines w:val="0"/>
        <w:pageBreakBefore w:val="0"/>
        <w:widowControl w:val="0"/>
        <w:kinsoku/>
        <w:wordWrap/>
        <w:overflowPunct/>
        <w:topLinePunct w:val="0"/>
        <w:autoSpaceDE/>
        <w:autoSpaceDN/>
        <w:bidi w:val="0"/>
        <w:adjustRightInd/>
        <w:snapToGrid/>
        <w:spacing w:after="191" w:afterLines="50"/>
        <w:ind w:firstLine="480" w:firstLineChars="200"/>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3乙方自实际开通日起开始计按年度收取服务费。</w:t>
      </w:r>
    </w:p>
    <w:p w14:paraId="3DDA9CFA">
      <w:pPr>
        <w:keepNext w:val="0"/>
        <w:keepLines w:val="0"/>
        <w:pageBreakBefore w:val="0"/>
        <w:widowControl w:val="0"/>
        <w:kinsoku/>
        <w:wordWrap/>
        <w:overflowPunct/>
        <w:topLinePunct w:val="0"/>
        <w:autoSpaceDE/>
        <w:autoSpaceDN/>
        <w:bidi w:val="0"/>
        <w:adjustRightInd/>
        <w:snapToGrid/>
        <w:spacing w:after="191" w:afterLines="50"/>
        <w:textAlignment w:val="auto"/>
        <w:rPr>
          <w:rFonts w:hint="eastAsia" w:ascii="宋体" w:hAnsi="宋体" w:eastAsia="宋体" w:cs="宋体"/>
          <w:b/>
          <w:bCs/>
          <w:i w:val="0"/>
          <w:caps w:val="0"/>
          <w:color w:val="333333"/>
          <w:spacing w:val="0"/>
          <w:kern w:val="0"/>
          <w:sz w:val="24"/>
          <w:szCs w:val="24"/>
          <w:shd w:val="clear" w:fill="FFFFFF"/>
          <w:vertAlign w:val="baseline"/>
          <w:lang w:val="en-US" w:eastAsia="zh-CN" w:bidi="ar"/>
        </w:rPr>
      </w:pPr>
      <w:r>
        <w:rPr>
          <w:rFonts w:hint="eastAsia" w:ascii="宋体" w:hAnsi="宋体" w:eastAsia="宋体" w:cs="宋体"/>
          <w:b/>
          <w:bCs/>
          <w:i w:val="0"/>
          <w:caps w:val="0"/>
          <w:color w:val="333333"/>
          <w:spacing w:val="0"/>
          <w:kern w:val="0"/>
          <w:sz w:val="24"/>
          <w:szCs w:val="24"/>
          <w:shd w:val="clear" w:fill="FFFFFF"/>
          <w:vertAlign w:val="baseline"/>
          <w:lang w:val="en-US" w:eastAsia="zh-CN" w:bidi="ar"/>
        </w:rPr>
        <w:t>终止服务</w:t>
      </w:r>
    </w:p>
    <w:p w14:paraId="466E9F70">
      <w:pPr>
        <w:keepNext w:val="0"/>
        <w:keepLines w:val="0"/>
        <w:pageBreakBefore w:val="0"/>
        <w:widowControl w:val="0"/>
        <w:kinsoku/>
        <w:wordWrap/>
        <w:overflowPunct/>
        <w:topLinePunct w:val="0"/>
        <w:autoSpaceDE/>
        <w:autoSpaceDN/>
        <w:bidi w:val="0"/>
        <w:adjustRightInd/>
        <w:snapToGrid/>
        <w:spacing w:after="191" w:afterLines="50"/>
        <w:ind w:firstLine="480" w:firstLineChars="200"/>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r>
        <w:rPr>
          <w:rFonts w:hint="eastAsia" w:ascii="宋体" w:hAnsi="宋体" w:eastAsia="宋体" w:cs="宋体"/>
          <w:i w:val="0"/>
          <w:caps w:val="0"/>
          <w:color w:val="333333"/>
          <w:spacing w:val="0"/>
          <w:kern w:val="0"/>
          <w:sz w:val="24"/>
          <w:szCs w:val="24"/>
          <w:shd w:val="clear" w:fill="FFFFFF"/>
          <w:vertAlign w:val="baseline"/>
          <w:lang w:val="en-US" w:eastAsia="zh-CN" w:bidi="ar"/>
        </w:rPr>
        <w:t>甲方终止电路服务时，应至少提前[三十]日以书面形式通知乙方。停收月服务费的时间（“终止服务时间”）以甲方向乙方发出的终止服务通知载明的时间为准（该时限最短不少于乙方收到甲方终止服务通知后的三十日）。如果甲方的终止服务通知中载明的时间少于三十日，则终止服务时间为乙方收到甲方终止服务通知的第三十一日。</w:t>
      </w:r>
    </w:p>
    <w:p w14:paraId="39FBDC3B">
      <w:pPr>
        <w:keepNext w:val="0"/>
        <w:keepLines w:val="0"/>
        <w:pageBreakBefore w:val="0"/>
        <w:widowControl w:val="0"/>
        <w:kinsoku/>
        <w:wordWrap/>
        <w:overflowPunct/>
        <w:topLinePunct w:val="0"/>
        <w:autoSpaceDE/>
        <w:autoSpaceDN/>
        <w:bidi w:val="0"/>
        <w:adjustRightInd/>
        <w:snapToGrid/>
        <w:spacing w:after="191" w:afterLines="50"/>
        <w:ind w:firstLine="480" w:firstLineChars="200"/>
        <w:textAlignment w:val="auto"/>
        <w:rPr>
          <w:rFonts w:hint="eastAsia" w:ascii="宋体" w:hAnsi="宋体" w:eastAsia="宋体" w:cs="宋体"/>
          <w:i w:val="0"/>
          <w:caps w:val="0"/>
          <w:color w:val="333333"/>
          <w:spacing w:val="0"/>
          <w:kern w:val="0"/>
          <w:sz w:val="24"/>
          <w:szCs w:val="24"/>
          <w:shd w:val="clear" w:fill="FFFFFF"/>
          <w:vertAlign w:val="baseline"/>
          <w:lang w:val="en-US" w:eastAsia="zh-CN" w:bidi="ar"/>
        </w:rPr>
      </w:pPr>
    </w:p>
    <w:p w14:paraId="7BFCDD13">
      <w:pPr>
        <w:keepNext w:val="0"/>
        <w:keepLines w:val="0"/>
        <w:pageBreakBefore w:val="0"/>
        <w:widowControl w:val="0"/>
        <w:kinsoku/>
        <w:wordWrap/>
        <w:overflowPunct/>
        <w:topLinePunct w:val="0"/>
        <w:autoSpaceDE/>
        <w:autoSpaceDN/>
        <w:bidi w:val="0"/>
        <w:adjustRightInd/>
        <w:snapToGrid/>
        <w:spacing w:after="191" w:afterLines="50"/>
        <w:textAlignment w:val="auto"/>
        <w:rPr>
          <w:rFonts w:hint="eastAsia" w:ascii="宋体" w:hAnsi="宋体" w:eastAsia="宋体" w:cs="宋体"/>
          <w:b/>
          <w:sz w:val="24"/>
          <w:szCs w:val="24"/>
        </w:rPr>
      </w:pPr>
      <w:r>
        <w:rPr>
          <w:rFonts w:hint="eastAsia" w:ascii="宋体" w:hAnsi="宋体" w:eastAsia="宋体" w:cs="宋体"/>
          <w:b/>
          <w:sz w:val="24"/>
          <w:szCs w:val="24"/>
        </w:rPr>
        <w:t>通信和服务质量</w:t>
      </w:r>
    </w:p>
    <w:p w14:paraId="78E42ADC">
      <w:pPr>
        <w:keepNext w:val="0"/>
        <w:keepLines w:val="0"/>
        <w:pageBreakBefore w:val="0"/>
        <w:widowControl w:val="0"/>
        <w:kinsoku/>
        <w:wordWrap/>
        <w:overflowPunct/>
        <w:topLinePunct w:val="0"/>
        <w:autoSpaceDE/>
        <w:autoSpaceDN/>
        <w:bidi w:val="0"/>
        <w:adjustRightInd/>
        <w:snapToGrid/>
        <w:spacing w:after="191" w:afterLines="50"/>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1双方承诺严格遵守《中华人民共和国电信条例》等国家有关法律法规履行本合同，维护双方权益。</w:t>
      </w:r>
    </w:p>
    <w:p w14:paraId="22963864">
      <w:pPr>
        <w:keepNext w:val="0"/>
        <w:keepLines w:val="0"/>
        <w:pageBreakBefore w:val="0"/>
        <w:widowControl w:val="0"/>
        <w:kinsoku/>
        <w:wordWrap/>
        <w:overflowPunct/>
        <w:topLinePunct w:val="0"/>
        <w:autoSpaceDE/>
        <w:autoSpaceDN/>
        <w:bidi w:val="0"/>
        <w:adjustRightInd/>
        <w:snapToGrid/>
        <w:spacing w:after="191" w:afterLines="50"/>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2乙方按国家主管部门颁布的电信服务标准和电路质量要求提供服务，保证使用的业务畅通。</w:t>
      </w:r>
    </w:p>
    <w:p w14:paraId="79147B67">
      <w:pPr>
        <w:keepNext w:val="0"/>
        <w:keepLines w:val="0"/>
        <w:pageBreakBefore w:val="0"/>
        <w:widowControl w:val="0"/>
        <w:kinsoku/>
        <w:wordWrap/>
        <w:overflowPunct/>
        <w:topLinePunct w:val="0"/>
        <w:autoSpaceDE/>
        <w:autoSpaceDN/>
        <w:bidi w:val="0"/>
        <w:adjustRightInd/>
        <w:snapToGrid/>
        <w:spacing w:after="191" w:afterLines="50"/>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3故障申告采取“就近申告、首问负责”的原则。甲方向乙方下属机构就近申告，乙方下属机构实行“首问负责制”，向甲方提供及时的服务，负责故障的处理。</w:t>
      </w:r>
    </w:p>
    <w:p w14:paraId="1F454EBA">
      <w:pPr>
        <w:keepNext w:val="0"/>
        <w:keepLines w:val="0"/>
        <w:pageBreakBefore w:val="0"/>
        <w:widowControl w:val="0"/>
        <w:kinsoku/>
        <w:wordWrap/>
        <w:overflowPunct/>
        <w:topLinePunct w:val="0"/>
        <w:autoSpaceDE/>
        <w:autoSpaceDN/>
        <w:bidi w:val="0"/>
        <w:adjustRightInd/>
        <w:snapToGrid/>
        <w:spacing w:after="191" w:afterLines="50"/>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4由于甲方自备设备故障或甲方操作不当造成的故障，甲方自行承担责任</w:t>
      </w:r>
      <w:r>
        <w:rPr>
          <w:rFonts w:hint="eastAsia" w:ascii="宋体" w:hAnsi="宋体" w:eastAsia="宋体" w:cs="宋体"/>
          <w:kern w:val="0"/>
          <w:sz w:val="24"/>
          <w:szCs w:val="24"/>
        </w:rPr>
        <w:t>，并赔偿乙方由此遭受的损失</w:t>
      </w:r>
      <w:r>
        <w:rPr>
          <w:rFonts w:hint="eastAsia" w:ascii="宋体" w:hAnsi="宋体" w:eastAsia="宋体" w:cs="宋体"/>
          <w:sz w:val="24"/>
          <w:szCs w:val="24"/>
        </w:rPr>
        <w:t>。</w:t>
      </w:r>
    </w:p>
    <w:p w14:paraId="341058A3">
      <w:pPr>
        <w:keepNext w:val="0"/>
        <w:keepLines w:val="0"/>
        <w:pageBreakBefore w:val="0"/>
        <w:widowControl w:val="0"/>
        <w:kinsoku/>
        <w:wordWrap/>
        <w:overflowPunct/>
        <w:topLinePunct w:val="0"/>
        <w:autoSpaceDE/>
        <w:autoSpaceDN/>
        <w:bidi w:val="0"/>
        <w:adjustRightInd/>
        <w:snapToGrid/>
        <w:spacing w:after="191" w:afterLines="50"/>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5因乙方施工、网络割接等原因影响本业务的正常使用的，乙方应当提前通知甲方，并且尽快消除故障、恢复业务。</w:t>
      </w:r>
    </w:p>
    <w:p w14:paraId="432956E4">
      <w:pPr>
        <w:keepNext w:val="0"/>
        <w:keepLines w:val="0"/>
        <w:pageBreakBefore w:val="0"/>
        <w:widowControl w:val="0"/>
        <w:kinsoku/>
        <w:wordWrap/>
        <w:overflowPunct/>
        <w:topLinePunct w:val="0"/>
        <w:autoSpaceDE/>
        <w:autoSpaceDN/>
        <w:bidi w:val="0"/>
        <w:adjustRightInd/>
        <w:snapToGrid/>
        <w:spacing w:after="191" w:afterLines="50"/>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6如乙方因国防需要、政府指令、网络维护、网络调整、网络安全等因素在网络上对服务进行更改或变动，乙方应当提前通知甲方，甲方应予配合。</w:t>
      </w:r>
    </w:p>
    <w:p w14:paraId="06F6D99F">
      <w:pPr>
        <w:keepNext w:val="0"/>
        <w:keepLines w:val="0"/>
        <w:pageBreakBefore w:val="0"/>
        <w:widowControl w:val="0"/>
        <w:kinsoku/>
        <w:wordWrap/>
        <w:overflowPunct/>
        <w:topLinePunct w:val="0"/>
        <w:autoSpaceDE/>
        <w:autoSpaceDN/>
        <w:bidi w:val="0"/>
        <w:adjustRightInd/>
        <w:snapToGrid/>
        <w:spacing w:after="191" w:afterLines="50"/>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7双方同意建立协商制度，加强日常沟通，及时处理影响通信质量的问题。</w:t>
      </w:r>
    </w:p>
    <w:p w14:paraId="5A39C6E9">
      <w:pPr>
        <w:keepNext w:val="0"/>
        <w:keepLines w:val="0"/>
        <w:pageBreakBefore w:val="0"/>
        <w:widowControl w:val="0"/>
        <w:kinsoku/>
        <w:wordWrap/>
        <w:overflowPunct/>
        <w:topLinePunct w:val="0"/>
        <w:autoSpaceDE/>
        <w:autoSpaceDN/>
        <w:bidi w:val="0"/>
        <w:adjustRightInd/>
        <w:snapToGrid/>
        <w:spacing w:after="191" w:afterLines="50"/>
        <w:ind w:firstLine="482" w:firstLineChars="200"/>
        <w:textAlignment w:val="auto"/>
        <w:rPr>
          <w:rFonts w:hint="eastAsia" w:ascii="宋体" w:hAnsi="宋体" w:eastAsia="宋体" w:cs="宋体"/>
          <w:b/>
          <w:sz w:val="24"/>
          <w:szCs w:val="24"/>
        </w:rPr>
      </w:pPr>
    </w:p>
    <w:p w14:paraId="1659BABB">
      <w:pPr>
        <w:keepNext w:val="0"/>
        <w:keepLines w:val="0"/>
        <w:pageBreakBefore w:val="0"/>
        <w:widowControl w:val="0"/>
        <w:kinsoku/>
        <w:wordWrap/>
        <w:overflowPunct/>
        <w:topLinePunct w:val="0"/>
        <w:autoSpaceDE/>
        <w:autoSpaceDN/>
        <w:bidi w:val="0"/>
        <w:adjustRightInd/>
        <w:snapToGrid/>
        <w:spacing w:after="191" w:afterLines="50"/>
        <w:textAlignment w:val="auto"/>
        <w:rPr>
          <w:rFonts w:hint="eastAsia" w:ascii="宋体" w:hAnsi="宋体" w:eastAsia="宋体" w:cs="宋体"/>
          <w:b/>
          <w:sz w:val="24"/>
          <w:szCs w:val="24"/>
        </w:rPr>
      </w:pPr>
      <w:r>
        <w:rPr>
          <w:rFonts w:hint="eastAsia" w:ascii="宋体" w:hAnsi="宋体" w:eastAsia="宋体" w:cs="宋体"/>
          <w:b/>
          <w:sz w:val="24"/>
          <w:szCs w:val="24"/>
        </w:rPr>
        <w:t>保密</w:t>
      </w:r>
    </w:p>
    <w:p w14:paraId="0DB4FB98">
      <w:pPr>
        <w:keepNext w:val="0"/>
        <w:keepLines w:val="0"/>
        <w:pageBreakBefore w:val="0"/>
        <w:widowControl w:val="0"/>
        <w:kinsoku/>
        <w:wordWrap/>
        <w:overflowPunct/>
        <w:topLinePunct w:val="0"/>
        <w:autoSpaceDE/>
        <w:autoSpaceDN/>
        <w:bidi w:val="0"/>
        <w:adjustRightInd/>
        <w:snapToGrid/>
        <w:spacing w:after="191" w:afterLines="50"/>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未经对方书面许可，任何一方不得向第三方提供或披露因本合同的签订和履行而得知的与对方业务有关的资料和信息，法律另有规定或本合同另有约定的除外。乙方向其关联公司提供或披露与甲方业务有关的资料和信息的，不受此限。</w:t>
      </w:r>
    </w:p>
    <w:p w14:paraId="7413C97B">
      <w:pPr>
        <w:keepNext w:val="0"/>
        <w:keepLines w:val="0"/>
        <w:pageBreakBefore w:val="0"/>
        <w:widowControl w:val="0"/>
        <w:kinsoku/>
        <w:wordWrap/>
        <w:overflowPunct/>
        <w:topLinePunct w:val="0"/>
        <w:autoSpaceDE/>
        <w:autoSpaceDN/>
        <w:bidi w:val="0"/>
        <w:adjustRightInd/>
        <w:snapToGrid/>
        <w:spacing w:after="191" w:afterLines="50"/>
        <w:ind w:firstLine="482" w:firstLineChars="200"/>
        <w:textAlignment w:val="auto"/>
        <w:rPr>
          <w:rFonts w:hint="eastAsia" w:ascii="宋体" w:hAnsi="宋体" w:eastAsia="宋体" w:cs="宋体"/>
          <w:b/>
          <w:sz w:val="24"/>
          <w:szCs w:val="24"/>
        </w:rPr>
      </w:pPr>
    </w:p>
    <w:p w14:paraId="24329744">
      <w:pPr>
        <w:keepNext w:val="0"/>
        <w:keepLines w:val="0"/>
        <w:pageBreakBefore w:val="0"/>
        <w:widowControl w:val="0"/>
        <w:kinsoku/>
        <w:wordWrap/>
        <w:overflowPunct/>
        <w:topLinePunct w:val="0"/>
        <w:autoSpaceDE/>
        <w:autoSpaceDN/>
        <w:bidi w:val="0"/>
        <w:adjustRightInd/>
        <w:snapToGrid/>
        <w:spacing w:after="191" w:afterLines="50"/>
        <w:textAlignment w:val="auto"/>
        <w:rPr>
          <w:rFonts w:hint="eastAsia" w:ascii="宋体" w:hAnsi="宋体" w:eastAsia="宋体" w:cs="宋体"/>
          <w:b/>
          <w:sz w:val="24"/>
          <w:szCs w:val="24"/>
        </w:rPr>
      </w:pPr>
      <w:r>
        <w:rPr>
          <w:rFonts w:hint="eastAsia" w:ascii="宋体" w:hAnsi="宋体" w:eastAsia="宋体" w:cs="宋体"/>
          <w:b/>
          <w:sz w:val="24"/>
          <w:szCs w:val="24"/>
        </w:rPr>
        <w:t>法律适用和争议解决</w:t>
      </w:r>
    </w:p>
    <w:p w14:paraId="457FCDE2">
      <w:pPr>
        <w:keepNext w:val="0"/>
        <w:keepLines w:val="0"/>
        <w:pageBreakBefore w:val="0"/>
        <w:widowControl w:val="0"/>
        <w:kinsoku/>
        <w:wordWrap/>
        <w:overflowPunct/>
        <w:topLinePunct w:val="0"/>
        <w:autoSpaceDE/>
        <w:autoSpaceDN/>
        <w:bidi w:val="0"/>
        <w:adjustRightInd/>
        <w:snapToGrid/>
        <w:spacing w:after="191" w:afterLines="50"/>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1本合同适用中华人民共和国法律。</w:t>
      </w:r>
    </w:p>
    <w:p w14:paraId="7D8804EE">
      <w:pPr>
        <w:keepNext w:val="0"/>
        <w:keepLines w:val="0"/>
        <w:pageBreakBefore w:val="0"/>
        <w:widowControl w:val="0"/>
        <w:kinsoku/>
        <w:wordWrap/>
        <w:overflowPunct/>
        <w:topLinePunct w:val="0"/>
        <w:autoSpaceDE/>
        <w:autoSpaceDN/>
        <w:bidi w:val="0"/>
        <w:adjustRightInd/>
        <w:snapToGrid/>
        <w:spacing w:after="191" w:afterLines="50"/>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2所有因本合同引起的或与本合同有关的任何争议将通过双方友好协商解决。双方在合同执行中如发生争议先协商解决，协商解决不成的向甲方住所地的铁路运输法院起诉。</w:t>
      </w:r>
    </w:p>
    <w:p w14:paraId="2174464E">
      <w:pPr>
        <w:keepNext w:val="0"/>
        <w:keepLines w:val="0"/>
        <w:pageBreakBefore w:val="0"/>
        <w:widowControl w:val="0"/>
        <w:kinsoku/>
        <w:wordWrap/>
        <w:overflowPunct/>
        <w:topLinePunct w:val="0"/>
        <w:autoSpaceDE/>
        <w:autoSpaceDN/>
        <w:bidi w:val="0"/>
        <w:adjustRightInd/>
        <w:snapToGrid/>
        <w:spacing w:after="191" w:afterLines="50"/>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3仲裁或诉讼进行过程中，双方将继续履行本合同未涉仲裁或诉讼的其它部分。</w:t>
      </w:r>
    </w:p>
    <w:p w14:paraId="7EC3177B">
      <w:pPr>
        <w:keepNext w:val="0"/>
        <w:keepLines w:val="0"/>
        <w:pageBreakBefore w:val="0"/>
        <w:widowControl w:val="0"/>
        <w:kinsoku/>
        <w:wordWrap/>
        <w:overflowPunct/>
        <w:topLinePunct w:val="0"/>
        <w:autoSpaceDE/>
        <w:autoSpaceDN/>
        <w:bidi w:val="0"/>
        <w:adjustRightInd/>
        <w:snapToGrid/>
        <w:spacing w:after="191" w:afterLines="50"/>
        <w:textAlignment w:val="auto"/>
        <w:rPr>
          <w:rFonts w:hint="eastAsia" w:ascii="宋体" w:hAnsi="宋体" w:eastAsia="宋体" w:cs="宋体"/>
          <w:b/>
          <w:sz w:val="24"/>
          <w:szCs w:val="24"/>
        </w:rPr>
      </w:pPr>
    </w:p>
    <w:p w14:paraId="11E0F8D3">
      <w:pPr>
        <w:keepNext w:val="0"/>
        <w:keepLines w:val="0"/>
        <w:pageBreakBefore w:val="0"/>
        <w:widowControl w:val="0"/>
        <w:kinsoku/>
        <w:wordWrap/>
        <w:overflowPunct/>
        <w:topLinePunct w:val="0"/>
        <w:autoSpaceDE/>
        <w:autoSpaceDN/>
        <w:bidi w:val="0"/>
        <w:adjustRightInd/>
        <w:snapToGrid/>
        <w:spacing w:after="191" w:afterLines="50"/>
        <w:textAlignment w:val="auto"/>
        <w:rPr>
          <w:rFonts w:hint="eastAsia" w:ascii="宋体" w:hAnsi="宋体" w:eastAsia="宋体" w:cs="宋体"/>
          <w:b/>
          <w:sz w:val="24"/>
          <w:szCs w:val="24"/>
        </w:rPr>
      </w:pPr>
      <w:r>
        <w:rPr>
          <w:rFonts w:hint="eastAsia" w:ascii="宋体" w:hAnsi="宋体" w:eastAsia="宋体" w:cs="宋体"/>
          <w:b/>
          <w:sz w:val="24"/>
          <w:szCs w:val="24"/>
        </w:rPr>
        <w:t>服务期限</w:t>
      </w:r>
    </w:p>
    <w:p w14:paraId="17C4D1C6">
      <w:pPr>
        <w:pStyle w:val="13"/>
        <w:keepNext w:val="0"/>
        <w:keepLines w:val="0"/>
        <w:pageBreakBefore w:val="0"/>
        <w:widowControl w:val="0"/>
        <w:kinsoku/>
        <w:wordWrap/>
        <w:overflowPunct/>
        <w:topLinePunct w:val="0"/>
        <w:autoSpaceDE/>
        <w:autoSpaceDN/>
        <w:bidi w:val="0"/>
        <w:adjustRightInd/>
        <w:snapToGrid/>
        <w:spacing w:after="191" w:afterLines="50"/>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本合同确定的服务期为[</w:t>
      </w:r>
      <w:r>
        <w:rPr>
          <w:rFonts w:hint="eastAsia" w:ascii="宋体" w:hAnsi="宋体" w:eastAsia="宋体" w:cs="宋体"/>
          <w:sz w:val="24"/>
          <w:szCs w:val="24"/>
          <w:lang w:eastAsia="zh-CN"/>
        </w:rPr>
        <w:t>一</w:t>
      </w:r>
      <w:r>
        <w:rPr>
          <w:rFonts w:hint="eastAsia" w:ascii="宋体" w:hAnsi="宋体" w:eastAsia="宋体" w:cs="宋体"/>
          <w:sz w:val="24"/>
          <w:szCs w:val="24"/>
        </w:rPr>
        <w:t>]年，自本业务实际开通之日起计算。</w:t>
      </w:r>
    </w:p>
    <w:p w14:paraId="0818229A">
      <w:pPr>
        <w:keepNext w:val="0"/>
        <w:keepLines w:val="0"/>
        <w:pageBreakBefore w:val="0"/>
        <w:widowControl w:val="0"/>
        <w:kinsoku/>
        <w:wordWrap/>
        <w:overflowPunct/>
        <w:topLinePunct w:val="0"/>
        <w:autoSpaceDE/>
        <w:autoSpaceDN/>
        <w:bidi w:val="0"/>
        <w:adjustRightInd/>
        <w:snapToGrid/>
        <w:spacing w:after="191" w:afterLines="50"/>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br w:type="page"/>
      </w:r>
    </w:p>
    <w:p w14:paraId="67DC89E1">
      <w:pPr>
        <w:pStyle w:val="2"/>
        <w:numPr>
          <w:ilvl w:val="0"/>
          <w:numId w:val="0"/>
        </w:numPr>
        <w:rPr>
          <w:rFonts w:hint="eastAsia" w:ascii="宋体" w:hAnsi="宋体" w:cs="宋体"/>
          <w:szCs w:val="32"/>
        </w:rPr>
      </w:pPr>
      <w:r>
        <w:rPr>
          <w:rFonts w:hint="eastAsia" w:ascii="宋体" w:hAnsi="宋体" w:eastAsia="宋体" w:cs="宋体"/>
          <w:b/>
          <w:bCs/>
          <w:kern w:val="44"/>
          <w:sz w:val="32"/>
          <w:szCs w:val="32"/>
          <w:lang w:val="en-US" w:eastAsia="zh-CN" w:bidi="ar-SA"/>
        </w:rPr>
        <w:t>第六章</w:t>
      </w:r>
      <w:r>
        <w:rPr>
          <w:rFonts w:hint="eastAsia" w:ascii="宋体" w:hAnsi="宋体" w:cs="宋体"/>
          <w:bCs w:val="0"/>
          <w:szCs w:val="32"/>
        </w:rPr>
        <w:t>磋商响应文件格式</w:t>
      </w:r>
      <w:bookmarkEnd w:id="114"/>
      <w:bookmarkEnd w:id="116"/>
    </w:p>
    <w:p w14:paraId="14102D17">
      <w:pPr>
        <w:spacing w:line="520" w:lineRule="exact"/>
        <w:outlineLvl w:val="0"/>
        <w:rPr>
          <w:rFonts w:hint="eastAsia" w:ascii="宋体" w:hAnsi="宋体" w:cs="宋体"/>
          <w:sz w:val="28"/>
          <w:szCs w:val="28"/>
        </w:rPr>
      </w:pPr>
      <w:r>
        <w:rPr>
          <w:rFonts w:hint="eastAsia" w:ascii="宋体" w:hAnsi="宋体" w:cs="宋体"/>
          <w:szCs w:val="32"/>
        </w:rPr>
        <w:t xml:space="preserve"> </w:t>
      </w:r>
      <w:bookmarkStart w:id="117" w:name="_Toc3759"/>
      <w:r>
        <w:rPr>
          <w:rFonts w:hint="eastAsia" w:ascii="宋体" w:hAnsi="宋体" w:cs="宋体"/>
          <w:b/>
          <w:bCs/>
          <w:sz w:val="28"/>
          <w:szCs w:val="28"/>
        </w:rPr>
        <w:t>采购项目编号：</w:t>
      </w:r>
      <w:bookmarkEnd w:id="117"/>
    </w:p>
    <w:p w14:paraId="1D63C8D8">
      <w:pPr>
        <w:jc w:val="center"/>
        <w:rPr>
          <w:rFonts w:hint="eastAsia" w:ascii="宋体" w:hAnsi="宋体" w:cs="宋体"/>
          <w:sz w:val="48"/>
          <w:szCs w:val="48"/>
        </w:rPr>
      </w:pPr>
    </w:p>
    <w:p w14:paraId="388A7CE3">
      <w:pPr>
        <w:jc w:val="center"/>
        <w:rPr>
          <w:rFonts w:hint="eastAsia" w:ascii="宋体" w:hAnsi="宋体" w:eastAsia="宋体" w:cs="宋体"/>
          <w:sz w:val="44"/>
          <w:szCs w:val="44"/>
          <w:lang w:eastAsia="zh-CN"/>
        </w:rPr>
      </w:pPr>
      <w:r>
        <w:rPr>
          <w:rFonts w:hint="eastAsia" w:ascii="宋体" w:hAnsi="宋体" w:cs="宋体"/>
          <w:sz w:val="44"/>
          <w:szCs w:val="44"/>
          <w:lang w:eastAsia="zh-CN"/>
        </w:rPr>
        <w:t>安康市公安局汉滨分局81条天眼视频监控线路项目</w:t>
      </w:r>
    </w:p>
    <w:p w14:paraId="7E135EC3">
      <w:pPr>
        <w:tabs>
          <w:tab w:val="left" w:pos="632"/>
          <w:tab w:val="left" w:pos="1422"/>
        </w:tabs>
        <w:spacing w:before="95" w:beforeLines="25" w:after="95" w:afterLines="25"/>
        <w:rPr>
          <w:rFonts w:hint="eastAsia" w:ascii="宋体" w:hAnsi="宋体" w:cs="宋体"/>
          <w:sz w:val="24"/>
        </w:rPr>
      </w:pPr>
      <w:r>
        <w:rPr>
          <w:rFonts w:hint="eastAsia" w:ascii="宋体" w:hAnsi="宋体" w:cs="宋体"/>
          <w:sz w:val="24"/>
        </w:rPr>
        <w:t xml:space="preserve">            </w:t>
      </w:r>
    </w:p>
    <w:p w14:paraId="61DAA7D7">
      <w:pPr>
        <w:jc w:val="center"/>
        <w:rPr>
          <w:rFonts w:hint="eastAsia" w:ascii="宋体" w:hAnsi="宋体" w:cs="宋体"/>
          <w:sz w:val="48"/>
          <w:szCs w:val="48"/>
        </w:rPr>
      </w:pPr>
    </w:p>
    <w:p w14:paraId="46F9352D">
      <w:pPr>
        <w:jc w:val="center"/>
        <w:rPr>
          <w:rFonts w:hint="eastAsia" w:ascii="宋体" w:hAnsi="宋体" w:cs="宋体"/>
          <w:color w:val="000000"/>
          <w:sz w:val="84"/>
          <w:szCs w:val="52"/>
        </w:rPr>
      </w:pPr>
      <w:r>
        <w:rPr>
          <w:rFonts w:hint="eastAsia" w:ascii="宋体" w:hAnsi="宋体" w:cs="宋体"/>
          <w:sz w:val="48"/>
          <w:szCs w:val="48"/>
        </w:rPr>
        <w:t>磋 商 响 应 文 件</w:t>
      </w:r>
    </w:p>
    <w:p w14:paraId="35AF13BD">
      <w:pPr>
        <w:pStyle w:val="46"/>
        <w:wordWrap w:val="0"/>
        <w:snapToGrid w:val="0"/>
        <w:jc w:val="center"/>
        <w:rPr>
          <w:rFonts w:hint="eastAsia" w:ascii="宋体" w:hAnsi="宋体" w:cs="宋体"/>
          <w:color w:val="000000"/>
          <w:sz w:val="28"/>
          <w:szCs w:val="28"/>
        </w:rPr>
      </w:pPr>
    </w:p>
    <w:p w14:paraId="7BB032E5">
      <w:pPr>
        <w:pStyle w:val="46"/>
        <w:wordWrap w:val="0"/>
        <w:snapToGrid w:val="0"/>
        <w:jc w:val="center"/>
        <w:rPr>
          <w:rFonts w:hint="eastAsia" w:ascii="宋体" w:hAnsi="宋体" w:cs="宋体"/>
          <w:color w:val="000000"/>
          <w:sz w:val="28"/>
          <w:szCs w:val="28"/>
        </w:rPr>
      </w:pPr>
    </w:p>
    <w:p w14:paraId="18DEA5D8">
      <w:pPr>
        <w:tabs>
          <w:tab w:val="left" w:pos="632"/>
          <w:tab w:val="left" w:pos="1422"/>
        </w:tabs>
        <w:spacing w:before="95" w:beforeLines="25" w:after="95" w:afterLines="25"/>
        <w:ind w:firstLine="720" w:firstLineChars="200"/>
        <w:jc w:val="center"/>
        <w:rPr>
          <w:rFonts w:hint="eastAsia" w:ascii="宋体" w:hAnsi="宋体" w:cs="宋体"/>
          <w:sz w:val="36"/>
          <w:szCs w:val="36"/>
        </w:rPr>
      </w:pPr>
      <w:r>
        <w:rPr>
          <w:rFonts w:hint="eastAsia" w:ascii="宋体" w:hAnsi="宋体" w:cs="宋体"/>
          <w:sz w:val="36"/>
          <w:szCs w:val="36"/>
        </w:rPr>
        <w:t>正本（副本）</w:t>
      </w:r>
    </w:p>
    <w:p w14:paraId="0EA675E4">
      <w:pPr>
        <w:pStyle w:val="46"/>
        <w:wordWrap w:val="0"/>
        <w:snapToGrid w:val="0"/>
        <w:jc w:val="center"/>
        <w:rPr>
          <w:rFonts w:hint="eastAsia" w:ascii="宋体" w:hAnsi="宋体" w:cs="宋体"/>
          <w:color w:val="000000"/>
          <w:sz w:val="28"/>
          <w:szCs w:val="28"/>
        </w:rPr>
      </w:pPr>
      <w:r>
        <w:rPr>
          <w:rFonts w:hint="eastAsia" w:ascii="宋体" w:hAnsi="宋体" w:cs="宋体"/>
          <w:color w:val="000000"/>
          <w:sz w:val="28"/>
          <w:szCs w:val="28"/>
        </w:rPr>
        <w:t xml:space="preserve">  </w:t>
      </w:r>
    </w:p>
    <w:p w14:paraId="3BAD88D3">
      <w:pPr>
        <w:spacing w:line="440" w:lineRule="exact"/>
        <w:rPr>
          <w:rFonts w:hint="eastAsia" w:ascii="宋体" w:hAnsi="宋体" w:cs="宋体"/>
          <w:color w:val="000000"/>
          <w:sz w:val="28"/>
          <w:szCs w:val="28"/>
          <w:u w:val="single"/>
        </w:rPr>
      </w:pPr>
    </w:p>
    <w:p w14:paraId="0B62DDAE">
      <w:pPr>
        <w:spacing w:line="440" w:lineRule="exact"/>
        <w:rPr>
          <w:rFonts w:hint="eastAsia" w:ascii="宋体" w:hAnsi="宋体" w:cs="宋体"/>
          <w:color w:val="000000"/>
          <w:sz w:val="28"/>
          <w:szCs w:val="28"/>
          <w:u w:val="single"/>
        </w:rPr>
      </w:pPr>
    </w:p>
    <w:p w14:paraId="4256EB9F">
      <w:pPr>
        <w:spacing w:line="440" w:lineRule="exact"/>
        <w:rPr>
          <w:rFonts w:hint="eastAsia" w:ascii="宋体" w:hAnsi="宋体" w:cs="宋体"/>
          <w:color w:val="000000"/>
          <w:sz w:val="28"/>
          <w:szCs w:val="28"/>
          <w:u w:val="single"/>
        </w:rPr>
      </w:pPr>
    </w:p>
    <w:p w14:paraId="5B0FB1AA">
      <w:pPr>
        <w:spacing w:line="440" w:lineRule="exact"/>
        <w:rPr>
          <w:rFonts w:hint="eastAsia" w:ascii="宋体" w:hAnsi="宋体" w:cs="宋体"/>
          <w:color w:val="000000"/>
          <w:sz w:val="28"/>
          <w:szCs w:val="28"/>
          <w:u w:val="single"/>
        </w:rPr>
      </w:pPr>
    </w:p>
    <w:p w14:paraId="6B16CFF4">
      <w:pPr>
        <w:spacing w:line="440" w:lineRule="exact"/>
        <w:rPr>
          <w:rFonts w:hint="eastAsia" w:ascii="宋体" w:hAnsi="宋体" w:cs="宋体"/>
          <w:color w:val="000000"/>
          <w:sz w:val="28"/>
          <w:szCs w:val="28"/>
          <w:u w:val="single"/>
        </w:rPr>
      </w:pPr>
    </w:p>
    <w:p w14:paraId="1AFE9B3A">
      <w:pPr>
        <w:spacing w:line="440" w:lineRule="exact"/>
        <w:rPr>
          <w:rFonts w:hint="eastAsia" w:ascii="宋体" w:hAnsi="宋体" w:cs="宋体"/>
          <w:color w:val="000000"/>
          <w:sz w:val="28"/>
          <w:szCs w:val="28"/>
        </w:rPr>
      </w:pPr>
    </w:p>
    <w:p w14:paraId="660AD1FF">
      <w:pPr>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             磋商响应单位：</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（盖章） </w:t>
      </w:r>
    </w:p>
    <w:p w14:paraId="3B4089D4">
      <w:pPr>
        <w:spacing w:line="440" w:lineRule="exact"/>
        <w:ind w:firstLine="1783" w:firstLineChars="637"/>
        <w:rPr>
          <w:rFonts w:hint="eastAsia" w:ascii="宋体" w:hAnsi="宋体" w:cs="宋体"/>
          <w:color w:val="000000"/>
          <w:sz w:val="28"/>
          <w:szCs w:val="28"/>
        </w:rPr>
      </w:pPr>
    </w:p>
    <w:p w14:paraId="27DDEEF8">
      <w:pPr>
        <w:spacing w:line="440" w:lineRule="exact"/>
        <w:ind w:firstLine="1783" w:firstLineChars="637"/>
        <w:rPr>
          <w:rFonts w:hint="eastAsia" w:ascii="宋体" w:hAnsi="宋体" w:cs="宋体"/>
          <w:color w:val="000000"/>
          <w:sz w:val="28"/>
          <w:szCs w:val="28"/>
          <w:u w:val="single"/>
        </w:rPr>
      </w:pPr>
      <w:r>
        <w:rPr>
          <w:rFonts w:hint="eastAsia" w:ascii="宋体" w:hAnsi="宋体" w:cs="宋体"/>
          <w:color w:val="000000"/>
          <w:sz w:val="28"/>
          <w:szCs w:val="28"/>
        </w:rPr>
        <w:t>法定代表人或其委托代理人：</w:t>
      </w:r>
      <w:r>
        <w:rPr>
          <w:rFonts w:hint="eastAsia" w:ascii="宋体" w:hAnsi="宋体" w:cs="宋体"/>
          <w:color w:val="000000"/>
          <w:sz w:val="28"/>
          <w:szCs w:val="28"/>
          <w:u w:val="single"/>
        </w:rPr>
        <w:t xml:space="preserve">           </w:t>
      </w:r>
      <w:r>
        <w:rPr>
          <w:rFonts w:hint="eastAsia" w:ascii="宋体" w:hAnsi="宋体" w:cs="宋体"/>
          <w:color w:val="000000"/>
          <w:sz w:val="28"/>
          <w:szCs w:val="28"/>
        </w:rPr>
        <w:t>（ 签字或盖章）</w:t>
      </w:r>
    </w:p>
    <w:p w14:paraId="5DF722C0">
      <w:pPr>
        <w:spacing w:line="440" w:lineRule="exact"/>
        <w:ind w:firstLine="1783" w:firstLineChars="637"/>
        <w:rPr>
          <w:rFonts w:hint="eastAsia" w:ascii="宋体" w:hAnsi="宋体" w:cs="宋体"/>
          <w:color w:val="000000"/>
          <w:sz w:val="28"/>
          <w:szCs w:val="28"/>
          <w:u w:val="single"/>
        </w:rPr>
      </w:pPr>
    </w:p>
    <w:p w14:paraId="162D0F9F">
      <w:pPr>
        <w:ind w:firstLine="1783" w:firstLineChars="637"/>
        <w:rPr>
          <w:rFonts w:hint="eastAsia" w:ascii="宋体" w:hAnsi="宋体" w:cs="宋体"/>
          <w:sz w:val="28"/>
          <w:szCs w:val="28"/>
        </w:rPr>
      </w:pPr>
      <w:r>
        <w:rPr>
          <w:rFonts w:hint="eastAsia" w:ascii="宋体" w:hAnsi="宋体" w:cs="宋体"/>
          <w:color w:val="000000"/>
          <w:sz w:val="28"/>
          <w:szCs w:val="28"/>
        </w:rPr>
        <w:t>日   期  ：</w:t>
      </w:r>
      <w:r>
        <w:rPr>
          <w:rFonts w:hint="eastAsia" w:ascii="宋体" w:hAnsi="宋体" w:cs="宋体"/>
          <w:color w:val="000000"/>
          <w:sz w:val="28"/>
          <w:szCs w:val="28"/>
          <w:u w:val="single"/>
        </w:rPr>
        <w:t xml:space="preserve">         </w:t>
      </w:r>
      <w:r>
        <w:rPr>
          <w:rFonts w:hint="eastAsia" w:ascii="宋体" w:hAnsi="宋体" w:cs="宋体"/>
          <w:color w:val="000000"/>
          <w:sz w:val="28"/>
          <w:szCs w:val="28"/>
        </w:rPr>
        <w:t>年</w:t>
      </w:r>
      <w:r>
        <w:rPr>
          <w:rFonts w:hint="eastAsia" w:ascii="宋体" w:hAnsi="宋体" w:cs="宋体"/>
          <w:color w:val="000000"/>
          <w:sz w:val="28"/>
          <w:szCs w:val="28"/>
          <w:u w:val="single"/>
        </w:rPr>
        <w:t xml:space="preserve">       </w:t>
      </w:r>
      <w:r>
        <w:rPr>
          <w:rFonts w:hint="eastAsia" w:ascii="宋体" w:hAnsi="宋体" w:cs="宋体"/>
          <w:color w:val="000000"/>
          <w:sz w:val="28"/>
          <w:szCs w:val="28"/>
        </w:rPr>
        <w:t>月</w:t>
      </w:r>
      <w:r>
        <w:rPr>
          <w:rFonts w:hint="eastAsia" w:ascii="宋体" w:hAnsi="宋体" w:cs="宋体"/>
          <w:color w:val="000000"/>
          <w:sz w:val="28"/>
          <w:szCs w:val="28"/>
          <w:u w:val="single"/>
        </w:rPr>
        <w:t xml:space="preserve">       </w:t>
      </w:r>
      <w:r>
        <w:rPr>
          <w:rFonts w:hint="eastAsia" w:ascii="宋体" w:hAnsi="宋体" w:cs="宋体"/>
          <w:color w:val="000000"/>
          <w:sz w:val="28"/>
          <w:szCs w:val="28"/>
        </w:rPr>
        <w:t>日</w:t>
      </w:r>
    </w:p>
    <w:p w14:paraId="4CE01284">
      <w:pPr>
        <w:pStyle w:val="4"/>
        <w:jc w:val="center"/>
        <w:rPr>
          <w:rFonts w:hint="eastAsia" w:ascii="宋体" w:hAnsi="宋体" w:cs="宋体"/>
          <w:szCs w:val="28"/>
        </w:rPr>
      </w:pPr>
      <w:bookmarkStart w:id="118" w:name="_Toc184635137"/>
      <w:r>
        <w:rPr>
          <w:rFonts w:hint="eastAsia" w:ascii="宋体" w:hAnsi="宋体" w:cs="宋体"/>
          <w:szCs w:val="28"/>
        </w:rPr>
        <w:br w:type="page"/>
      </w:r>
      <w:bookmarkStart w:id="119" w:name="_Toc22890"/>
      <w:r>
        <w:rPr>
          <w:rFonts w:hint="eastAsia" w:ascii="宋体" w:hAnsi="宋体" w:cs="宋体"/>
        </w:rPr>
        <w:t>目  录</w:t>
      </w:r>
      <w:bookmarkEnd w:id="118"/>
      <w:bookmarkEnd w:id="119"/>
    </w:p>
    <w:p w14:paraId="5D5D861A">
      <w:pPr>
        <w:spacing w:line="360" w:lineRule="auto"/>
        <w:ind w:firstLine="840" w:firstLineChars="300"/>
        <w:outlineLvl w:val="0"/>
        <w:rPr>
          <w:rFonts w:hint="eastAsia" w:ascii="宋体" w:hAnsi="宋体" w:cs="宋体"/>
          <w:sz w:val="28"/>
          <w:szCs w:val="28"/>
        </w:rPr>
      </w:pPr>
      <w:bookmarkStart w:id="120" w:name="_Toc14233"/>
      <w:r>
        <w:rPr>
          <w:rFonts w:hint="eastAsia" w:ascii="宋体" w:hAnsi="宋体" w:cs="宋体"/>
          <w:sz w:val="28"/>
          <w:szCs w:val="28"/>
        </w:rPr>
        <w:t>一、磋商响应函</w:t>
      </w:r>
      <w:bookmarkEnd w:id="120"/>
    </w:p>
    <w:p w14:paraId="38FEEFBA">
      <w:pPr>
        <w:spacing w:line="360" w:lineRule="auto"/>
        <w:ind w:firstLine="840" w:firstLineChars="300"/>
        <w:outlineLvl w:val="0"/>
        <w:rPr>
          <w:rFonts w:hint="eastAsia" w:ascii="宋体" w:hAnsi="宋体" w:cs="宋体"/>
          <w:sz w:val="28"/>
          <w:szCs w:val="28"/>
        </w:rPr>
      </w:pPr>
      <w:bookmarkStart w:id="121" w:name="_Toc17147"/>
      <w:r>
        <w:rPr>
          <w:rFonts w:hint="eastAsia" w:ascii="宋体" w:hAnsi="宋体" w:cs="宋体"/>
          <w:sz w:val="28"/>
          <w:szCs w:val="28"/>
        </w:rPr>
        <w:t>二、法定代表人身份证明及授权委托书</w:t>
      </w:r>
      <w:bookmarkEnd w:id="121"/>
    </w:p>
    <w:p w14:paraId="2AE34678">
      <w:pPr>
        <w:spacing w:line="360" w:lineRule="auto"/>
        <w:ind w:firstLine="840" w:firstLineChars="300"/>
        <w:outlineLvl w:val="0"/>
        <w:rPr>
          <w:rFonts w:hint="eastAsia" w:ascii="宋体" w:hAnsi="宋体" w:cs="宋体"/>
          <w:bCs/>
          <w:sz w:val="28"/>
          <w:szCs w:val="28"/>
        </w:rPr>
      </w:pPr>
      <w:bookmarkStart w:id="122" w:name="_Toc25066"/>
      <w:r>
        <w:rPr>
          <w:rFonts w:hint="eastAsia" w:ascii="宋体" w:hAnsi="宋体" w:cs="宋体"/>
          <w:sz w:val="28"/>
          <w:szCs w:val="28"/>
        </w:rPr>
        <w:t>三、</w:t>
      </w:r>
      <w:r>
        <w:rPr>
          <w:rFonts w:hint="eastAsia" w:ascii="宋体" w:hAnsi="宋体" w:cs="宋体"/>
          <w:bCs/>
          <w:sz w:val="28"/>
          <w:szCs w:val="28"/>
        </w:rPr>
        <w:t>磋商响应报价一览表</w:t>
      </w:r>
      <w:bookmarkEnd w:id="122"/>
    </w:p>
    <w:p w14:paraId="40CD755F">
      <w:pPr>
        <w:spacing w:line="360" w:lineRule="auto"/>
        <w:ind w:firstLine="840" w:firstLineChars="300"/>
        <w:outlineLvl w:val="0"/>
        <w:rPr>
          <w:rFonts w:hint="eastAsia" w:ascii="宋体" w:hAnsi="宋体" w:cs="宋体"/>
          <w:bCs/>
          <w:sz w:val="28"/>
          <w:szCs w:val="28"/>
        </w:rPr>
      </w:pPr>
      <w:bookmarkStart w:id="123" w:name="_Toc1931"/>
      <w:r>
        <w:rPr>
          <w:rFonts w:hint="eastAsia" w:ascii="宋体" w:hAnsi="宋体" w:cs="宋体"/>
          <w:bCs/>
          <w:sz w:val="28"/>
          <w:szCs w:val="28"/>
        </w:rPr>
        <w:t>四、磋商响应单位基本情况表</w:t>
      </w:r>
      <w:bookmarkEnd w:id="123"/>
    </w:p>
    <w:p w14:paraId="08079AC7">
      <w:pPr>
        <w:spacing w:line="360" w:lineRule="auto"/>
        <w:ind w:firstLine="840" w:firstLineChars="300"/>
        <w:outlineLvl w:val="0"/>
        <w:rPr>
          <w:rFonts w:hint="eastAsia" w:ascii="宋体" w:hAnsi="宋体" w:eastAsia="宋体" w:cs="宋体"/>
          <w:sz w:val="28"/>
          <w:szCs w:val="28"/>
          <w:lang w:eastAsia="zh-CN"/>
        </w:rPr>
      </w:pPr>
      <w:bookmarkStart w:id="124" w:name="_Toc32332"/>
      <w:r>
        <w:rPr>
          <w:rFonts w:hint="eastAsia" w:ascii="宋体" w:hAnsi="宋体" w:cs="宋体"/>
          <w:sz w:val="28"/>
          <w:szCs w:val="28"/>
        </w:rPr>
        <w:t>五、</w:t>
      </w:r>
      <w:r>
        <w:rPr>
          <w:rFonts w:hint="eastAsia" w:ascii="宋体" w:hAnsi="宋体" w:cs="宋体"/>
          <w:bCs/>
          <w:sz w:val="28"/>
          <w:szCs w:val="28"/>
          <w:lang w:eastAsia="zh-CN"/>
        </w:rPr>
        <w:t>技术方案</w:t>
      </w:r>
      <w:bookmarkEnd w:id="124"/>
    </w:p>
    <w:p w14:paraId="21162255">
      <w:pPr>
        <w:spacing w:line="360" w:lineRule="auto"/>
        <w:ind w:firstLine="840" w:firstLineChars="300"/>
        <w:outlineLvl w:val="0"/>
        <w:rPr>
          <w:rFonts w:hint="eastAsia" w:ascii="宋体" w:hAnsi="宋体" w:eastAsia="宋体" w:cs="宋体"/>
          <w:sz w:val="28"/>
          <w:szCs w:val="28"/>
          <w:lang w:eastAsia="zh-CN"/>
        </w:rPr>
      </w:pPr>
      <w:bookmarkStart w:id="125" w:name="_Toc22095"/>
      <w:r>
        <w:rPr>
          <w:rFonts w:hint="eastAsia" w:ascii="宋体" w:hAnsi="宋体" w:cs="宋体"/>
          <w:sz w:val="28"/>
          <w:szCs w:val="28"/>
        </w:rPr>
        <w:t>六、</w:t>
      </w:r>
      <w:bookmarkEnd w:id="125"/>
      <w:r>
        <w:rPr>
          <w:rFonts w:hint="eastAsia" w:ascii="宋体" w:hAnsi="宋体" w:cs="宋体"/>
          <w:bCs/>
          <w:sz w:val="28"/>
          <w:szCs w:val="28"/>
          <w:lang w:eastAsia="zh-CN"/>
        </w:rPr>
        <w:t>服务承诺</w:t>
      </w:r>
    </w:p>
    <w:p w14:paraId="7A11CEC4">
      <w:pPr>
        <w:spacing w:line="360" w:lineRule="auto"/>
        <w:ind w:firstLine="840" w:firstLineChars="300"/>
        <w:outlineLvl w:val="0"/>
        <w:rPr>
          <w:rFonts w:hint="eastAsia" w:ascii="宋体" w:hAnsi="宋体" w:cs="宋体"/>
          <w:sz w:val="28"/>
          <w:szCs w:val="28"/>
        </w:rPr>
      </w:pPr>
      <w:bookmarkStart w:id="126" w:name="_Toc32737"/>
      <w:r>
        <w:rPr>
          <w:rFonts w:hint="eastAsia" w:ascii="宋体" w:hAnsi="宋体" w:cs="宋体"/>
          <w:sz w:val="28"/>
          <w:szCs w:val="28"/>
        </w:rPr>
        <w:t>七、资格证明文件</w:t>
      </w:r>
      <w:bookmarkEnd w:id="126"/>
    </w:p>
    <w:p w14:paraId="34B76920">
      <w:pPr>
        <w:spacing w:line="360" w:lineRule="auto"/>
        <w:rPr>
          <w:rFonts w:hint="eastAsia" w:ascii="宋体" w:hAnsi="宋体" w:cs="宋体"/>
          <w:sz w:val="28"/>
          <w:szCs w:val="28"/>
        </w:rPr>
      </w:pPr>
    </w:p>
    <w:p w14:paraId="37961A33">
      <w:pPr>
        <w:spacing w:line="360" w:lineRule="auto"/>
        <w:rPr>
          <w:rFonts w:hint="eastAsia" w:ascii="宋体" w:hAnsi="宋体" w:cs="宋体"/>
          <w:b/>
          <w:bCs/>
          <w:sz w:val="28"/>
          <w:szCs w:val="28"/>
        </w:rPr>
      </w:pPr>
      <w:r>
        <w:rPr>
          <w:rFonts w:hint="eastAsia" w:ascii="宋体" w:hAnsi="宋体" w:cs="宋体"/>
          <w:sz w:val="28"/>
          <w:szCs w:val="28"/>
        </w:rPr>
        <w:t xml:space="preserve">  </w:t>
      </w:r>
    </w:p>
    <w:p w14:paraId="77355F6B">
      <w:pPr>
        <w:widowControl/>
        <w:snapToGrid w:val="0"/>
        <w:spacing w:line="480" w:lineRule="atLeast"/>
        <w:jc w:val="center"/>
        <w:outlineLvl w:val="0"/>
        <w:rPr>
          <w:rFonts w:hint="eastAsia" w:ascii="宋体" w:hAnsi="宋体" w:cs="宋体"/>
          <w:b/>
          <w:bCs/>
          <w:kern w:val="0"/>
          <w:sz w:val="30"/>
          <w:szCs w:val="30"/>
        </w:rPr>
      </w:pPr>
      <w:r>
        <w:rPr>
          <w:rFonts w:hint="eastAsia" w:ascii="宋体" w:hAnsi="宋体" w:cs="宋体"/>
          <w:b/>
          <w:bCs/>
          <w:sz w:val="28"/>
          <w:szCs w:val="28"/>
        </w:rPr>
        <w:br w:type="page"/>
      </w:r>
      <w:bookmarkStart w:id="127" w:name="_Toc31496"/>
      <w:r>
        <w:rPr>
          <w:rFonts w:hint="eastAsia" w:ascii="宋体" w:hAnsi="宋体" w:cs="宋体"/>
          <w:b/>
          <w:bCs/>
          <w:sz w:val="28"/>
          <w:szCs w:val="28"/>
        </w:rPr>
        <w:t>一、</w:t>
      </w:r>
      <w:r>
        <w:rPr>
          <w:rFonts w:hint="eastAsia" w:ascii="宋体" w:hAnsi="宋体" w:cs="宋体"/>
          <w:b/>
          <w:bCs/>
          <w:kern w:val="0"/>
          <w:sz w:val="30"/>
          <w:szCs w:val="30"/>
        </w:rPr>
        <w:t>磋商响应函</w:t>
      </w:r>
      <w:bookmarkEnd w:id="127"/>
    </w:p>
    <w:p w14:paraId="7E73473F">
      <w:pPr>
        <w:widowControl/>
        <w:snapToGrid w:val="0"/>
        <w:spacing w:line="480" w:lineRule="atLeast"/>
        <w:jc w:val="center"/>
        <w:rPr>
          <w:rFonts w:hint="eastAsia" w:ascii="宋体" w:hAnsi="宋体" w:cs="宋体"/>
          <w:b/>
          <w:bCs/>
          <w:kern w:val="0"/>
          <w:sz w:val="24"/>
        </w:rPr>
      </w:pPr>
    </w:p>
    <w:p w14:paraId="38731B86">
      <w:pPr>
        <w:widowControl/>
        <w:spacing w:line="520" w:lineRule="exact"/>
        <w:rPr>
          <w:rFonts w:hint="eastAsia" w:ascii="宋体" w:hAnsi="宋体" w:cs="宋体"/>
          <w:b/>
          <w:kern w:val="0"/>
          <w:sz w:val="24"/>
          <w:u w:val="single"/>
        </w:rPr>
      </w:pPr>
      <w:r>
        <w:rPr>
          <w:rFonts w:hint="eastAsia" w:ascii="宋体" w:hAnsi="宋体" w:cs="宋体"/>
          <w:kern w:val="0"/>
          <w:sz w:val="24"/>
        </w:rPr>
        <w:t>致</w:t>
      </w:r>
      <w:r>
        <w:rPr>
          <w:rFonts w:hint="eastAsia" w:ascii="宋体" w:hAnsi="宋体" w:cs="宋体"/>
          <w:b/>
          <w:kern w:val="0"/>
          <w:sz w:val="24"/>
        </w:rPr>
        <w:t>：</w:t>
      </w:r>
      <w:r>
        <w:rPr>
          <w:rFonts w:hint="eastAsia" w:ascii="宋体" w:hAnsi="宋体" w:cs="宋体"/>
          <w:b/>
          <w:kern w:val="0"/>
          <w:sz w:val="24"/>
          <w:u w:val="single"/>
        </w:rPr>
        <w:t xml:space="preserve">   </w:t>
      </w:r>
      <w:r>
        <w:rPr>
          <w:rFonts w:hint="eastAsia" w:ascii="宋体" w:hAnsi="宋体" w:cs="宋体"/>
          <w:kern w:val="0"/>
          <w:sz w:val="24"/>
          <w:u w:val="single"/>
        </w:rPr>
        <w:t xml:space="preserve">     （</w:t>
      </w:r>
      <w:r>
        <w:rPr>
          <w:rFonts w:hint="eastAsia" w:ascii="宋体" w:hAnsi="宋体" w:cs="宋体"/>
          <w:kern w:val="0"/>
          <w:sz w:val="24"/>
          <w:u w:val="single"/>
          <w:lang w:val="en-US" w:eastAsia="zh-CN"/>
        </w:rPr>
        <w:t>采购</w:t>
      </w:r>
      <w:r>
        <w:rPr>
          <w:rFonts w:hint="eastAsia" w:ascii="宋体" w:hAnsi="宋体" w:cs="宋体"/>
          <w:kern w:val="0"/>
          <w:sz w:val="24"/>
          <w:u w:val="single"/>
        </w:rPr>
        <w:t>人名称）</w:t>
      </w:r>
    </w:p>
    <w:p w14:paraId="7C5C0381">
      <w:pPr>
        <w:spacing w:line="520" w:lineRule="exact"/>
        <w:ind w:firstLine="480" w:firstLineChars="200"/>
        <w:outlineLvl w:val="1"/>
        <w:rPr>
          <w:rFonts w:hint="eastAsia" w:ascii="宋体" w:hAnsi="宋体" w:cs="宋体"/>
          <w:sz w:val="24"/>
        </w:rPr>
      </w:pPr>
      <w:bookmarkStart w:id="128" w:name="_Toc6866"/>
      <w:r>
        <w:rPr>
          <w:rFonts w:hint="eastAsia" w:ascii="宋体" w:hAnsi="宋体" w:cs="宋体"/>
          <w:sz w:val="24"/>
        </w:rPr>
        <w:t>根据贵方项目编号为</w:t>
      </w:r>
      <w:r>
        <w:rPr>
          <w:rFonts w:hint="eastAsia" w:ascii="宋体" w:hAnsi="宋体" w:cs="宋体"/>
          <w:sz w:val="24"/>
          <w:u w:val="single"/>
        </w:rPr>
        <w:t xml:space="preserve">       </w:t>
      </w:r>
      <w:r>
        <w:rPr>
          <w:rFonts w:hint="eastAsia" w:ascii="宋体" w:hAnsi="宋体" w:cs="宋体"/>
          <w:sz w:val="24"/>
        </w:rPr>
        <w:t>号的</w:t>
      </w:r>
      <w:r>
        <w:rPr>
          <w:rFonts w:hint="eastAsia" w:ascii="宋体" w:hAnsi="宋体" w:cs="宋体"/>
          <w:sz w:val="24"/>
          <w:u w:val="single"/>
        </w:rPr>
        <w:t xml:space="preserve">          </w:t>
      </w:r>
      <w:r>
        <w:rPr>
          <w:rFonts w:hint="eastAsia" w:ascii="宋体" w:hAnsi="宋体" w:cs="宋体"/>
          <w:sz w:val="24"/>
        </w:rPr>
        <w:t>（项目名称）的竞争性磋商文件，签字代表：</w:t>
      </w:r>
      <w:r>
        <w:rPr>
          <w:rFonts w:hint="eastAsia" w:ascii="宋体" w:hAnsi="宋体" w:cs="宋体"/>
          <w:sz w:val="24"/>
          <w:u w:val="single"/>
        </w:rPr>
        <w:t xml:space="preserve">（法人代表）  </w:t>
      </w:r>
      <w:r>
        <w:rPr>
          <w:rFonts w:hint="eastAsia" w:ascii="宋体" w:hAnsi="宋体" w:cs="宋体"/>
          <w:sz w:val="24"/>
        </w:rPr>
        <w:t>正式授权</w:t>
      </w:r>
      <w:r>
        <w:rPr>
          <w:rFonts w:hint="eastAsia" w:ascii="宋体" w:hAnsi="宋体" w:cs="宋体"/>
          <w:sz w:val="24"/>
          <w:u w:val="single"/>
        </w:rPr>
        <w:t>（授权委托人）</w:t>
      </w:r>
      <w:r>
        <w:rPr>
          <w:rFonts w:hint="eastAsia" w:ascii="宋体" w:hAnsi="宋体" w:cs="宋体"/>
          <w:sz w:val="24"/>
        </w:rPr>
        <w:t>并代表竞争性磋商人</w:t>
      </w:r>
      <w:r>
        <w:rPr>
          <w:rFonts w:hint="eastAsia" w:ascii="宋体" w:hAnsi="宋体" w:cs="宋体"/>
          <w:sz w:val="24"/>
          <w:u w:val="single"/>
        </w:rPr>
        <w:t xml:space="preserve"> （单位名称、单位地址） </w:t>
      </w:r>
      <w:r>
        <w:rPr>
          <w:rFonts w:hint="eastAsia" w:ascii="宋体" w:hAnsi="宋体" w:cs="宋体"/>
          <w:sz w:val="24"/>
        </w:rPr>
        <w:t>提交竞争性磋商文件</w:t>
      </w:r>
      <w:r>
        <w:rPr>
          <w:rFonts w:hint="eastAsia" w:ascii="宋体" w:hAnsi="宋体" w:cs="宋体"/>
          <w:sz w:val="24"/>
          <w:u w:val="single"/>
        </w:rPr>
        <w:t xml:space="preserve">    </w:t>
      </w:r>
      <w:r>
        <w:rPr>
          <w:rFonts w:hint="eastAsia" w:ascii="宋体" w:hAnsi="宋体" w:cs="宋体"/>
          <w:sz w:val="24"/>
        </w:rPr>
        <w:t>份，并对之负法律责任。</w:t>
      </w:r>
      <w:bookmarkEnd w:id="128"/>
      <w:r>
        <w:rPr>
          <w:rFonts w:hint="eastAsia" w:ascii="宋体" w:hAnsi="宋体" w:cs="宋体"/>
          <w:sz w:val="24"/>
        </w:rPr>
        <w:t xml:space="preserve"> </w:t>
      </w:r>
    </w:p>
    <w:p w14:paraId="47A83FAC">
      <w:pPr>
        <w:spacing w:line="520" w:lineRule="exact"/>
        <w:ind w:firstLine="480" w:firstLineChars="200"/>
        <w:outlineLvl w:val="1"/>
        <w:rPr>
          <w:rFonts w:hint="eastAsia" w:ascii="宋体" w:hAnsi="宋体" w:cs="宋体"/>
          <w:sz w:val="24"/>
        </w:rPr>
      </w:pPr>
      <w:bookmarkStart w:id="129" w:name="_Toc384"/>
      <w:r>
        <w:rPr>
          <w:rFonts w:hint="eastAsia" w:ascii="宋体" w:hAnsi="宋体" w:cs="宋体"/>
          <w:sz w:val="24"/>
        </w:rPr>
        <w:t>据此函，签字代表宣布同意如下：</w:t>
      </w:r>
      <w:bookmarkEnd w:id="129"/>
    </w:p>
    <w:p w14:paraId="7E35A47A">
      <w:pPr>
        <w:spacing w:line="520" w:lineRule="exact"/>
        <w:ind w:firstLine="480" w:firstLineChars="200"/>
        <w:outlineLvl w:val="1"/>
        <w:rPr>
          <w:rFonts w:hint="eastAsia" w:ascii="宋体" w:hAnsi="宋体" w:cs="宋体"/>
          <w:sz w:val="24"/>
        </w:rPr>
      </w:pPr>
      <w:bookmarkStart w:id="130" w:name="_Toc5747"/>
      <w:r>
        <w:rPr>
          <w:rFonts w:hint="eastAsia" w:ascii="宋体" w:hAnsi="宋体" w:cs="宋体"/>
          <w:sz w:val="24"/>
        </w:rPr>
        <w:t>1、我方已仔细研究了</w:t>
      </w:r>
      <w:r>
        <w:rPr>
          <w:rFonts w:hint="eastAsia" w:ascii="宋体" w:hAnsi="宋体" w:cs="宋体"/>
          <w:sz w:val="24"/>
          <w:u w:val="single"/>
        </w:rPr>
        <w:t xml:space="preserve">                      （项目名称）</w:t>
      </w:r>
      <w:r>
        <w:rPr>
          <w:rFonts w:hint="eastAsia" w:ascii="宋体" w:hAnsi="宋体" w:cs="宋体"/>
          <w:sz w:val="24"/>
        </w:rPr>
        <w:t>竞争性磋商文件的全部内容，我们将遵照竞争性磋商文件的要求和合同约定承担贵单位</w:t>
      </w:r>
      <w:r>
        <w:rPr>
          <w:rFonts w:hint="eastAsia" w:ascii="宋体" w:hAnsi="宋体" w:cs="宋体"/>
          <w:sz w:val="24"/>
          <w:u w:val="single"/>
        </w:rPr>
        <w:t xml:space="preserve">                   （项目名称）</w:t>
      </w:r>
      <w:r>
        <w:rPr>
          <w:rFonts w:hint="eastAsia" w:ascii="宋体" w:hAnsi="宋体" w:cs="宋体"/>
          <w:sz w:val="24"/>
        </w:rPr>
        <w:t>任务。</w:t>
      </w:r>
      <w:bookmarkEnd w:id="130"/>
    </w:p>
    <w:p w14:paraId="0BF86524">
      <w:pPr>
        <w:spacing w:line="520" w:lineRule="exact"/>
        <w:ind w:firstLine="480" w:firstLineChars="200"/>
        <w:outlineLvl w:val="1"/>
        <w:rPr>
          <w:rFonts w:hint="eastAsia" w:ascii="宋体" w:hAnsi="宋体" w:cs="宋体"/>
          <w:sz w:val="24"/>
        </w:rPr>
      </w:pPr>
      <w:bookmarkStart w:id="131" w:name="_Toc24470"/>
      <w:r>
        <w:rPr>
          <w:rFonts w:hint="eastAsia" w:ascii="宋体" w:hAnsi="宋体" w:cs="宋体"/>
          <w:sz w:val="24"/>
        </w:rPr>
        <w:t>2、我公司承诺报价并按</w:t>
      </w:r>
      <w:r>
        <w:rPr>
          <w:rFonts w:hint="eastAsia" w:ascii="宋体" w:hAnsi="宋体" w:cs="宋体"/>
          <w:sz w:val="24"/>
          <w:u w:val="single"/>
        </w:rPr>
        <w:t xml:space="preserve">￥         </w:t>
      </w:r>
      <w:r>
        <w:rPr>
          <w:rFonts w:hint="eastAsia" w:ascii="宋体" w:hAnsi="宋体" w:cs="宋体"/>
          <w:sz w:val="24"/>
        </w:rPr>
        <w:t>元 （ 大写：</w:t>
      </w:r>
      <w:r>
        <w:rPr>
          <w:rFonts w:hint="eastAsia" w:ascii="宋体" w:hAnsi="宋体" w:cs="宋体"/>
          <w:sz w:val="24"/>
          <w:u w:val="single"/>
        </w:rPr>
        <w:t xml:space="preserve">               </w:t>
      </w:r>
      <w:r>
        <w:rPr>
          <w:rFonts w:hint="eastAsia" w:ascii="宋体" w:hAnsi="宋体" w:cs="宋体"/>
          <w:sz w:val="24"/>
        </w:rPr>
        <w:t>元整）的竞争性磋商报价，承担本项目的工作。</w:t>
      </w:r>
      <w:bookmarkEnd w:id="131"/>
    </w:p>
    <w:p w14:paraId="779C49C2">
      <w:pPr>
        <w:spacing w:line="520" w:lineRule="exact"/>
        <w:ind w:firstLine="480" w:firstLineChars="200"/>
        <w:outlineLvl w:val="1"/>
        <w:rPr>
          <w:rFonts w:hint="eastAsia" w:ascii="宋体" w:hAnsi="宋体" w:cs="宋体"/>
          <w:sz w:val="24"/>
        </w:rPr>
      </w:pPr>
      <w:bookmarkStart w:id="132" w:name="_Toc872"/>
      <w:r>
        <w:rPr>
          <w:rFonts w:hint="eastAsia" w:ascii="宋体" w:hAnsi="宋体" w:cs="宋体"/>
          <w:sz w:val="24"/>
        </w:rPr>
        <w:t>3、如果我们的竞争性磋商文件被接受，我们将按竞争性磋商文件的规定签订并严格履行合同中的责任和义务。</w:t>
      </w:r>
      <w:bookmarkEnd w:id="132"/>
    </w:p>
    <w:p w14:paraId="514DBD97">
      <w:pPr>
        <w:spacing w:line="520" w:lineRule="exact"/>
        <w:ind w:firstLine="480" w:firstLineChars="200"/>
        <w:outlineLvl w:val="1"/>
        <w:rPr>
          <w:rFonts w:hint="eastAsia" w:ascii="宋体" w:hAnsi="宋体" w:cs="宋体"/>
          <w:sz w:val="24"/>
        </w:rPr>
      </w:pPr>
      <w:bookmarkStart w:id="133" w:name="_Toc5296"/>
      <w:r>
        <w:rPr>
          <w:rFonts w:hint="eastAsia" w:ascii="宋体" w:hAnsi="宋体" w:cs="宋体"/>
          <w:sz w:val="24"/>
        </w:rPr>
        <w:t>4、</w:t>
      </w:r>
      <w:r>
        <w:rPr>
          <w:rFonts w:hint="eastAsia" w:ascii="宋体" w:hAnsi="宋体" w:cs="宋体"/>
          <w:sz w:val="24"/>
          <w:lang w:eastAsia="zh-CN"/>
        </w:rPr>
        <w:t>服务期</w:t>
      </w:r>
      <w:r>
        <w:rPr>
          <w:rFonts w:hint="eastAsia" w:ascii="宋体" w:hAnsi="宋体" w:cs="宋体"/>
          <w:sz w:val="24"/>
        </w:rPr>
        <w:t>：</w:t>
      </w:r>
      <w:r>
        <w:rPr>
          <w:rFonts w:hint="eastAsia" w:ascii="宋体" w:hAnsi="宋体" w:cs="宋体"/>
          <w:sz w:val="24"/>
          <w:u w:val="single"/>
          <w:lang w:val="en-US" w:eastAsia="zh-CN"/>
        </w:rPr>
        <w:t xml:space="preserve">                      </w:t>
      </w:r>
      <w:r>
        <w:rPr>
          <w:rFonts w:hint="eastAsia" w:ascii="宋体" w:hAnsi="宋体" w:cs="宋体"/>
          <w:sz w:val="24"/>
        </w:rPr>
        <w:t>。</w:t>
      </w:r>
      <w:bookmarkEnd w:id="133"/>
    </w:p>
    <w:p w14:paraId="4D7EDD30">
      <w:pPr>
        <w:spacing w:line="520" w:lineRule="exact"/>
        <w:ind w:firstLine="480" w:firstLineChars="200"/>
        <w:outlineLvl w:val="1"/>
        <w:rPr>
          <w:rFonts w:hint="eastAsia" w:ascii="宋体" w:hAnsi="宋体" w:cs="宋体"/>
          <w:sz w:val="24"/>
        </w:rPr>
      </w:pPr>
      <w:bookmarkStart w:id="134" w:name="_Toc15185"/>
      <w:r>
        <w:rPr>
          <w:rFonts w:hint="eastAsia" w:ascii="宋体" w:hAnsi="宋体" w:cs="宋体"/>
          <w:sz w:val="24"/>
        </w:rPr>
        <w:t>5、</w:t>
      </w:r>
      <w:r>
        <w:rPr>
          <w:rFonts w:hint="eastAsia" w:ascii="宋体" w:hAnsi="宋体" w:cs="宋体"/>
          <w:sz w:val="24"/>
          <w:lang w:eastAsia="zh-CN"/>
        </w:rPr>
        <w:t>项目</w:t>
      </w:r>
      <w:r>
        <w:rPr>
          <w:rFonts w:hint="eastAsia" w:ascii="宋体" w:hAnsi="宋体" w:cs="宋体"/>
          <w:sz w:val="24"/>
        </w:rPr>
        <w:t xml:space="preserve">质量：符合国家现行质量 </w:t>
      </w:r>
      <w:r>
        <w:rPr>
          <w:rFonts w:hint="eastAsia" w:ascii="宋体" w:hAnsi="宋体" w:cs="宋体"/>
          <w:sz w:val="24"/>
          <w:u w:val="single"/>
        </w:rPr>
        <w:t xml:space="preserve">合格 </w:t>
      </w:r>
      <w:r>
        <w:rPr>
          <w:rFonts w:hint="eastAsia" w:ascii="宋体" w:hAnsi="宋体" w:cs="宋体"/>
          <w:sz w:val="24"/>
        </w:rPr>
        <w:t>标准。</w:t>
      </w:r>
      <w:bookmarkEnd w:id="134"/>
    </w:p>
    <w:p w14:paraId="57CEE902">
      <w:pPr>
        <w:spacing w:line="520" w:lineRule="exact"/>
        <w:ind w:firstLine="480" w:firstLineChars="200"/>
        <w:outlineLvl w:val="1"/>
        <w:rPr>
          <w:rFonts w:hint="eastAsia" w:ascii="宋体" w:hAnsi="宋体" w:cs="宋体"/>
          <w:color w:val="800080"/>
          <w:sz w:val="24"/>
        </w:rPr>
      </w:pPr>
      <w:bookmarkStart w:id="135" w:name="_Toc1518"/>
      <w:r>
        <w:rPr>
          <w:rFonts w:hint="eastAsia" w:ascii="宋体" w:hAnsi="宋体" w:cs="宋体"/>
          <w:sz w:val="24"/>
        </w:rPr>
        <w:t>6、本竞争性磋商自竞争性磋商日起有效期为</w:t>
      </w:r>
      <w:r>
        <w:rPr>
          <w:rFonts w:hint="eastAsia" w:ascii="宋体" w:hAnsi="宋体" w:cs="宋体"/>
          <w:sz w:val="24"/>
          <w:u w:val="single"/>
        </w:rPr>
        <w:t>90</w:t>
      </w:r>
      <w:r>
        <w:rPr>
          <w:rFonts w:hint="eastAsia" w:ascii="宋体" w:hAnsi="宋体" w:cs="宋体"/>
          <w:sz w:val="24"/>
        </w:rPr>
        <w:t>个日历天。</w:t>
      </w:r>
      <w:bookmarkEnd w:id="135"/>
    </w:p>
    <w:p w14:paraId="3F1B60E4">
      <w:pPr>
        <w:spacing w:line="520" w:lineRule="exact"/>
        <w:ind w:firstLine="480" w:firstLineChars="200"/>
        <w:outlineLvl w:val="1"/>
        <w:rPr>
          <w:rFonts w:hint="eastAsia" w:ascii="宋体" w:hAnsi="宋体" w:cs="宋体"/>
          <w:sz w:val="24"/>
        </w:rPr>
      </w:pPr>
      <w:bookmarkStart w:id="136" w:name="_Toc16585"/>
      <w:r>
        <w:rPr>
          <w:rFonts w:hint="eastAsia" w:ascii="宋体" w:hAnsi="宋体" w:cs="宋体"/>
          <w:sz w:val="24"/>
        </w:rPr>
        <w:t>7、竞争性磋商人同意提供按照贵方可能要求的与其竞争性磋商有关的一切数据或资料，完全理解贵方不一定接受最低价的竞争性磋商报价。</w:t>
      </w:r>
      <w:bookmarkEnd w:id="136"/>
    </w:p>
    <w:p w14:paraId="75EB32B9">
      <w:pPr>
        <w:spacing w:line="520" w:lineRule="exact"/>
        <w:ind w:firstLine="480" w:firstLineChars="200"/>
        <w:outlineLvl w:val="9"/>
        <w:rPr>
          <w:rFonts w:hint="eastAsia" w:ascii="宋体" w:hAnsi="宋体" w:cs="宋体"/>
          <w:sz w:val="24"/>
        </w:rPr>
      </w:pPr>
    </w:p>
    <w:p w14:paraId="523BDA8D">
      <w:pPr>
        <w:spacing w:line="520" w:lineRule="exact"/>
        <w:ind w:firstLine="480" w:firstLineChars="200"/>
        <w:outlineLvl w:val="9"/>
        <w:rPr>
          <w:rFonts w:hint="eastAsia" w:ascii="宋体" w:hAnsi="宋体" w:cs="宋体"/>
          <w:sz w:val="24"/>
        </w:rPr>
      </w:pPr>
    </w:p>
    <w:p w14:paraId="0AE07687">
      <w:pPr>
        <w:spacing w:line="720" w:lineRule="auto"/>
        <w:ind w:firstLine="2707" w:firstLineChars="1128"/>
        <w:rPr>
          <w:rFonts w:hint="eastAsia" w:ascii="宋体" w:hAnsi="宋体" w:cs="宋体"/>
          <w:sz w:val="24"/>
          <w:u w:val="single"/>
        </w:rPr>
      </w:pPr>
      <w:r>
        <w:rPr>
          <w:rFonts w:hint="eastAsia" w:ascii="宋体" w:hAnsi="宋体" w:cs="宋体"/>
          <w:sz w:val="24"/>
        </w:rPr>
        <w:t xml:space="preserve">   磋商响应单位（公章）：</w:t>
      </w:r>
      <w:r>
        <w:rPr>
          <w:rFonts w:hint="eastAsia" w:ascii="宋体" w:hAnsi="宋体" w:cs="宋体"/>
          <w:sz w:val="24"/>
          <w:u w:val="single"/>
        </w:rPr>
        <w:t xml:space="preserve">                      </w:t>
      </w:r>
    </w:p>
    <w:p w14:paraId="2B238515">
      <w:pPr>
        <w:spacing w:line="720" w:lineRule="auto"/>
        <w:ind w:firstLine="2944" w:firstLineChars="1227"/>
        <w:rPr>
          <w:rFonts w:hint="eastAsia" w:ascii="宋体" w:hAnsi="宋体" w:cs="宋体"/>
          <w:sz w:val="24"/>
        </w:rPr>
      </w:pPr>
      <w:r>
        <w:rPr>
          <w:rFonts w:hint="eastAsia" w:ascii="宋体" w:hAnsi="宋体" w:cs="宋体"/>
          <w:sz w:val="24"/>
        </w:rPr>
        <w:t xml:space="preserve"> 法定代表人或授权委托人（签字）：</w:t>
      </w:r>
      <w:r>
        <w:rPr>
          <w:rFonts w:hint="eastAsia" w:ascii="宋体" w:hAnsi="宋体" w:cs="宋体"/>
          <w:sz w:val="24"/>
          <w:u w:val="single"/>
        </w:rPr>
        <w:t xml:space="preserve">            </w:t>
      </w:r>
    </w:p>
    <w:p w14:paraId="589ECFD2">
      <w:pPr>
        <w:spacing w:line="720" w:lineRule="auto"/>
        <w:ind w:firstLine="600" w:firstLineChars="250"/>
        <w:jc w:val="center"/>
        <w:rPr>
          <w:rFonts w:hint="eastAsia" w:ascii="宋体" w:hAnsi="宋体" w:cs="宋体"/>
          <w:b/>
          <w:sz w:val="24"/>
        </w:rPr>
      </w:pPr>
      <w:r>
        <w:rPr>
          <w:rFonts w:hint="eastAsia" w:ascii="宋体" w:hAnsi="宋体" w:cs="宋体"/>
          <w:sz w:val="24"/>
        </w:rPr>
        <w:t xml:space="preserve">                                  年   月   日</w:t>
      </w:r>
    </w:p>
    <w:p w14:paraId="4B49EEE0">
      <w:pPr>
        <w:jc w:val="center"/>
        <w:outlineLvl w:val="0"/>
        <w:rPr>
          <w:rFonts w:hint="eastAsia" w:ascii="宋体" w:hAnsi="宋体" w:cs="宋体"/>
          <w:b/>
          <w:bCs/>
          <w:sz w:val="28"/>
          <w:szCs w:val="28"/>
        </w:rPr>
      </w:pPr>
      <w:bookmarkStart w:id="137" w:name="_Toc15340"/>
      <w:r>
        <w:rPr>
          <w:rFonts w:hint="eastAsia" w:ascii="宋体" w:hAnsi="宋体" w:cs="宋体"/>
          <w:b/>
          <w:bCs/>
          <w:sz w:val="28"/>
          <w:szCs w:val="28"/>
        </w:rPr>
        <w:t>二、法定代表人身份证明、授权委托书</w:t>
      </w:r>
      <w:bookmarkEnd w:id="137"/>
    </w:p>
    <w:p w14:paraId="195034A6">
      <w:pPr>
        <w:jc w:val="center"/>
        <w:rPr>
          <w:rFonts w:hint="eastAsia" w:ascii="宋体" w:hAnsi="宋体" w:cs="宋体"/>
          <w:b/>
          <w:bCs/>
          <w:sz w:val="28"/>
          <w:szCs w:val="28"/>
        </w:rPr>
      </w:pPr>
    </w:p>
    <w:p w14:paraId="27E16BB0">
      <w:pPr>
        <w:jc w:val="center"/>
        <w:rPr>
          <w:rFonts w:hint="eastAsia" w:ascii="宋体" w:hAnsi="宋体" w:cs="宋体"/>
          <w:b/>
          <w:bCs/>
          <w:sz w:val="28"/>
          <w:szCs w:val="28"/>
        </w:rPr>
      </w:pPr>
    </w:p>
    <w:p w14:paraId="63A22126">
      <w:pPr>
        <w:jc w:val="center"/>
        <w:rPr>
          <w:rFonts w:hint="eastAsia" w:ascii="宋体" w:hAnsi="宋体" w:cs="宋体"/>
          <w:b/>
          <w:sz w:val="28"/>
          <w:szCs w:val="28"/>
        </w:rPr>
      </w:pPr>
      <w:r>
        <w:rPr>
          <w:rFonts w:hint="eastAsia" w:ascii="宋体" w:hAnsi="宋体" w:cs="宋体"/>
          <w:b/>
          <w:sz w:val="28"/>
          <w:szCs w:val="28"/>
        </w:rPr>
        <w:t>法定代表人身份证明书</w:t>
      </w:r>
    </w:p>
    <w:p w14:paraId="046186D8">
      <w:pPr>
        <w:jc w:val="center"/>
        <w:rPr>
          <w:rFonts w:hint="eastAsia" w:ascii="宋体" w:hAnsi="宋体" w:cs="宋体"/>
          <w:b/>
          <w:sz w:val="28"/>
          <w:szCs w:val="28"/>
        </w:rPr>
      </w:pPr>
    </w:p>
    <w:p w14:paraId="5768C19F">
      <w:pPr>
        <w:spacing w:line="440" w:lineRule="exact"/>
        <w:ind w:firstLine="600" w:firstLineChars="250"/>
        <w:rPr>
          <w:rFonts w:hint="eastAsia" w:ascii="宋体" w:hAnsi="宋体" w:cs="宋体"/>
          <w:sz w:val="24"/>
          <w:u w:val="single"/>
        </w:rPr>
      </w:pPr>
      <w:r>
        <w:rPr>
          <w:rFonts w:hint="eastAsia" w:ascii="宋体" w:hAnsi="宋体" w:cs="宋体"/>
          <w:sz w:val="24"/>
        </w:rPr>
        <w:t>单位名称：</w:t>
      </w:r>
      <w:r>
        <w:rPr>
          <w:rFonts w:hint="eastAsia" w:ascii="宋体" w:hAnsi="宋体" w:cs="宋体"/>
          <w:sz w:val="24"/>
          <w:u w:val="single"/>
        </w:rPr>
        <w:t xml:space="preserve">                                   </w:t>
      </w:r>
    </w:p>
    <w:p w14:paraId="348D5A55">
      <w:pPr>
        <w:spacing w:line="440" w:lineRule="exact"/>
        <w:ind w:firstLine="600" w:firstLineChars="250"/>
        <w:rPr>
          <w:rFonts w:hint="eastAsia" w:ascii="宋体" w:hAnsi="宋体" w:cs="宋体"/>
          <w:sz w:val="24"/>
        </w:rPr>
      </w:pPr>
      <w:r>
        <w:rPr>
          <w:rFonts w:hint="eastAsia" w:ascii="宋体" w:hAnsi="宋体" w:cs="宋体"/>
          <w:sz w:val="24"/>
        </w:rPr>
        <w:t>单位性质：</w:t>
      </w:r>
      <w:r>
        <w:rPr>
          <w:rFonts w:hint="eastAsia" w:ascii="宋体" w:hAnsi="宋体" w:cs="宋体"/>
          <w:sz w:val="24"/>
          <w:u w:val="single"/>
        </w:rPr>
        <w:t xml:space="preserve">                                   </w:t>
      </w:r>
      <w:r>
        <w:rPr>
          <w:rFonts w:hint="eastAsia" w:ascii="宋体" w:hAnsi="宋体" w:cs="宋体"/>
          <w:sz w:val="24"/>
        </w:rPr>
        <w:t xml:space="preserve"> </w:t>
      </w:r>
    </w:p>
    <w:p w14:paraId="361529C0">
      <w:pPr>
        <w:spacing w:line="440" w:lineRule="exact"/>
        <w:ind w:firstLine="600" w:firstLineChars="250"/>
        <w:rPr>
          <w:rFonts w:hint="eastAsia" w:ascii="宋体" w:hAnsi="宋体" w:cs="宋体"/>
          <w:sz w:val="24"/>
        </w:rPr>
      </w:pPr>
      <w:r>
        <w:rPr>
          <w:rFonts w:hint="eastAsia" w:ascii="宋体" w:hAnsi="宋体" w:cs="宋体"/>
          <w:sz w:val="24"/>
        </w:rPr>
        <w:t>地址：</w:t>
      </w:r>
      <w:r>
        <w:rPr>
          <w:rFonts w:hint="eastAsia" w:ascii="宋体" w:hAnsi="宋体" w:cs="宋体"/>
          <w:sz w:val="24"/>
          <w:u w:val="single"/>
        </w:rPr>
        <w:t xml:space="preserve">                                       </w:t>
      </w:r>
      <w:r>
        <w:rPr>
          <w:rFonts w:hint="eastAsia" w:ascii="宋体" w:hAnsi="宋体" w:cs="宋体"/>
          <w:sz w:val="24"/>
        </w:rPr>
        <w:t xml:space="preserve">    </w:t>
      </w:r>
    </w:p>
    <w:p w14:paraId="4261A25D">
      <w:pPr>
        <w:spacing w:line="440" w:lineRule="exact"/>
        <w:ind w:firstLine="600" w:firstLineChars="250"/>
        <w:rPr>
          <w:rFonts w:hint="eastAsia" w:ascii="宋体" w:hAnsi="宋体" w:cs="宋体"/>
          <w:sz w:val="24"/>
          <w:u w:val="single"/>
        </w:rPr>
      </w:pPr>
      <w:r>
        <w:rPr>
          <w:rFonts w:hint="eastAsia" w:ascii="宋体" w:hAnsi="宋体" w:cs="宋体"/>
          <w:sz w:val="24"/>
        </w:rPr>
        <w:t>姓名：</w:t>
      </w:r>
      <w:r>
        <w:rPr>
          <w:rFonts w:hint="eastAsia" w:ascii="宋体" w:hAnsi="宋体" w:cs="宋体"/>
          <w:sz w:val="24"/>
          <w:u w:val="single"/>
        </w:rPr>
        <w:t xml:space="preserve">      </w:t>
      </w:r>
      <w:r>
        <w:rPr>
          <w:rFonts w:hint="eastAsia" w:ascii="宋体" w:hAnsi="宋体" w:cs="宋体"/>
          <w:sz w:val="24"/>
        </w:rPr>
        <w:t>性别：</w:t>
      </w:r>
      <w:r>
        <w:rPr>
          <w:rFonts w:hint="eastAsia" w:ascii="宋体" w:hAnsi="宋体" w:cs="宋体"/>
          <w:sz w:val="24"/>
          <w:u w:val="single"/>
        </w:rPr>
        <w:t xml:space="preserve">    </w:t>
      </w:r>
      <w:r>
        <w:rPr>
          <w:rFonts w:hint="eastAsia" w:ascii="宋体" w:hAnsi="宋体" w:cs="宋体"/>
          <w:sz w:val="24"/>
        </w:rPr>
        <w:t>年龄</w:t>
      </w:r>
      <w:r>
        <w:rPr>
          <w:rFonts w:hint="eastAsia" w:ascii="宋体" w:hAnsi="宋体" w:cs="宋体"/>
          <w:sz w:val="24"/>
          <w:u w:val="single"/>
        </w:rPr>
        <w:t xml:space="preserve">：       </w:t>
      </w:r>
      <w:r>
        <w:rPr>
          <w:rFonts w:hint="eastAsia" w:ascii="宋体" w:hAnsi="宋体" w:cs="宋体"/>
          <w:sz w:val="24"/>
        </w:rPr>
        <w:t>职务：</w:t>
      </w:r>
      <w:r>
        <w:rPr>
          <w:rFonts w:hint="eastAsia" w:ascii="宋体" w:hAnsi="宋体" w:cs="宋体"/>
          <w:sz w:val="24"/>
          <w:u w:val="single"/>
        </w:rPr>
        <w:t xml:space="preserve">          </w:t>
      </w:r>
    </w:p>
    <w:p w14:paraId="7817E3D5">
      <w:pPr>
        <w:spacing w:line="440" w:lineRule="exact"/>
        <w:ind w:firstLine="600" w:firstLineChars="250"/>
        <w:rPr>
          <w:rFonts w:hint="eastAsia" w:ascii="宋体" w:hAnsi="宋体" w:cs="宋体"/>
          <w:sz w:val="24"/>
        </w:rPr>
      </w:pPr>
      <w:r>
        <w:rPr>
          <w:rFonts w:hint="eastAsia" w:ascii="宋体" w:hAnsi="宋体" w:cs="宋体"/>
          <w:sz w:val="24"/>
        </w:rPr>
        <w:t>系</w:t>
      </w:r>
      <w:r>
        <w:rPr>
          <w:rFonts w:hint="eastAsia" w:ascii="宋体" w:hAnsi="宋体" w:cs="宋体"/>
          <w:sz w:val="24"/>
          <w:u w:val="single"/>
        </w:rPr>
        <w:t xml:space="preserve">                             </w:t>
      </w:r>
      <w:r>
        <w:rPr>
          <w:rFonts w:hint="eastAsia" w:ascii="宋体" w:hAnsi="宋体" w:cs="宋体"/>
          <w:sz w:val="24"/>
        </w:rPr>
        <w:t>的法定代表人。</w:t>
      </w:r>
    </w:p>
    <w:p w14:paraId="537FEFB9">
      <w:pPr>
        <w:spacing w:line="440" w:lineRule="exact"/>
        <w:ind w:firstLine="600" w:firstLineChars="250"/>
        <w:rPr>
          <w:rFonts w:hint="eastAsia" w:ascii="宋体" w:hAnsi="宋体" w:cs="宋体"/>
          <w:sz w:val="24"/>
        </w:rPr>
      </w:pPr>
      <w:r>
        <w:rPr>
          <w:rFonts w:hint="eastAsia" w:ascii="宋体" w:hAnsi="宋体" w:cs="宋体"/>
          <w:sz w:val="24"/>
        </w:rPr>
        <w:t>特此证明。</w:t>
      </w:r>
    </w:p>
    <w:p w14:paraId="4E272273">
      <w:pPr>
        <w:spacing w:line="440" w:lineRule="exact"/>
        <w:ind w:firstLine="600" w:firstLineChars="250"/>
        <w:rPr>
          <w:rFonts w:hint="eastAsia" w:ascii="宋体" w:hAnsi="宋体" w:cs="宋体"/>
          <w:sz w:val="24"/>
        </w:rPr>
      </w:pPr>
    </w:p>
    <w:p w14:paraId="45CBD3B2">
      <w:pPr>
        <w:spacing w:line="440" w:lineRule="exact"/>
        <w:ind w:firstLine="600" w:firstLineChars="250"/>
        <w:rPr>
          <w:rFonts w:hint="eastAsia" w:ascii="宋体" w:hAnsi="宋体" w:cs="宋体"/>
          <w:sz w:val="24"/>
        </w:rPr>
      </w:pPr>
    </w:p>
    <w:p w14:paraId="62FD71E1">
      <w:pPr>
        <w:spacing w:line="440" w:lineRule="exact"/>
        <w:ind w:firstLine="600" w:firstLineChars="250"/>
        <w:jc w:val="right"/>
        <w:rPr>
          <w:rFonts w:hint="eastAsia" w:ascii="宋体" w:hAnsi="宋体" w:cs="宋体"/>
          <w:sz w:val="24"/>
          <w:u w:val="single"/>
        </w:rPr>
      </w:pPr>
      <w:r>
        <w:rPr>
          <w:rFonts w:hint="eastAsia" w:ascii="宋体" w:hAnsi="宋体" w:cs="宋体"/>
          <w:sz w:val="24"/>
        </w:rPr>
        <w:t>磋商响应单位：</w:t>
      </w:r>
      <w:r>
        <w:rPr>
          <w:rFonts w:hint="eastAsia" w:ascii="宋体" w:hAnsi="宋体" w:cs="宋体"/>
          <w:sz w:val="24"/>
          <w:u w:val="single"/>
        </w:rPr>
        <w:t xml:space="preserve">             （盖章） </w:t>
      </w:r>
    </w:p>
    <w:p w14:paraId="419D6048">
      <w:pPr>
        <w:spacing w:line="440" w:lineRule="exact"/>
        <w:ind w:firstLine="600" w:firstLineChars="250"/>
        <w:jc w:val="right"/>
        <w:rPr>
          <w:rFonts w:hint="eastAsia" w:ascii="宋体" w:hAnsi="宋体" w:cs="宋体"/>
          <w:sz w:val="24"/>
        </w:rPr>
      </w:pPr>
    </w:p>
    <w:p w14:paraId="34658500">
      <w:pPr>
        <w:spacing w:line="440" w:lineRule="exact"/>
        <w:ind w:firstLine="600" w:firstLineChars="250"/>
        <w:jc w:val="right"/>
        <w:rPr>
          <w:rFonts w:hint="eastAsia" w:ascii="宋体" w:hAnsi="宋体" w:cs="宋体"/>
          <w:sz w:val="24"/>
        </w:rPr>
      </w:pPr>
      <w:r>
        <w:rPr>
          <w:rFonts w:hint="eastAsia" w:ascii="宋体" w:hAnsi="宋体" w:cs="宋体"/>
          <w:sz w:val="24"/>
        </w:rPr>
        <w:t>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53FBE578">
      <w:pPr>
        <w:spacing w:line="440" w:lineRule="exact"/>
        <w:ind w:firstLine="600" w:firstLineChars="250"/>
        <w:rPr>
          <w:rFonts w:hint="eastAsia" w:ascii="宋体" w:hAnsi="宋体" w:cs="宋体"/>
          <w:sz w:val="24"/>
        </w:rPr>
      </w:pPr>
    </w:p>
    <w:p w14:paraId="283EA1D3">
      <w:pPr>
        <w:spacing w:line="440" w:lineRule="exact"/>
        <w:ind w:firstLine="600" w:firstLineChars="250"/>
        <w:rPr>
          <w:rFonts w:hint="eastAsia" w:ascii="宋体" w:hAnsi="宋体" w:cs="宋体"/>
          <w:sz w:val="24"/>
        </w:rPr>
      </w:pPr>
    </w:p>
    <w:p w14:paraId="721996D9">
      <w:pPr>
        <w:spacing w:line="440" w:lineRule="exact"/>
        <w:jc w:val="center"/>
        <w:rPr>
          <w:rFonts w:hint="eastAsia" w:ascii="宋体" w:hAnsi="宋体" w:cs="宋体"/>
          <w:b/>
          <w:sz w:val="24"/>
        </w:rPr>
      </w:pP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15"/>
        <w:gridCol w:w="3805"/>
      </w:tblGrid>
      <w:tr w14:paraId="05CE6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2" w:hRule="atLeast"/>
          <w:jc w:val="center"/>
        </w:trPr>
        <w:tc>
          <w:tcPr>
            <w:tcW w:w="3915" w:type="dxa"/>
            <w:noWrap w:val="0"/>
            <w:vAlign w:val="center"/>
          </w:tcPr>
          <w:p w14:paraId="06D942F8">
            <w:pPr>
              <w:adjustRightInd w:val="0"/>
              <w:snapToGrid w:val="0"/>
              <w:spacing w:line="600" w:lineRule="exact"/>
              <w:jc w:val="center"/>
              <w:rPr>
                <w:rFonts w:hint="eastAsia" w:ascii="宋体" w:hAnsi="宋体" w:cs="宋体"/>
                <w:sz w:val="24"/>
              </w:rPr>
            </w:pPr>
            <w:r>
              <w:rPr>
                <w:rFonts w:hint="eastAsia" w:ascii="宋体" w:hAnsi="宋体" w:cs="宋体"/>
                <w:sz w:val="24"/>
              </w:rPr>
              <w:t>法定代表人身份证复印件</w:t>
            </w:r>
          </w:p>
          <w:p w14:paraId="379D43A1">
            <w:pPr>
              <w:adjustRightInd w:val="0"/>
              <w:snapToGrid w:val="0"/>
              <w:spacing w:line="600" w:lineRule="exact"/>
              <w:jc w:val="center"/>
              <w:rPr>
                <w:rFonts w:hint="eastAsia" w:ascii="宋体" w:hAnsi="宋体" w:cs="宋体"/>
                <w:sz w:val="24"/>
                <w:u w:val="single"/>
              </w:rPr>
            </w:pPr>
            <w:r>
              <w:rPr>
                <w:rFonts w:hint="eastAsia" w:ascii="宋体" w:hAnsi="宋体" w:cs="宋体"/>
                <w:sz w:val="24"/>
              </w:rPr>
              <w:t>（正面）</w:t>
            </w:r>
          </w:p>
        </w:tc>
        <w:tc>
          <w:tcPr>
            <w:tcW w:w="3805" w:type="dxa"/>
            <w:noWrap w:val="0"/>
            <w:vAlign w:val="center"/>
          </w:tcPr>
          <w:p w14:paraId="1A3E61AC">
            <w:pPr>
              <w:adjustRightInd w:val="0"/>
              <w:snapToGrid w:val="0"/>
              <w:spacing w:line="600" w:lineRule="exact"/>
              <w:jc w:val="center"/>
              <w:rPr>
                <w:rFonts w:hint="eastAsia" w:ascii="宋体" w:hAnsi="宋体" w:cs="宋体"/>
                <w:sz w:val="24"/>
              </w:rPr>
            </w:pPr>
            <w:r>
              <w:rPr>
                <w:rFonts w:hint="eastAsia" w:ascii="宋体" w:hAnsi="宋体" w:cs="宋体"/>
                <w:sz w:val="24"/>
              </w:rPr>
              <w:t>法定代表人身份证复印件</w:t>
            </w:r>
          </w:p>
          <w:p w14:paraId="708C8BF6">
            <w:pPr>
              <w:adjustRightInd w:val="0"/>
              <w:snapToGrid w:val="0"/>
              <w:spacing w:line="600" w:lineRule="exact"/>
              <w:jc w:val="center"/>
              <w:rPr>
                <w:rFonts w:hint="eastAsia" w:ascii="宋体" w:hAnsi="宋体" w:cs="宋体"/>
                <w:sz w:val="24"/>
                <w:u w:val="single"/>
              </w:rPr>
            </w:pPr>
            <w:r>
              <w:rPr>
                <w:rFonts w:hint="eastAsia" w:ascii="宋体" w:hAnsi="宋体" w:cs="宋体"/>
                <w:sz w:val="24"/>
              </w:rPr>
              <w:t>（反面）</w:t>
            </w:r>
          </w:p>
        </w:tc>
      </w:tr>
    </w:tbl>
    <w:p w14:paraId="07AC69F6">
      <w:pPr>
        <w:spacing w:line="440" w:lineRule="exact"/>
        <w:jc w:val="center"/>
        <w:rPr>
          <w:rFonts w:hint="eastAsia" w:ascii="宋体" w:hAnsi="宋体" w:cs="宋体"/>
          <w:b/>
          <w:sz w:val="24"/>
        </w:rPr>
      </w:pPr>
    </w:p>
    <w:p w14:paraId="79CA3972">
      <w:pPr>
        <w:spacing w:line="440" w:lineRule="exact"/>
        <w:jc w:val="center"/>
        <w:rPr>
          <w:rFonts w:hint="eastAsia" w:ascii="宋体" w:hAnsi="宋体" w:cs="宋体"/>
          <w:b/>
          <w:sz w:val="28"/>
          <w:szCs w:val="28"/>
        </w:rPr>
      </w:pPr>
    </w:p>
    <w:p w14:paraId="270DF9B6">
      <w:pPr>
        <w:spacing w:line="440" w:lineRule="exact"/>
        <w:rPr>
          <w:rFonts w:hint="eastAsia" w:ascii="宋体" w:hAnsi="宋体" w:cs="宋体"/>
          <w:b/>
          <w:sz w:val="28"/>
          <w:szCs w:val="28"/>
        </w:rPr>
      </w:pPr>
    </w:p>
    <w:p w14:paraId="2AE5C71E">
      <w:pPr>
        <w:spacing w:line="440" w:lineRule="exact"/>
        <w:rPr>
          <w:rFonts w:hint="eastAsia" w:ascii="宋体" w:hAnsi="宋体" w:cs="宋体"/>
          <w:b/>
          <w:sz w:val="28"/>
          <w:szCs w:val="28"/>
        </w:rPr>
      </w:pPr>
    </w:p>
    <w:p w14:paraId="11B5377C">
      <w:pPr>
        <w:spacing w:line="440" w:lineRule="exact"/>
        <w:rPr>
          <w:rFonts w:hint="eastAsia" w:ascii="宋体" w:hAnsi="宋体" w:cs="宋体"/>
          <w:b/>
          <w:sz w:val="28"/>
          <w:szCs w:val="28"/>
        </w:rPr>
      </w:pPr>
    </w:p>
    <w:p w14:paraId="10BA8A37">
      <w:pPr>
        <w:spacing w:line="440" w:lineRule="exact"/>
        <w:jc w:val="center"/>
        <w:rPr>
          <w:rFonts w:hint="eastAsia" w:ascii="宋体" w:hAnsi="宋体" w:cs="宋体"/>
          <w:b/>
          <w:sz w:val="28"/>
          <w:szCs w:val="28"/>
        </w:rPr>
      </w:pPr>
      <w:r>
        <w:rPr>
          <w:rFonts w:hint="eastAsia" w:ascii="宋体" w:hAnsi="宋体" w:cs="宋体"/>
          <w:b/>
          <w:sz w:val="28"/>
          <w:szCs w:val="28"/>
        </w:rPr>
        <w:br w:type="page"/>
      </w:r>
      <w:r>
        <w:rPr>
          <w:rFonts w:hint="eastAsia" w:ascii="宋体" w:hAnsi="宋体" w:cs="宋体"/>
          <w:b/>
          <w:sz w:val="28"/>
          <w:szCs w:val="28"/>
        </w:rPr>
        <w:t>授权委托书</w:t>
      </w:r>
    </w:p>
    <w:p w14:paraId="5AAA089F">
      <w:pPr>
        <w:spacing w:line="440" w:lineRule="exact"/>
        <w:ind w:firstLine="703" w:firstLineChars="250"/>
        <w:jc w:val="center"/>
        <w:rPr>
          <w:rFonts w:hint="eastAsia" w:ascii="宋体" w:hAnsi="宋体" w:cs="宋体"/>
          <w:b/>
          <w:sz w:val="28"/>
          <w:szCs w:val="28"/>
        </w:rPr>
      </w:pPr>
    </w:p>
    <w:p w14:paraId="26E6E0E8">
      <w:pPr>
        <w:spacing w:line="440" w:lineRule="exact"/>
        <w:ind w:firstLine="600" w:firstLineChars="250"/>
        <w:rPr>
          <w:rFonts w:hint="eastAsia" w:ascii="宋体" w:hAnsi="宋体" w:cs="宋体"/>
          <w:sz w:val="24"/>
        </w:rPr>
      </w:pPr>
      <w:r>
        <w:rPr>
          <w:rFonts w:hint="eastAsia" w:ascii="宋体" w:hAnsi="宋体" w:cs="宋体"/>
          <w:sz w:val="24"/>
        </w:rPr>
        <w:t>本授权委托书声明：</w:t>
      </w:r>
      <w:r>
        <w:rPr>
          <w:rFonts w:hint="eastAsia" w:ascii="宋体" w:hAnsi="宋体" w:cs="宋体"/>
          <w:sz w:val="24"/>
          <w:u w:val="single"/>
        </w:rPr>
        <w:t xml:space="preserve">        </w:t>
      </w:r>
      <w:r>
        <w:rPr>
          <w:rFonts w:hint="eastAsia" w:ascii="宋体" w:hAnsi="宋体" w:cs="宋体"/>
          <w:sz w:val="24"/>
        </w:rPr>
        <w:t>（姓名）系</w:t>
      </w:r>
      <w:r>
        <w:rPr>
          <w:rFonts w:hint="eastAsia" w:ascii="宋体" w:hAnsi="宋体" w:cs="宋体"/>
          <w:sz w:val="24"/>
          <w:u w:val="single"/>
        </w:rPr>
        <w:t xml:space="preserve">            </w:t>
      </w:r>
      <w:r>
        <w:rPr>
          <w:rFonts w:hint="eastAsia" w:ascii="宋体" w:hAnsi="宋体" w:cs="宋体"/>
          <w:sz w:val="24"/>
        </w:rPr>
        <w:t>（磋商响应单位名称）的法定代表人，现授权委托</w:t>
      </w:r>
      <w:r>
        <w:rPr>
          <w:rFonts w:hint="eastAsia" w:ascii="宋体" w:hAnsi="宋体" w:cs="宋体"/>
          <w:sz w:val="24"/>
          <w:u w:val="single"/>
        </w:rPr>
        <w:t xml:space="preserve">             </w:t>
      </w:r>
      <w:r>
        <w:rPr>
          <w:rFonts w:hint="eastAsia" w:ascii="宋体" w:hAnsi="宋体" w:cs="宋体"/>
          <w:sz w:val="24"/>
        </w:rPr>
        <w:t>（单位名称）的</w:t>
      </w:r>
      <w:r>
        <w:rPr>
          <w:rFonts w:hint="eastAsia" w:ascii="宋体" w:hAnsi="宋体" w:cs="宋体"/>
          <w:sz w:val="24"/>
          <w:u w:val="single"/>
        </w:rPr>
        <w:t xml:space="preserve">        </w:t>
      </w:r>
      <w:r>
        <w:rPr>
          <w:rFonts w:hint="eastAsia" w:ascii="宋体" w:hAnsi="宋体" w:cs="宋体"/>
          <w:sz w:val="24"/>
        </w:rPr>
        <w:t>（姓名）为我公司代理人，以本公司的名义参加</w:t>
      </w:r>
      <w:r>
        <w:rPr>
          <w:rFonts w:hint="eastAsia" w:ascii="宋体" w:hAnsi="宋体" w:cs="宋体"/>
          <w:sz w:val="24"/>
          <w:u w:val="single"/>
        </w:rPr>
        <w:t xml:space="preserve">            </w:t>
      </w:r>
      <w:r>
        <w:rPr>
          <w:rFonts w:hint="eastAsia" w:ascii="宋体" w:hAnsi="宋体" w:cs="宋体"/>
          <w:sz w:val="24"/>
        </w:rPr>
        <w:t>（采购单位）的</w:t>
      </w:r>
      <w:r>
        <w:rPr>
          <w:rFonts w:hint="eastAsia" w:ascii="宋体" w:hAnsi="宋体" w:cs="宋体"/>
          <w:sz w:val="24"/>
          <w:u w:val="single"/>
        </w:rPr>
        <w:t xml:space="preserve">                    </w:t>
      </w:r>
      <w:r>
        <w:rPr>
          <w:rFonts w:hint="eastAsia" w:ascii="宋体" w:hAnsi="宋体" w:cs="宋体"/>
          <w:sz w:val="24"/>
        </w:rPr>
        <w:t>磋商活动。代理人在整个磋商过程中所签署的一切文件和处理与之有关的一切事务 ，我均予以承认。</w:t>
      </w:r>
    </w:p>
    <w:p w14:paraId="44B2E81B">
      <w:pPr>
        <w:spacing w:line="440" w:lineRule="exact"/>
        <w:ind w:firstLine="600" w:firstLineChars="250"/>
        <w:rPr>
          <w:rFonts w:hint="eastAsia" w:ascii="宋体" w:hAnsi="宋体" w:cs="宋体"/>
          <w:sz w:val="24"/>
        </w:rPr>
      </w:pPr>
      <w:r>
        <w:rPr>
          <w:rFonts w:hint="eastAsia" w:ascii="宋体" w:hAnsi="宋体" w:cs="宋体"/>
          <w:sz w:val="24"/>
        </w:rPr>
        <w:t xml:space="preserve">代理人无转委权。特此委托。  </w:t>
      </w:r>
    </w:p>
    <w:p w14:paraId="52B69C35">
      <w:pPr>
        <w:spacing w:line="440" w:lineRule="exact"/>
        <w:ind w:firstLine="600" w:firstLineChars="250"/>
        <w:rPr>
          <w:rFonts w:hint="eastAsia" w:ascii="宋体" w:hAnsi="宋体" w:cs="宋体"/>
          <w:sz w:val="24"/>
        </w:rPr>
      </w:pPr>
    </w:p>
    <w:p w14:paraId="08FB0B10">
      <w:pPr>
        <w:spacing w:line="440" w:lineRule="exact"/>
        <w:ind w:firstLine="600" w:firstLineChars="250"/>
        <w:rPr>
          <w:rFonts w:hint="eastAsia" w:ascii="宋体" w:hAnsi="宋体" w:cs="宋体"/>
          <w:sz w:val="24"/>
        </w:rPr>
      </w:pPr>
      <w:r>
        <w:rPr>
          <w:rFonts w:hint="eastAsia" w:ascii="宋体" w:hAnsi="宋体" w:cs="宋体"/>
          <w:sz w:val="24"/>
        </w:rPr>
        <w:t>代理人：            性别：              年龄：</w:t>
      </w:r>
    </w:p>
    <w:p w14:paraId="57FC5BF1">
      <w:pPr>
        <w:spacing w:line="440" w:lineRule="exact"/>
        <w:ind w:firstLine="600" w:firstLineChars="250"/>
        <w:rPr>
          <w:rFonts w:hint="eastAsia" w:ascii="宋体" w:hAnsi="宋体" w:cs="宋体"/>
          <w:sz w:val="24"/>
        </w:rPr>
      </w:pPr>
    </w:p>
    <w:p w14:paraId="6E709E5E">
      <w:pPr>
        <w:spacing w:line="440" w:lineRule="exact"/>
        <w:ind w:firstLine="600" w:firstLineChars="250"/>
        <w:rPr>
          <w:rFonts w:hint="eastAsia" w:ascii="宋体" w:hAnsi="宋体" w:cs="宋体"/>
          <w:sz w:val="24"/>
        </w:rPr>
      </w:pPr>
      <w:r>
        <w:rPr>
          <w:rFonts w:hint="eastAsia" w:ascii="宋体" w:hAnsi="宋体" w:cs="宋体"/>
          <w:sz w:val="24"/>
        </w:rPr>
        <w:t>身份证号码：                            职务：</w:t>
      </w:r>
    </w:p>
    <w:p w14:paraId="6E20C72C">
      <w:pPr>
        <w:spacing w:line="440" w:lineRule="exact"/>
        <w:ind w:firstLine="600" w:firstLineChars="250"/>
        <w:rPr>
          <w:rFonts w:hint="eastAsia" w:ascii="宋体" w:hAnsi="宋体" w:cs="宋体"/>
          <w:sz w:val="24"/>
        </w:rPr>
      </w:pPr>
    </w:p>
    <w:p w14:paraId="36203041">
      <w:pPr>
        <w:spacing w:line="440" w:lineRule="exact"/>
        <w:ind w:firstLine="600" w:firstLineChars="250"/>
        <w:rPr>
          <w:rFonts w:hint="eastAsia" w:ascii="宋体" w:hAnsi="宋体" w:cs="宋体"/>
          <w:sz w:val="24"/>
        </w:rPr>
      </w:pPr>
      <w:r>
        <w:rPr>
          <w:rFonts w:hint="eastAsia" w:ascii="宋体" w:hAnsi="宋体" w:cs="宋体"/>
          <w:sz w:val="24"/>
        </w:rPr>
        <w:t>磋商响应单位：     （盖章）</w:t>
      </w:r>
    </w:p>
    <w:p w14:paraId="3B8818B3">
      <w:pPr>
        <w:spacing w:line="440" w:lineRule="exact"/>
        <w:ind w:firstLine="600" w:firstLineChars="250"/>
        <w:rPr>
          <w:rFonts w:hint="eastAsia" w:ascii="宋体" w:hAnsi="宋体" w:cs="宋体"/>
          <w:sz w:val="24"/>
        </w:rPr>
      </w:pPr>
    </w:p>
    <w:p w14:paraId="62B8F054">
      <w:pPr>
        <w:spacing w:line="440" w:lineRule="exact"/>
        <w:ind w:firstLine="600" w:firstLineChars="250"/>
        <w:rPr>
          <w:rFonts w:hint="eastAsia" w:ascii="宋体" w:hAnsi="宋体" w:cs="宋体"/>
          <w:sz w:val="24"/>
        </w:rPr>
      </w:pPr>
      <w:r>
        <w:rPr>
          <w:rFonts w:hint="eastAsia" w:ascii="宋体" w:hAnsi="宋体" w:cs="宋体"/>
          <w:sz w:val="24"/>
        </w:rPr>
        <w:t>法定代表人：（签字或盖章）</w:t>
      </w:r>
    </w:p>
    <w:p w14:paraId="6BDFEEEF">
      <w:pPr>
        <w:spacing w:line="440" w:lineRule="exact"/>
        <w:ind w:firstLine="600" w:firstLineChars="250"/>
        <w:rPr>
          <w:rFonts w:hint="eastAsia" w:ascii="宋体" w:hAnsi="宋体" w:cs="宋体"/>
          <w:sz w:val="24"/>
        </w:rPr>
      </w:pPr>
    </w:p>
    <w:p w14:paraId="475B6EE4">
      <w:pPr>
        <w:spacing w:line="440" w:lineRule="exact"/>
        <w:ind w:firstLine="600" w:firstLineChars="250"/>
        <w:rPr>
          <w:rFonts w:hint="eastAsia" w:ascii="宋体" w:hAnsi="宋体" w:cs="宋体"/>
          <w:sz w:val="24"/>
        </w:rPr>
      </w:pPr>
      <w:r>
        <w:rPr>
          <w:rFonts w:hint="eastAsia" w:ascii="宋体" w:hAnsi="宋体" w:cs="宋体"/>
          <w:sz w:val="24"/>
        </w:rPr>
        <w:t xml:space="preserve">                           授权委托日期：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7650EC8D">
      <w:pPr>
        <w:ind w:firstLine="720" w:firstLineChars="300"/>
        <w:rPr>
          <w:rFonts w:hint="eastAsia" w:ascii="宋体" w:hAnsi="宋体" w:cs="宋体"/>
          <w:sz w:val="24"/>
        </w:rPr>
      </w:pPr>
    </w:p>
    <w:p w14:paraId="7312BF58">
      <w:pPr>
        <w:ind w:firstLine="720" w:firstLineChars="300"/>
        <w:rPr>
          <w:rFonts w:hint="eastAsia" w:ascii="宋体" w:hAnsi="宋体" w:cs="宋体"/>
          <w:sz w:val="24"/>
        </w:rPr>
      </w:pP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75"/>
        <w:gridCol w:w="3865"/>
      </w:tblGrid>
      <w:tr w14:paraId="5DB00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7" w:hRule="atLeast"/>
          <w:jc w:val="center"/>
        </w:trPr>
        <w:tc>
          <w:tcPr>
            <w:tcW w:w="3975" w:type="dxa"/>
            <w:noWrap w:val="0"/>
            <w:vAlign w:val="center"/>
          </w:tcPr>
          <w:p w14:paraId="7B12E18A">
            <w:pPr>
              <w:adjustRightInd w:val="0"/>
              <w:snapToGrid w:val="0"/>
              <w:spacing w:line="600" w:lineRule="exact"/>
              <w:jc w:val="center"/>
              <w:rPr>
                <w:rFonts w:hint="eastAsia" w:ascii="宋体" w:hAnsi="宋体" w:cs="宋体"/>
                <w:sz w:val="24"/>
              </w:rPr>
            </w:pPr>
            <w:r>
              <w:rPr>
                <w:rFonts w:hint="eastAsia" w:ascii="宋体" w:hAnsi="宋体" w:cs="宋体"/>
                <w:sz w:val="24"/>
              </w:rPr>
              <w:t>授权代表身份证复印件</w:t>
            </w:r>
          </w:p>
          <w:p w14:paraId="32FE515F">
            <w:pPr>
              <w:adjustRightInd w:val="0"/>
              <w:snapToGrid w:val="0"/>
              <w:spacing w:line="600" w:lineRule="exact"/>
              <w:jc w:val="center"/>
              <w:rPr>
                <w:rFonts w:hint="eastAsia" w:ascii="宋体" w:hAnsi="宋体" w:cs="宋体"/>
                <w:sz w:val="24"/>
                <w:u w:val="single"/>
              </w:rPr>
            </w:pPr>
            <w:r>
              <w:rPr>
                <w:rFonts w:hint="eastAsia" w:ascii="宋体" w:hAnsi="宋体" w:cs="宋体"/>
                <w:sz w:val="24"/>
              </w:rPr>
              <w:t>（正面）</w:t>
            </w:r>
          </w:p>
        </w:tc>
        <w:tc>
          <w:tcPr>
            <w:tcW w:w="3865" w:type="dxa"/>
            <w:noWrap w:val="0"/>
            <w:vAlign w:val="center"/>
          </w:tcPr>
          <w:p w14:paraId="1EDB431E">
            <w:pPr>
              <w:adjustRightInd w:val="0"/>
              <w:snapToGrid w:val="0"/>
              <w:spacing w:line="600" w:lineRule="exact"/>
              <w:jc w:val="center"/>
              <w:rPr>
                <w:rFonts w:hint="eastAsia" w:ascii="宋体" w:hAnsi="宋体" w:cs="宋体"/>
                <w:sz w:val="24"/>
              </w:rPr>
            </w:pPr>
            <w:r>
              <w:rPr>
                <w:rFonts w:hint="eastAsia" w:ascii="宋体" w:hAnsi="宋体" w:cs="宋体"/>
                <w:sz w:val="24"/>
              </w:rPr>
              <w:t>授权代表身份证复印件</w:t>
            </w:r>
          </w:p>
          <w:p w14:paraId="5973F654">
            <w:pPr>
              <w:adjustRightInd w:val="0"/>
              <w:snapToGrid w:val="0"/>
              <w:spacing w:line="600" w:lineRule="exact"/>
              <w:jc w:val="center"/>
              <w:rPr>
                <w:rFonts w:hint="eastAsia" w:ascii="宋体" w:hAnsi="宋体" w:cs="宋体"/>
                <w:sz w:val="24"/>
                <w:u w:val="single"/>
              </w:rPr>
            </w:pPr>
            <w:r>
              <w:rPr>
                <w:rFonts w:hint="eastAsia" w:ascii="宋体" w:hAnsi="宋体" w:cs="宋体"/>
                <w:sz w:val="24"/>
              </w:rPr>
              <w:t>（反面）</w:t>
            </w:r>
          </w:p>
        </w:tc>
      </w:tr>
    </w:tbl>
    <w:p w14:paraId="2901E117">
      <w:pPr>
        <w:ind w:firstLine="720" w:firstLineChars="300"/>
        <w:rPr>
          <w:rFonts w:hint="eastAsia" w:ascii="宋体" w:hAnsi="宋体" w:cs="宋体"/>
          <w:sz w:val="24"/>
        </w:rPr>
      </w:pPr>
    </w:p>
    <w:p w14:paraId="5E55526D">
      <w:pPr>
        <w:jc w:val="center"/>
        <w:rPr>
          <w:rFonts w:hint="eastAsia" w:ascii="宋体" w:hAnsi="宋体" w:cs="宋体"/>
          <w:b/>
          <w:bCs/>
          <w:sz w:val="24"/>
        </w:rPr>
      </w:pPr>
      <w:r>
        <w:rPr>
          <w:rFonts w:hint="eastAsia" w:ascii="宋体" w:hAnsi="宋体" w:cs="宋体"/>
          <w:b/>
          <w:bCs/>
          <w:sz w:val="24"/>
        </w:rPr>
        <w:t>注：委托代理人参加磋商的，须在磋商现场资质审验时提交一份原件。</w:t>
      </w:r>
    </w:p>
    <w:p w14:paraId="77C7A420">
      <w:pPr>
        <w:jc w:val="center"/>
        <w:rPr>
          <w:rFonts w:hint="eastAsia" w:ascii="宋体" w:hAnsi="宋体" w:cs="宋体"/>
          <w:b/>
          <w:bCs/>
          <w:sz w:val="28"/>
          <w:szCs w:val="28"/>
        </w:rPr>
      </w:pPr>
    </w:p>
    <w:p w14:paraId="73A78984">
      <w:pPr>
        <w:jc w:val="center"/>
        <w:outlineLvl w:val="0"/>
        <w:rPr>
          <w:rFonts w:hint="eastAsia" w:ascii="宋体" w:hAnsi="宋体" w:cs="宋体"/>
          <w:b/>
          <w:sz w:val="28"/>
          <w:szCs w:val="28"/>
        </w:rPr>
      </w:pPr>
      <w:r>
        <w:rPr>
          <w:rFonts w:hint="eastAsia" w:ascii="宋体" w:hAnsi="宋体" w:cs="宋体"/>
          <w:b/>
          <w:bCs/>
          <w:sz w:val="28"/>
          <w:szCs w:val="28"/>
        </w:rPr>
        <w:br w:type="page"/>
      </w:r>
      <w:bookmarkStart w:id="138" w:name="_Toc21611"/>
      <w:r>
        <w:rPr>
          <w:rFonts w:hint="eastAsia" w:ascii="宋体" w:hAnsi="宋体" w:cs="宋体"/>
          <w:b/>
          <w:bCs/>
          <w:sz w:val="28"/>
          <w:szCs w:val="28"/>
        </w:rPr>
        <w:t>三、</w:t>
      </w:r>
      <w:r>
        <w:rPr>
          <w:rFonts w:hint="eastAsia" w:ascii="宋体" w:hAnsi="宋体" w:cs="宋体"/>
          <w:b/>
          <w:sz w:val="28"/>
          <w:szCs w:val="28"/>
        </w:rPr>
        <w:t>磋商响应报价一览表</w:t>
      </w:r>
      <w:bookmarkEnd w:id="138"/>
    </w:p>
    <w:p w14:paraId="21437DBF">
      <w:pPr>
        <w:jc w:val="center"/>
        <w:rPr>
          <w:rFonts w:hint="eastAsia" w:ascii="宋体" w:hAnsi="宋体" w:cs="宋体"/>
          <w:b/>
          <w:sz w:val="28"/>
          <w:szCs w:val="28"/>
        </w:rPr>
      </w:pPr>
    </w:p>
    <w:p w14:paraId="106ED517">
      <w:pPr>
        <w:jc w:val="center"/>
        <w:rPr>
          <w:rFonts w:hint="eastAsia" w:ascii="宋体" w:hAnsi="宋体" w:cs="宋体"/>
          <w:sz w:val="28"/>
          <w:szCs w:val="28"/>
        </w:rPr>
      </w:pPr>
      <w:r>
        <w:rPr>
          <w:rFonts w:hint="eastAsia" w:ascii="宋体" w:hAnsi="宋体" w:cs="宋体"/>
          <w:bCs/>
          <w:sz w:val="28"/>
          <w:szCs w:val="28"/>
        </w:rPr>
        <w:t>磋商报价</w:t>
      </w:r>
      <w:r>
        <w:rPr>
          <w:rFonts w:hint="eastAsia" w:ascii="宋体" w:hAnsi="宋体" w:cs="宋体"/>
          <w:sz w:val="28"/>
          <w:szCs w:val="28"/>
        </w:rPr>
        <w:t>表</w:t>
      </w:r>
    </w:p>
    <w:p w14:paraId="47112F2F">
      <w:pPr>
        <w:jc w:val="center"/>
        <w:rPr>
          <w:rFonts w:hint="eastAsia" w:ascii="宋体" w:hAnsi="宋体" w:cs="宋体"/>
          <w:sz w:val="28"/>
          <w:szCs w:val="28"/>
        </w:rPr>
      </w:pP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32"/>
        <w:gridCol w:w="2639"/>
        <w:gridCol w:w="1856"/>
        <w:gridCol w:w="1738"/>
      </w:tblGrid>
      <w:tr w14:paraId="22625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jc w:val="center"/>
        </w:trPr>
        <w:tc>
          <w:tcPr>
            <w:tcW w:w="2932" w:type="dxa"/>
            <w:noWrap w:val="0"/>
            <w:vAlign w:val="center"/>
          </w:tcPr>
          <w:p w14:paraId="0AD65836">
            <w:pPr>
              <w:spacing w:line="560" w:lineRule="exact"/>
              <w:jc w:val="center"/>
              <w:rPr>
                <w:rFonts w:hint="eastAsia" w:ascii="宋体" w:hAnsi="宋体" w:eastAsia="宋体" w:cs="宋体"/>
                <w:bCs/>
                <w:sz w:val="24"/>
              </w:rPr>
            </w:pPr>
            <w:r>
              <w:rPr>
                <w:rFonts w:hint="eastAsia" w:ascii="宋体" w:hAnsi="宋体" w:eastAsia="宋体" w:cs="宋体"/>
                <w:bCs/>
                <w:sz w:val="24"/>
              </w:rPr>
              <w:t>项目名称</w:t>
            </w:r>
          </w:p>
        </w:tc>
        <w:tc>
          <w:tcPr>
            <w:tcW w:w="2639" w:type="dxa"/>
            <w:noWrap w:val="0"/>
            <w:vAlign w:val="center"/>
          </w:tcPr>
          <w:p w14:paraId="64D176C9">
            <w:pPr>
              <w:spacing w:line="560" w:lineRule="exact"/>
              <w:jc w:val="center"/>
              <w:rPr>
                <w:rFonts w:hint="eastAsia" w:ascii="宋体" w:hAnsi="宋体" w:eastAsia="宋体" w:cs="宋体"/>
                <w:bCs/>
                <w:sz w:val="24"/>
                <w:lang w:val="en-US" w:eastAsia="zh-CN"/>
              </w:rPr>
            </w:pPr>
            <w:r>
              <w:rPr>
                <w:rFonts w:hint="eastAsia" w:ascii="宋体" w:hAnsi="宋体" w:eastAsia="宋体" w:cs="宋体"/>
                <w:bCs/>
                <w:sz w:val="24"/>
              </w:rPr>
              <w:t>总报价</w:t>
            </w:r>
            <w:r>
              <w:rPr>
                <w:rFonts w:hint="eastAsia" w:ascii="宋体" w:hAnsi="宋体" w:eastAsia="宋体" w:cs="宋体"/>
                <w:bCs/>
                <w:sz w:val="24"/>
                <w:lang w:val="en-US" w:eastAsia="zh-CN"/>
              </w:rPr>
              <w:t>(元)</w:t>
            </w:r>
          </w:p>
        </w:tc>
        <w:tc>
          <w:tcPr>
            <w:tcW w:w="1856" w:type="dxa"/>
            <w:noWrap w:val="0"/>
            <w:vAlign w:val="center"/>
          </w:tcPr>
          <w:p w14:paraId="7690BD91">
            <w:pPr>
              <w:spacing w:line="560" w:lineRule="exact"/>
              <w:jc w:val="center"/>
              <w:rPr>
                <w:rFonts w:hint="eastAsia" w:ascii="宋体" w:hAnsi="宋体" w:eastAsia="宋体" w:cs="宋体"/>
                <w:bCs/>
                <w:color w:val="auto"/>
                <w:sz w:val="24"/>
              </w:rPr>
            </w:pPr>
            <w:r>
              <w:rPr>
                <w:rFonts w:hint="eastAsia" w:ascii="宋体" w:hAnsi="宋体" w:cs="宋体"/>
                <w:bCs/>
                <w:color w:val="auto"/>
                <w:sz w:val="24"/>
                <w:lang w:eastAsia="zh-CN"/>
              </w:rPr>
              <w:t>服务期</w:t>
            </w:r>
          </w:p>
        </w:tc>
        <w:tc>
          <w:tcPr>
            <w:tcW w:w="1738" w:type="dxa"/>
            <w:noWrap w:val="0"/>
            <w:vAlign w:val="center"/>
          </w:tcPr>
          <w:p w14:paraId="47428471">
            <w:pPr>
              <w:spacing w:line="560" w:lineRule="exact"/>
              <w:jc w:val="center"/>
              <w:rPr>
                <w:rFonts w:hint="eastAsia" w:ascii="宋体" w:hAnsi="宋体" w:eastAsia="宋体" w:cs="宋体"/>
                <w:bCs/>
                <w:sz w:val="24"/>
              </w:rPr>
            </w:pPr>
            <w:r>
              <w:rPr>
                <w:rFonts w:hint="eastAsia" w:ascii="宋体" w:hAnsi="宋体" w:eastAsia="宋体" w:cs="宋体"/>
                <w:bCs/>
                <w:sz w:val="24"/>
              </w:rPr>
              <w:t>质量等级</w:t>
            </w:r>
          </w:p>
        </w:tc>
      </w:tr>
      <w:tr w14:paraId="134A7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0" w:hRule="atLeast"/>
          <w:jc w:val="center"/>
        </w:trPr>
        <w:tc>
          <w:tcPr>
            <w:tcW w:w="2932" w:type="dxa"/>
            <w:noWrap w:val="0"/>
            <w:vAlign w:val="center"/>
          </w:tcPr>
          <w:p w14:paraId="1ABAFE7F">
            <w:pPr>
              <w:spacing w:line="560" w:lineRule="exact"/>
              <w:jc w:val="center"/>
              <w:rPr>
                <w:rFonts w:hint="eastAsia" w:ascii="宋体" w:hAnsi="宋体" w:eastAsia="宋体" w:cs="宋体"/>
                <w:bCs/>
                <w:sz w:val="24"/>
              </w:rPr>
            </w:pPr>
            <w:r>
              <w:rPr>
                <w:rFonts w:hint="eastAsia" w:ascii="宋体" w:hAnsi="宋体" w:cs="宋体"/>
                <w:bCs/>
                <w:sz w:val="24"/>
                <w:lang w:eastAsia="zh-CN"/>
              </w:rPr>
              <w:t>安康市公安局汉滨分局81条天眼视频监控线路项目</w:t>
            </w:r>
          </w:p>
        </w:tc>
        <w:tc>
          <w:tcPr>
            <w:tcW w:w="2639" w:type="dxa"/>
            <w:noWrap w:val="0"/>
            <w:vAlign w:val="center"/>
          </w:tcPr>
          <w:p w14:paraId="27A79494">
            <w:pPr>
              <w:spacing w:line="560" w:lineRule="exact"/>
              <w:jc w:val="center"/>
              <w:rPr>
                <w:rFonts w:hint="eastAsia" w:ascii="宋体" w:hAnsi="宋体" w:eastAsia="宋体" w:cs="宋体"/>
                <w:bCs/>
                <w:sz w:val="24"/>
              </w:rPr>
            </w:pPr>
          </w:p>
        </w:tc>
        <w:tc>
          <w:tcPr>
            <w:tcW w:w="1856" w:type="dxa"/>
            <w:noWrap w:val="0"/>
            <w:vAlign w:val="center"/>
          </w:tcPr>
          <w:p w14:paraId="48B7E120">
            <w:pPr>
              <w:spacing w:line="560" w:lineRule="exact"/>
              <w:jc w:val="center"/>
              <w:rPr>
                <w:rFonts w:hint="eastAsia" w:ascii="宋体" w:hAnsi="宋体" w:eastAsia="宋体" w:cs="宋体"/>
                <w:bCs/>
                <w:color w:val="auto"/>
                <w:sz w:val="24"/>
                <w:u w:val="single"/>
                <w:lang w:val="en-US" w:eastAsia="zh-CN"/>
              </w:rPr>
            </w:pPr>
          </w:p>
        </w:tc>
        <w:tc>
          <w:tcPr>
            <w:tcW w:w="1738" w:type="dxa"/>
            <w:noWrap w:val="0"/>
            <w:vAlign w:val="center"/>
          </w:tcPr>
          <w:p w14:paraId="5D9392A5">
            <w:pPr>
              <w:spacing w:line="560" w:lineRule="exact"/>
              <w:jc w:val="center"/>
              <w:rPr>
                <w:rFonts w:hint="eastAsia" w:ascii="宋体" w:hAnsi="宋体" w:eastAsia="宋体" w:cs="宋体"/>
                <w:bCs/>
                <w:sz w:val="24"/>
              </w:rPr>
            </w:pPr>
          </w:p>
        </w:tc>
      </w:tr>
      <w:tr w14:paraId="11B88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0" w:hRule="atLeast"/>
          <w:jc w:val="center"/>
        </w:trPr>
        <w:tc>
          <w:tcPr>
            <w:tcW w:w="2932" w:type="dxa"/>
            <w:noWrap w:val="0"/>
            <w:vAlign w:val="center"/>
          </w:tcPr>
          <w:p w14:paraId="107BD938">
            <w:pPr>
              <w:spacing w:line="560" w:lineRule="exact"/>
              <w:jc w:val="center"/>
              <w:rPr>
                <w:rFonts w:hint="eastAsia" w:ascii="宋体" w:hAnsi="宋体" w:eastAsia="宋体" w:cs="宋体"/>
                <w:bCs/>
                <w:sz w:val="24"/>
              </w:rPr>
            </w:pPr>
            <w:r>
              <w:rPr>
                <w:rFonts w:hint="eastAsia" w:ascii="宋体" w:hAnsi="宋体" w:eastAsia="宋体" w:cs="宋体"/>
                <w:bCs/>
                <w:sz w:val="24"/>
              </w:rPr>
              <w:t>总报价（大写）</w:t>
            </w:r>
          </w:p>
        </w:tc>
        <w:tc>
          <w:tcPr>
            <w:tcW w:w="6233" w:type="dxa"/>
            <w:gridSpan w:val="3"/>
            <w:noWrap w:val="0"/>
            <w:vAlign w:val="center"/>
          </w:tcPr>
          <w:p w14:paraId="49129FD1">
            <w:pPr>
              <w:spacing w:line="560" w:lineRule="exact"/>
              <w:rPr>
                <w:rFonts w:hint="eastAsia" w:ascii="宋体" w:hAnsi="宋体" w:eastAsia="宋体" w:cs="宋体"/>
                <w:bCs/>
                <w:sz w:val="24"/>
              </w:rPr>
            </w:pPr>
          </w:p>
        </w:tc>
      </w:tr>
    </w:tbl>
    <w:p w14:paraId="39BA0D2B">
      <w:pPr>
        <w:rPr>
          <w:rFonts w:hint="eastAsia" w:ascii="宋体" w:hAnsi="宋体" w:cs="宋体"/>
          <w:sz w:val="28"/>
          <w:szCs w:val="28"/>
        </w:rPr>
      </w:pPr>
    </w:p>
    <w:p w14:paraId="10D591B0">
      <w:pPr>
        <w:rPr>
          <w:rFonts w:hint="eastAsia" w:ascii="宋体" w:hAnsi="宋体" w:cs="宋体"/>
          <w:sz w:val="28"/>
          <w:szCs w:val="28"/>
        </w:rPr>
      </w:pPr>
    </w:p>
    <w:p w14:paraId="22C2551B">
      <w:pPr>
        <w:spacing w:line="720" w:lineRule="auto"/>
        <w:ind w:firstLine="2707" w:firstLineChars="1128"/>
        <w:rPr>
          <w:rFonts w:hint="eastAsia" w:ascii="宋体" w:hAnsi="宋体" w:cs="宋体"/>
          <w:sz w:val="24"/>
          <w:u w:val="single"/>
        </w:rPr>
      </w:pPr>
      <w:r>
        <w:rPr>
          <w:rFonts w:hint="eastAsia" w:ascii="宋体" w:hAnsi="宋体" w:cs="宋体"/>
          <w:sz w:val="24"/>
        </w:rPr>
        <w:t>磋商响应单位（公章）：</w:t>
      </w:r>
      <w:r>
        <w:rPr>
          <w:rFonts w:hint="eastAsia" w:ascii="宋体" w:hAnsi="宋体" w:cs="宋体"/>
          <w:sz w:val="24"/>
          <w:u w:val="single"/>
        </w:rPr>
        <w:t xml:space="preserve">                      </w:t>
      </w:r>
    </w:p>
    <w:p w14:paraId="379982CA">
      <w:pPr>
        <w:spacing w:line="720" w:lineRule="auto"/>
        <w:ind w:firstLine="2707" w:firstLineChars="1128"/>
        <w:rPr>
          <w:rFonts w:hint="eastAsia" w:ascii="宋体" w:hAnsi="宋体" w:cs="宋体"/>
          <w:sz w:val="24"/>
        </w:rPr>
      </w:pPr>
      <w:r>
        <w:rPr>
          <w:rFonts w:hint="eastAsia" w:ascii="宋体" w:hAnsi="宋体" w:cs="宋体"/>
          <w:sz w:val="24"/>
        </w:rPr>
        <w:t xml:space="preserve"> 法定代表人或授权委托人（签字）：</w:t>
      </w:r>
      <w:r>
        <w:rPr>
          <w:rFonts w:hint="eastAsia" w:ascii="宋体" w:hAnsi="宋体" w:cs="宋体"/>
          <w:sz w:val="24"/>
          <w:u w:val="single"/>
        </w:rPr>
        <w:t xml:space="preserve">            </w:t>
      </w:r>
    </w:p>
    <w:p w14:paraId="56291F30">
      <w:pPr>
        <w:spacing w:line="720" w:lineRule="auto"/>
        <w:ind w:firstLine="600" w:firstLineChars="250"/>
        <w:jc w:val="center"/>
        <w:rPr>
          <w:rFonts w:hint="eastAsia" w:ascii="宋体" w:hAnsi="宋体" w:cs="宋体"/>
          <w:b/>
          <w:bCs/>
          <w:kern w:val="0"/>
          <w:sz w:val="30"/>
          <w:szCs w:val="30"/>
        </w:rPr>
      </w:pPr>
      <w:r>
        <w:rPr>
          <w:rFonts w:hint="eastAsia" w:ascii="宋体" w:hAnsi="宋体" w:cs="宋体"/>
          <w:sz w:val="24"/>
        </w:rPr>
        <w:t xml:space="preserve">                                   年    月     日</w:t>
      </w:r>
      <w:r>
        <w:rPr>
          <w:rFonts w:hint="eastAsia" w:ascii="宋体" w:hAnsi="宋体" w:cs="宋体"/>
          <w:b/>
          <w:bCs/>
          <w:kern w:val="0"/>
          <w:sz w:val="30"/>
          <w:szCs w:val="30"/>
        </w:rPr>
        <w:br w:type="page"/>
      </w:r>
      <w:bookmarkStart w:id="139" w:name="_Toc24735"/>
      <w:bookmarkStart w:id="140" w:name="_Toc2115"/>
      <w:bookmarkStart w:id="141" w:name="_Toc24229"/>
      <w:bookmarkStart w:id="142" w:name="_Toc27851"/>
      <w:bookmarkStart w:id="143" w:name="_Toc25307"/>
      <w:r>
        <w:rPr>
          <w:rFonts w:hint="eastAsia" w:ascii="宋体" w:hAnsi="宋体" w:cs="宋体"/>
          <w:b/>
          <w:bCs/>
          <w:kern w:val="0"/>
          <w:sz w:val="30"/>
          <w:szCs w:val="30"/>
        </w:rPr>
        <w:t>四、</w:t>
      </w:r>
      <w:bookmarkEnd w:id="0"/>
      <w:bookmarkEnd w:id="139"/>
      <w:bookmarkEnd w:id="140"/>
      <w:bookmarkEnd w:id="141"/>
      <w:bookmarkEnd w:id="142"/>
      <w:bookmarkStart w:id="144" w:name="_Toc13757"/>
      <w:bookmarkStart w:id="145" w:name="_Toc19998"/>
      <w:r>
        <w:rPr>
          <w:rFonts w:hint="eastAsia" w:ascii="宋体" w:hAnsi="宋体" w:cs="宋体"/>
          <w:b/>
          <w:bCs/>
          <w:kern w:val="0"/>
          <w:sz w:val="30"/>
          <w:szCs w:val="30"/>
        </w:rPr>
        <w:t>磋商响应单位基本情况表</w:t>
      </w:r>
      <w:bookmarkEnd w:id="143"/>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6"/>
        <w:gridCol w:w="2385"/>
        <w:gridCol w:w="2127"/>
        <w:gridCol w:w="2719"/>
      </w:tblGrid>
      <w:tr w14:paraId="06E27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986" w:type="dxa"/>
            <w:noWrap w:val="0"/>
            <w:vAlign w:val="center"/>
          </w:tcPr>
          <w:p w14:paraId="0712E36C">
            <w:pPr>
              <w:pStyle w:val="48"/>
              <w:spacing w:line="400" w:lineRule="exact"/>
              <w:ind w:left="17"/>
              <w:rPr>
                <w:rFonts w:hint="eastAsia" w:ascii="宋体" w:hAnsi="宋体" w:cs="宋体"/>
                <w:color w:val="000000"/>
                <w:sz w:val="24"/>
              </w:rPr>
            </w:pPr>
            <w:r>
              <w:rPr>
                <w:rFonts w:hint="eastAsia" w:ascii="宋体" w:hAnsi="宋体" w:cs="宋体"/>
                <w:color w:val="000000"/>
                <w:sz w:val="24"/>
              </w:rPr>
              <w:t>磋商响应</w:t>
            </w:r>
          </w:p>
          <w:p w14:paraId="1E66BCFC">
            <w:pPr>
              <w:pStyle w:val="48"/>
              <w:spacing w:line="400" w:lineRule="exact"/>
              <w:ind w:left="17"/>
              <w:rPr>
                <w:rFonts w:hint="eastAsia" w:ascii="宋体" w:hAnsi="宋体" w:cs="宋体"/>
                <w:color w:val="000000"/>
                <w:sz w:val="24"/>
              </w:rPr>
            </w:pPr>
            <w:r>
              <w:rPr>
                <w:rFonts w:hint="eastAsia" w:ascii="宋体" w:hAnsi="宋体" w:cs="宋体"/>
                <w:color w:val="000000"/>
                <w:sz w:val="24"/>
              </w:rPr>
              <w:t>单位名称</w:t>
            </w:r>
          </w:p>
        </w:tc>
        <w:tc>
          <w:tcPr>
            <w:tcW w:w="7231" w:type="dxa"/>
            <w:gridSpan w:val="3"/>
            <w:noWrap w:val="0"/>
            <w:vAlign w:val="center"/>
          </w:tcPr>
          <w:p w14:paraId="41C48FBB">
            <w:pPr>
              <w:pStyle w:val="48"/>
              <w:spacing w:line="400" w:lineRule="exact"/>
              <w:ind w:left="17"/>
              <w:rPr>
                <w:rFonts w:hint="eastAsia" w:ascii="宋体" w:hAnsi="宋体" w:cs="宋体"/>
                <w:color w:val="000000"/>
                <w:sz w:val="24"/>
              </w:rPr>
            </w:pPr>
          </w:p>
        </w:tc>
      </w:tr>
      <w:tr w14:paraId="1667F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986" w:type="dxa"/>
            <w:noWrap w:val="0"/>
            <w:vAlign w:val="center"/>
          </w:tcPr>
          <w:p w14:paraId="70037C03">
            <w:pPr>
              <w:pStyle w:val="48"/>
              <w:spacing w:line="400" w:lineRule="exact"/>
              <w:ind w:left="17"/>
              <w:rPr>
                <w:rFonts w:hint="eastAsia" w:ascii="宋体" w:hAnsi="宋体" w:cs="宋体"/>
                <w:color w:val="000000"/>
                <w:sz w:val="24"/>
              </w:rPr>
            </w:pPr>
            <w:r>
              <w:rPr>
                <w:rFonts w:hint="eastAsia" w:ascii="宋体" w:hAnsi="宋体" w:cs="宋体"/>
                <w:color w:val="000000"/>
                <w:sz w:val="24"/>
              </w:rPr>
              <w:t>注册资本金</w:t>
            </w:r>
          </w:p>
        </w:tc>
        <w:tc>
          <w:tcPr>
            <w:tcW w:w="2385" w:type="dxa"/>
            <w:noWrap w:val="0"/>
            <w:vAlign w:val="center"/>
          </w:tcPr>
          <w:p w14:paraId="2DC181DD">
            <w:pPr>
              <w:pStyle w:val="48"/>
              <w:spacing w:line="400" w:lineRule="exact"/>
              <w:ind w:left="17"/>
              <w:rPr>
                <w:rFonts w:hint="eastAsia" w:ascii="宋体" w:hAnsi="宋体" w:cs="宋体"/>
                <w:color w:val="000000"/>
                <w:sz w:val="24"/>
              </w:rPr>
            </w:pPr>
          </w:p>
        </w:tc>
        <w:tc>
          <w:tcPr>
            <w:tcW w:w="2127" w:type="dxa"/>
            <w:noWrap w:val="0"/>
            <w:vAlign w:val="center"/>
          </w:tcPr>
          <w:p w14:paraId="0EA529E2">
            <w:pPr>
              <w:pStyle w:val="48"/>
              <w:spacing w:line="400" w:lineRule="exact"/>
              <w:ind w:left="17"/>
              <w:rPr>
                <w:rFonts w:hint="eastAsia" w:ascii="宋体" w:hAnsi="宋体" w:cs="宋体"/>
                <w:color w:val="000000"/>
                <w:sz w:val="24"/>
              </w:rPr>
            </w:pPr>
            <w:r>
              <w:rPr>
                <w:rFonts w:hint="eastAsia" w:ascii="宋体" w:hAnsi="宋体" w:cs="宋体"/>
                <w:color w:val="000000"/>
                <w:sz w:val="24"/>
              </w:rPr>
              <w:t>成立日期</w:t>
            </w:r>
          </w:p>
        </w:tc>
        <w:tc>
          <w:tcPr>
            <w:tcW w:w="2719" w:type="dxa"/>
            <w:noWrap w:val="0"/>
            <w:vAlign w:val="center"/>
          </w:tcPr>
          <w:p w14:paraId="33A96E96">
            <w:pPr>
              <w:pStyle w:val="48"/>
              <w:spacing w:line="400" w:lineRule="exact"/>
              <w:ind w:left="17"/>
              <w:rPr>
                <w:rFonts w:hint="eastAsia" w:ascii="宋体" w:hAnsi="宋体" w:cs="宋体"/>
                <w:color w:val="000000"/>
                <w:sz w:val="24"/>
              </w:rPr>
            </w:pPr>
          </w:p>
        </w:tc>
      </w:tr>
      <w:tr w14:paraId="56EBE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986" w:type="dxa"/>
            <w:noWrap w:val="0"/>
            <w:vAlign w:val="center"/>
          </w:tcPr>
          <w:p w14:paraId="01200BCE">
            <w:pPr>
              <w:pStyle w:val="48"/>
              <w:spacing w:line="400" w:lineRule="exact"/>
              <w:ind w:left="17"/>
              <w:rPr>
                <w:rFonts w:hint="eastAsia" w:ascii="宋体" w:hAnsi="宋体" w:cs="宋体"/>
                <w:color w:val="000000"/>
                <w:sz w:val="24"/>
              </w:rPr>
            </w:pPr>
            <w:r>
              <w:rPr>
                <w:rFonts w:hint="eastAsia" w:ascii="宋体" w:hAnsi="宋体" w:cs="宋体"/>
                <w:color w:val="000000"/>
                <w:sz w:val="24"/>
              </w:rPr>
              <w:t>地址邮编</w:t>
            </w:r>
          </w:p>
        </w:tc>
        <w:tc>
          <w:tcPr>
            <w:tcW w:w="7231" w:type="dxa"/>
            <w:gridSpan w:val="3"/>
            <w:noWrap w:val="0"/>
            <w:vAlign w:val="center"/>
          </w:tcPr>
          <w:p w14:paraId="15A3EF54">
            <w:pPr>
              <w:pStyle w:val="48"/>
              <w:spacing w:line="400" w:lineRule="exact"/>
              <w:ind w:left="17"/>
              <w:rPr>
                <w:rFonts w:hint="eastAsia" w:ascii="宋体" w:hAnsi="宋体" w:cs="宋体"/>
                <w:color w:val="000000"/>
                <w:sz w:val="24"/>
              </w:rPr>
            </w:pPr>
          </w:p>
        </w:tc>
      </w:tr>
      <w:tr w14:paraId="62CB3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986" w:type="dxa"/>
            <w:noWrap w:val="0"/>
            <w:vAlign w:val="center"/>
          </w:tcPr>
          <w:p w14:paraId="5A58C295">
            <w:pPr>
              <w:pStyle w:val="48"/>
              <w:spacing w:line="400" w:lineRule="exact"/>
              <w:ind w:left="17"/>
              <w:rPr>
                <w:rFonts w:hint="eastAsia" w:ascii="宋体" w:hAnsi="宋体" w:cs="宋体"/>
                <w:color w:val="000000"/>
                <w:sz w:val="24"/>
              </w:rPr>
            </w:pPr>
            <w:r>
              <w:rPr>
                <w:rFonts w:hint="eastAsia" w:ascii="宋体" w:hAnsi="宋体" w:cs="宋体"/>
                <w:color w:val="000000"/>
                <w:sz w:val="24"/>
              </w:rPr>
              <w:t>主要营业范围</w:t>
            </w:r>
          </w:p>
        </w:tc>
        <w:tc>
          <w:tcPr>
            <w:tcW w:w="7231" w:type="dxa"/>
            <w:gridSpan w:val="3"/>
            <w:noWrap w:val="0"/>
            <w:vAlign w:val="center"/>
          </w:tcPr>
          <w:p w14:paraId="2B62F8C2">
            <w:pPr>
              <w:pStyle w:val="48"/>
              <w:spacing w:line="400" w:lineRule="exact"/>
              <w:ind w:left="17"/>
              <w:rPr>
                <w:rFonts w:hint="eastAsia" w:ascii="宋体" w:hAnsi="宋体" w:cs="宋体"/>
                <w:color w:val="000000"/>
                <w:sz w:val="24"/>
              </w:rPr>
            </w:pPr>
          </w:p>
        </w:tc>
      </w:tr>
      <w:tr w14:paraId="30EB5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986" w:type="dxa"/>
            <w:noWrap w:val="0"/>
            <w:vAlign w:val="center"/>
          </w:tcPr>
          <w:p w14:paraId="2B32AA27">
            <w:pPr>
              <w:pStyle w:val="48"/>
              <w:spacing w:line="400" w:lineRule="exact"/>
              <w:ind w:left="17"/>
              <w:rPr>
                <w:rFonts w:hint="eastAsia" w:ascii="宋体" w:hAnsi="宋体" w:cs="宋体"/>
                <w:color w:val="000000"/>
                <w:sz w:val="24"/>
              </w:rPr>
            </w:pPr>
            <w:r>
              <w:rPr>
                <w:rFonts w:hint="eastAsia" w:ascii="宋体" w:hAnsi="宋体" w:cs="宋体"/>
                <w:color w:val="000000"/>
                <w:sz w:val="24"/>
              </w:rPr>
              <w:t>营业执照编号</w:t>
            </w:r>
          </w:p>
        </w:tc>
        <w:tc>
          <w:tcPr>
            <w:tcW w:w="2385" w:type="dxa"/>
            <w:noWrap w:val="0"/>
            <w:vAlign w:val="center"/>
          </w:tcPr>
          <w:p w14:paraId="57C96F12">
            <w:pPr>
              <w:pStyle w:val="48"/>
              <w:spacing w:line="400" w:lineRule="exact"/>
              <w:ind w:left="17"/>
              <w:rPr>
                <w:rFonts w:hint="eastAsia" w:ascii="宋体" w:hAnsi="宋体" w:cs="宋体"/>
                <w:color w:val="000000"/>
                <w:sz w:val="24"/>
              </w:rPr>
            </w:pPr>
          </w:p>
        </w:tc>
        <w:tc>
          <w:tcPr>
            <w:tcW w:w="2127" w:type="dxa"/>
            <w:noWrap w:val="0"/>
            <w:vAlign w:val="center"/>
          </w:tcPr>
          <w:p w14:paraId="1FC7DBE9">
            <w:pPr>
              <w:pStyle w:val="48"/>
              <w:spacing w:line="400" w:lineRule="exact"/>
              <w:ind w:left="17"/>
              <w:rPr>
                <w:rFonts w:hint="eastAsia" w:ascii="宋体" w:hAnsi="宋体" w:cs="宋体"/>
                <w:color w:val="000000"/>
                <w:sz w:val="24"/>
              </w:rPr>
            </w:pPr>
            <w:r>
              <w:rPr>
                <w:rFonts w:hint="eastAsia" w:ascii="宋体" w:hAnsi="宋体" w:cs="宋体"/>
                <w:color w:val="000000"/>
                <w:sz w:val="24"/>
              </w:rPr>
              <w:t>开户银行</w:t>
            </w:r>
          </w:p>
        </w:tc>
        <w:tc>
          <w:tcPr>
            <w:tcW w:w="2719" w:type="dxa"/>
            <w:noWrap w:val="0"/>
            <w:vAlign w:val="center"/>
          </w:tcPr>
          <w:p w14:paraId="5CA11FD3">
            <w:pPr>
              <w:pStyle w:val="48"/>
              <w:spacing w:line="400" w:lineRule="exact"/>
              <w:ind w:left="17"/>
              <w:rPr>
                <w:rFonts w:hint="eastAsia" w:ascii="宋体" w:hAnsi="宋体" w:cs="宋体"/>
                <w:color w:val="000000"/>
                <w:sz w:val="24"/>
              </w:rPr>
            </w:pPr>
          </w:p>
        </w:tc>
      </w:tr>
      <w:tr w14:paraId="1552C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986" w:type="dxa"/>
            <w:noWrap w:val="0"/>
            <w:vAlign w:val="center"/>
          </w:tcPr>
          <w:p w14:paraId="0AA6D6D0">
            <w:pPr>
              <w:pStyle w:val="48"/>
              <w:spacing w:line="400" w:lineRule="exact"/>
              <w:ind w:left="17"/>
              <w:rPr>
                <w:rFonts w:hint="eastAsia" w:ascii="宋体" w:hAnsi="宋体" w:cs="宋体"/>
                <w:color w:val="000000"/>
                <w:sz w:val="24"/>
              </w:rPr>
            </w:pPr>
            <w:r>
              <w:rPr>
                <w:rFonts w:hint="eastAsia" w:ascii="宋体" w:hAnsi="宋体" w:cs="宋体"/>
                <w:color w:val="000000"/>
                <w:sz w:val="24"/>
              </w:rPr>
              <w:t>单位性质</w:t>
            </w:r>
          </w:p>
        </w:tc>
        <w:tc>
          <w:tcPr>
            <w:tcW w:w="2385" w:type="dxa"/>
            <w:noWrap w:val="0"/>
            <w:vAlign w:val="center"/>
          </w:tcPr>
          <w:p w14:paraId="21332C0B">
            <w:pPr>
              <w:pStyle w:val="48"/>
              <w:spacing w:line="400" w:lineRule="exact"/>
              <w:ind w:left="17"/>
              <w:rPr>
                <w:rFonts w:hint="eastAsia" w:ascii="宋体" w:hAnsi="宋体" w:cs="宋体"/>
                <w:color w:val="000000"/>
                <w:sz w:val="24"/>
              </w:rPr>
            </w:pPr>
          </w:p>
        </w:tc>
        <w:tc>
          <w:tcPr>
            <w:tcW w:w="2127" w:type="dxa"/>
            <w:noWrap w:val="0"/>
            <w:vAlign w:val="center"/>
          </w:tcPr>
          <w:p w14:paraId="4B6D1167">
            <w:pPr>
              <w:pStyle w:val="48"/>
              <w:spacing w:line="400" w:lineRule="exact"/>
              <w:ind w:left="17"/>
              <w:rPr>
                <w:rFonts w:hint="eastAsia" w:ascii="宋体" w:hAnsi="宋体" w:cs="宋体"/>
                <w:color w:val="000000"/>
                <w:sz w:val="24"/>
              </w:rPr>
            </w:pPr>
            <w:r>
              <w:rPr>
                <w:rFonts w:hint="eastAsia" w:ascii="宋体" w:hAnsi="宋体" w:cs="宋体"/>
                <w:color w:val="000000"/>
                <w:sz w:val="24"/>
              </w:rPr>
              <w:t>账号</w:t>
            </w:r>
          </w:p>
        </w:tc>
        <w:tc>
          <w:tcPr>
            <w:tcW w:w="2719" w:type="dxa"/>
            <w:noWrap w:val="0"/>
            <w:vAlign w:val="center"/>
          </w:tcPr>
          <w:p w14:paraId="7DBED06A">
            <w:pPr>
              <w:pStyle w:val="48"/>
              <w:spacing w:line="400" w:lineRule="exact"/>
              <w:ind w:left="17"/>
              <w:rPr>
                <w:rFonts w:hint="eastAsia" w:ascii="宋体" w:hAnsi="宋体" w:cs="宋体"/>
                <w:color w:val="000000"/>
                <w:sz w:val="24"/>
              </w:rPr>
            </w:pPr>
          </w:p>
        </w:tc>
      </w:tr>
      <w:tr w14:paraId="7CA33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986" w:type="dxa"/>
            <w:noWrap w:val="0"/>
            <w:vAlign w:val="center"/>
          </w:tcPr>
          <w:p w14:paraId="1164854E">
            <w:pPr>
              <w:pStyle w:val="48"/>
              <w:spacing w:line="400" w:lineRule="exact"/>
              <w:ind w:left="17"/>
              <w:rPr>
                <w:rFonts w:hint="eastAsia" w:ascii="宋体" w:hAnsi="宋体" w:cs="宋体"/>
                <w:color w:val="000000"/>
                <w:sz w:val="24"/>
              </w:rPr>
            </w:pPr>
            <w:r>
              <w:rPr>
                <w:rFonts w:hint="eastAsia" w:ascii="宋体" w:hAnsi="宋体" w:cs="宋体"/>
                <w:color w:val="000000"/>
                <w:sz w:val="24"/>
              </w:rPr>
              <w:t>法定代表人</w:t>
            </w:r>
          </w:p>
        </w:tc>
        <w:tc>
          <w:tcPr>
            <w:tcW w:w="2385" w:type="dxa"/>
            <w:noWrap w:val="0"/>
            <w:vAlign w:val="center"/>
          </w:tcPr>
          <w:p w14:paraId="39DFEA03">
            <w:pPr>
              <w:pStyle w:val="48"/>
              <w:spacing w:line="400" w:lineRule="exact"/>
              <w:ind w:left="17"/>
              <w:rPr>
                <w:rFonts w:hint="eastAsia" w:ascii="宋体" w:hAnsi="宋体" w:cs="宋体"/>
                <w:color w:val="000000"/>
                <w:sz w:val="24"/>
              </w:rPr>
            </w:pPr>
          </w:p>
        </w:tc>
        <w:tc>
          <w:tcPr>
            <w:tcW w:w="2127" w:type="dxa"/>
            <w:noWrap w:val="0"/>
            <w:vAlign w:val="center"/>
          </w:tcPr>
          <w:p w14:paraId="3B1A53AF">
            <w:pPr>
              <w:pStyle w:val="48"/>
              <w:spacing w:line="400" w:lineRule="exact"/>
              <w:ind w:left="17"/>
              <w:rPr>
                <w:rFonts w:hint="eastAsia" w:ascii="宋体" w:hAnsi="宋体" w:cs="宋体"/>
                <w:color w:val="000000"/>
                <w:sz w:val="24"/>
              </w:rPr>
            </w:pPr>
            <w:r>
              <w:rPr>
                <w:rFonts w:hint="eastAsia" w:ascii="宋体" w:hAnsi="宋体" w:cs="宋体"/>
                <w:color w:val="000000"/>
                <w:sz w:val="24"/>
              </w:rPr>
              <w:t>技术负责人</w:t>
            </w:r>
          </w:p>
        </w:tc>
        <w:tc>
          <w:tcPr>
            <w:tcW w:w="2719" w:type="dxa"/>
            <w:noWrap w:val="0"/>
            <w:vAlign w:val="center"/>
          </w:tcPr>
          <w:p w14:paraId="614148BB">
            <w:pPr>
              <w:pStyle w:val="48"/>
              <w:spacing w:line="400" w:lineRule="exact"/>
              <w:ind w:left="17"/>
              <w:rPr>
                <w:rFonts w:hint="eastAsia" w:ascii="宋体" w:hAnsi="宋体" w:cs="宋体"/>
                <w:color w:val="000000"/>
                <w:sz w:val="24"/>
              </w:rPr>
            </w:pPr>
          </w:p>
        </w:tc>
      </w:tr>
      <w:tr w14:paraId="50C31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986" w:type="dxa"/>
            <w:noWrap w:val="0"/>
            <w:vAlign w:val="center"/>
          </w:tcPr>
          <w:p w14:paraId="00877C85">
            <w:pPr>
              <w:pStyle w:val="48"/>
              <w:spacing w:line="400" w:lineRule="exact"/>
              <w:ind w:left="17"/>
              <w:rPr>
                <w:rFonts w:hint="eastAsia" w:ascii="宋体" w:hAnsi="宋体" w:cs="宋体"/>
                <w:color w:val="000000"/>
                <w:sz w:val="24"/>
              </w:rPr>
            </w:pPr>
            <w:r>
              <w:rPr>
                <w:rFonts w:hint="eastAsia" w:ascii="宋体" w:hAnsi="宋体" w:cs="宋体"/>
                <w:color w:val="000000"/>
                <w:sz w:val="24"/>
              </w:rPr>
              <w:t>联 系 人</w:t>
            </w:r>
          </w:p>
        </w:tc>
        <w:tc>
          <w:tcPr>
            <w:tcW w:w="2385" w:type="dxa"/>
            <w:noWrap w:val="0"/>
            <w:vAlign w:val="center"/>
          </w:tcPr>
          <w:p w14:paraId="744FF69F">
            <w:pPr>
              <w:pStyle w:val="48"/>
              <w:spacing w:line="400" w:lineRule="exact"/>
              <w:ind w:left="17"/>
              <w:rPr>
                <w:rFonts w:hint="eastAsia" w:ascii="宋体" w:hAnsi="宋体" w:cs="宋体"/>
                <w:color w:val="000000"/>
                <w:sz w:val="24"/>
              </w:rPr>
            </w:pPr>
          </w:p>
        </w:tc>
        <w:tc>
          <w:tcPr>
            <w:tcW w:w="2127" w:type="dxa"/>
            <w:noWrap w:val="0"/>
            <w:vAlign w:val="center"/>
          </w:tcPr>
          <w:p w14:paraId="2F9F760A">
            <w:pPr>
              <w:pStyle w:val="48"/>
              <w:spacing w:line="400" w:lineRule="exact"/>
              <w:ind w:left="17"/>
              <w:rPr>
                <w:rFonts w:hint="eastAsia" w:ascii="宋体" w:hAnsi="宋体" w:cs="宋体"/>
                <w:color w:val="000000"/>
                <w:sz w:val="24"/>
              </w:rPr>
            </w:pPr>
            <w:r>
              <w:rPr>
                <w:rFonts w:hint="eastAsia" w:ascii="宋体" w:hAnsi="宋体" w:cs="宋体"/>
                <w:color w:val="000000"/>
                <w:sz w:val="24"/>
              </w:rPr>
              <w:t>电话/传真</w:t>
            </w:r>
          </w:p>
        </w:tc>
        <w:tc>
          <w:tcPr>
            <w:tcW w:w="2719" w:type="dxa"/>
            <w:noWrap w:val="0"/>
            <w:vAlign w:val="center"/>
          </w:tcPr>
          <w:p w14:paraId="0085C6E6">
            <w:pPr>
              <w:pStyle w:val="48"/>
              <w:spacing w:line="400" w:lineRule="exact"/>
              <w:ind w:left="17"/>
              <w:rPr>
                <w:rFonts w:hint="eastAsia" w:ascii="宋体" w:hAnsi="宋体" w:cs="宋体"/>
                <w:color w:val="000000"/>
                <w:sz w:val="24"/>
              </w:rPr>
            </w:pPr>
          </w:p>
        </w:tc>
      </w:tr>
      <w:tr w14:paraId="732FF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4371" w:type="dxa"/>
            <w:gridSpan w:val="2"/>
            <w:noWrap w:val="0"/>
            <w:vAlign w:val="center"/>
          </w:tcPr>
          <w:p w14:paraId="4AFA3E87">
            <w:pPr>
              <w:pStyle w:val="48"/>
              <w:spacing w:line="400" w:lineRule="exact"/>
              <w:ind w:left="17"/>
              <w:rPr>
                <w:rFonts w:hint="eastAsia" w:ascii="宋体" w:hAnsi="宋体" w:cs="宋体"/>
                <w:color w:val="000000"/>
                <w:sz w:val="24"/>
              </w:rPr>
            </w:pPr>
            <w:r>
              <w:rPr>
                <w:rFonts w:hint="eastAsia" w:ascii="宋体" w:hAnsi="宋体" w:cs="宋体"/>
                <w:color w:val="000000"/>
                <w:sz w:val="24"/>
              </w:rPr>
              <w:t>员工总数</w:t>
            </w:r>
          </w:p>
        </w:tc>
        <w:tc>
          <w:tcPr>
            <w:tcW w:w="4846" w:type="dxa"/>
            <w:gridSpan w:val="2"/>
            <w:noWrap w:val="0"/>
            <w:vAlign w:val="center"/>
          </w:tcPr>
          <w:p w14:paraId="5298A56B">
            <w:pPr>
              <w:pStyle w:val="48"/>
              <w:spacing w:line="400" w:lineRule="exact"/>
              <w:ind w:left="17"/>
              <w:rPr>
                <w:rFonts w:hint="eastAsia" w:ascii="宋体" w:hAnsi="宋体" w:cs="宋体"/>
                <w:color w:val="000000"/>
                <w:sz w:val="24"/>
              </w:rPr>
            </w:pPr>
          </w:p>
        </w:tc>
      </w:tr>
      <w:tr w14:paraId="3695F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4" w:hRule="atLeast"/>
          <w:jc w:val="center"/>
        </w:trPr>
        <w:tc>
          <w:tcPr>
            <w:tcW w:w="1986" w:type="dxa"/>
            <w:noWrap w:val="0"/>
            <w:vAlign w:val="center"/>
          </w:tcPr>
          <w:p w14:paraId="1620739E">
            <w:pPr>
              <w:widowControl/>
              <w:spacing w:line="400" w:lineRule="exact"/>
              <w:jc w:val="center"/>
              <w:rPr>
                <w:rFonts w:hint="eastAsia" w:ascii="宋体" w:hAnsi="宋体" w:cs="宋体"/>
                <w:color w:val="000000"/>
                <w:sz w:val="24"/>
              </w:rPr>
            </w:pPr>
            <w:r>
              <w:rPr>
                <w:rFonts w:hint="eastAsia" w:ascii="宋体" w:hAnsi="宋体" w:cs="宋体"/>
                <w:color w:val="000000"/>
                <w:sz w:val="24"/>
              </w:rPr>
              <w:t>单位简介</w:t>
            </w:r>
          </w:p>
        </w:tc>
        <w:tc>
          <w:tcPr>
            <w:tcW w:w="7231" w:type="dxa"/>
            <w:gridSpan w:val="3"/>
            <w:noWrap w:val="0"/>
            <w:vAlign w:val="center"/>
          </w:tcPr>
          <w:p w14:paraId="07F65E82">
            <w:pPr>
              <w:pStyle w:val="48"/>
              <w:spacing w:line="400" w:lineRule="exact"/>
              <w:ind w:left="17"/>
              <w:rPr>
                <w:rFonts w:hint="eastAsia" w:ascii="宋体" w:hAnsi="宋体" w:cs="宋体"/>
                <w:color w:val="000000"/>
                <w:sz w:val="24"/>
              </w:rPr>
            </w:pPr>
          </w:p>
        </w:tc>
      </w:tr>
    </w:tbl>
    <w:p w14:paraId="6BDB9D02">
      <w:pPr>
        <w:spacing w:line="480" w:lineRule="exact"/>
        <w:rPr>
          <w:rFonts w:hint="eastAsia" w:ascii="宋体" w:hAnsi="宋体" w:cs="宋体"/>
          <w:b/>
          <w:bCs/>
          <w:kern w:val="0"/>
          <w:sz w:val="30"/>
          <w:szCs w:val="30"/>
        </w:rPr>
      </w:pPr>
    </w:p>
    <w:p w14:paraId="0CFA14AF">
      <w:pPr>
        <w:rPr>
          <w:rFonts w:hint="eastAsia" w:ascii="宋体" w:hAnsi="宋体" w:cs="宋体"/>
          <w:b/>
          <w:sz w:val="28"/>
          <w:szCs w:val="28"/>
        </w:rPr>
      </w:pPr>
      <w:bookmarkStart w:id="146" w:name="_Toc13170"/>
      <w:r>
        <w:rPr>
          <w:rFonts w:hint="eastAsia" w:ascii="宋体" w:hAnsi="宋体" w:cs="宋体"/>
          <w:b/>
          <w:sz w:val="28"/>
          <w:szCs w:val="28"/>
        </w:rPr>
        <w:br w:type="page"/>
      </w:r>
    </w:p>
    <w:p w14:paraId="2BCC7BF1">
      <w:pPr>
        <w:spacing w:line="480" w:lineRule="exact"/>
        <w:jc w:val="center"/>
        <w:outlineLvl w:val="0"/>
        <w:rPr>
          <w:rFonts w:hint="eastAsia" w:ascii="宋体" w:hAnsi="宋体" w:eastAsia="宋体" w:cs="宋体"/>
          <w:b/>
          <w:bCs/>
          <w:sz w:val="28"/>
          <w:szCs w:val="28"/>
          <w:lang w:eastAsia="zh-CN"/>
        </w:rPr>
      </w:pPr>
      <w:r>
        <w:rPr>
          <w:rFonts w:hint="eastAsia" w:ascii="宋体" w:hAnsi="宋体" w:cs="宋体"/>
          <w:b/>
          <w:sz w:val="28"/>
          <w:szCs w:val="28"/>
        </w:rPr>
        <w:t>五、</w:t>
      </w:r>
      <w:bookmarkEnd w:id="146"/>
      <w:r>
        <w:rPr>
          <w:rFonts w:hint="eastAsia" w:ascii="宋体" w:hAnsi="宋体" w:cs="宋体"/>
          <w:b/>
          <w:bCs/>
          <w:sz w:val="28"/>
          <w:szCs w:val="28"/>
          <w:lang w:val="en-US" w:eastAsia="zh-CN"/>
        </w:rPr>
        <w:t>服务方案</w:t>
      </w:r>
    </w:p>
    <w:p w14:paraId="278C55FF">
      <w:pPr>
        <w:spacing w:line="360" w:lineRule="auto"/>
        <w:ind w:firstLine="482" w:firstLineChars="200"/>
        <w:jc w:val="center"/>
        <w:rPr>
          <w:rFonts w:hint="eastAsia" w:ascii="宋体" w:hAnsi="宋体" w:eastAsia="宋体" w:cs="宋体"/>
          <w:b/>
          <w:sz w:val="24"/>
          <w:lang w:eastAsia="zh-CN"/>
        </w:rPr>
      </w:pPr>
      <w:r>
        <w:rPr>
          <w:rFonts w:hint="eastAsia" w:ascii="宋体" w:hAnsi="宋体" w:cs="宋体"/>
          <w:b/>
          <w:sz w:val="24"/>
          <w:lang w:eastAsia="zh-CN"/>
        </w:rPr>
        <w:t>（</w:t>
      </w:r>
      <w:r>
        <w:rPr>
          <w:rFonts w:hint="eastAsia" w:ascii="宋体" w:hAnsi="宋体" w:cs="宋体"/>
          <w:b/>
          <w:sz w:val="24"/>
          <w:lang w:val="en-US" w:eastAsia="zh-CN"/>
        </w:rPr>
        <w:t>格式自拟</w:t>
      </w:r>
      <w:r>
        <w:rPr>
          <w:rFonts w:hint="eastAsia" w:ascii="宋体" w:hAnsi="宋体" w:cs="宋体"/>
          <w:b/>
          <w:sz w:val="24"/>
          <w:lang w:eastAsia="zh-CN"/>
        </w:rPr>
        <w:t>）</w:t>
      </w:r>
    </w:p>
    <w:p w14:paraId="233587BB">
      <w:pPr>
        <w:spacing w:line="460" w:lineRule="exact"/>
        <w:rPr>
          <w:rFonts w:hint="eastAsia" w:ascii="宋体" w:hAnsi="宋体" w:cs="宋体"/>
          <w:b/>
          <w:sz w:val="24"/>
        </w:rPr>
      </w:pPr>
    </w:p>
    <w:p w14:paraId="5DEBEA85">
      <w:pPr>
        <w:spacing w:line="460" w:lineRule="exact"/>
        <w:rPr>
          <w:rFonts w:hint="eastAsia" w:ascii="宋体" w:hAnsi="宋体" w:cs="宋体"/>
          <w:b/>
          <w:sz w:val="24"/>
        </w:rPr>
      </w:pPr>
    </w:p>
    <w:p w14:paraId="74B1195F">
      <w:pPr>
        <w:spacing w:line="460" w:lineRule="exact"/>
        <w:rPr>
          <w:rFonts w:hint="eastAsia" w:ascii="宋体" w:hAnsi="宋体" w:cs="宋体"/>
          <w:b/>
          <w:sz w:val="24"/>
        </w:rPr>
      </w:pPr>
    </w:p>
    <w:p w14:paraId="3F0B6CF2">
      <w:pPr>
        <w:spacing w:line="720" w:lineRule="auto"/>
        <w:ind w:firstLine="2707" w:firstLineChars="1128"/>
        <w:rPr>
          <w:rFonts w:hint="eastAsia" w:ascii="宋体" w:hAnsi="宋体" w:cs="宋体"/>
          <w:sz w:val="24"/>
          <w:u w:val="single"/>
        </w:rPr>
      </w:pPr>
      <w:r>
        <w:rPr>
          <w:rFonts w:hint="eastAsia" w:ascii="宋体" w:hAnsi="宋体" w:cs="宋体"/>
          <w:sz w:val="24"/>
        </w:rPr>
        <w:t xml:space="preserve"> 磋商响应单位（公章）：</w:t>
      </w:r>
      <w:r>
        <w:rPr>
          <w:rFonts w:hint="eastAsia" w:ascii="宋体" w:hAnsi="宋体" w:cs="宋体"/>
          <w:sz w:val="24"/>
          <w:u w:val="single"/>
        </w:rPr>
        <w:t xml:space="preserve">                      </w:t>
      </w:r>
    </w:p>
    <w:p w14:paraId="567E11D7">
      <w:pPr>
        <w:spacing w:line="720" w:lineRule="auto"/>
        <w:ind w:firstLine="2707" w:firstLineChars="1128"/>
        <w:rPr>
          <w:rFonts w:hint="eastAsia" w:ascii="宋体" w:hAnsi="宋体" w:cs="宋体"/>
          <w:sz w:val="24"/>
        </w:rPr>
      </w:pPr>
      <w:r>
        <w:rPr>
          <w:rFonts w:hint="eastAsia" w:ascii="宋体" w:hAnsi="宋体" w:cs="宋体"/>
          <w:sz w:val="24"/>
        </w:rPr>
        <w:t xml:space="preserve"> 法定代表人或授权委托人（签字）：</w:t>
      </w:r>
      <w:r>
        <w:rPr>
          <w:rFonts w:hint="eastAsia" w:ascii="宋体" w:hAnsi="宋体" w:cs="宋体"/>
          <w:sz w:val="24"/>
          <w:u w:val="single"/>
        </w:rPr>
        <w:t xml:space="preserve">            </w:t>
      </w:r>
    </w:p>
    <w:p w14:paraId="7D94C69B">
      <w:pPr>
        <w:spacing w:line="720" w:lineRule="auto"/>
        <w:ind w:firstLine="600" w:firstLineChars="250"/>
        <w:jc w:val="center"/>
        <w:rPr>
          <w:rFonts w:hint="eastAsia" w:ascii="宋体" w:hAnsi="宋体" w:cs="宋体"/>
          <w:b/>
          <w:sz w:val="24"/>
        </w:rPr>
      </w:pPr>
      <w:r>
        <w:rPr>
          <w:rFonts w:hint="eastAsia" w:ascii="宋体" w:hAnsi="宋体" w:cs="宋体"/>
          <w:sz w:val="24"/>
        </w:rPr>
        <w:t xml:space="preserve">                                   年   月   日</w:t>
      </w:r>
    </w:p>
    <w:p w14:paraId="3DBD6CE0">
      <w:pPr>
        <w:spacing w:line="360" w:lineRule="auto"/>
        <w:rPr>
          <w:rFonts w:hint="eastAsia" w:ascii="宋体" w:hAnsi="宋体" w:cs="宋体"/>
          <w:b/>
          <w:sz w:val="28"/>
          <w:szCs w:val="28"/>
        </w:rPr>
      </w:pPr>
    </w:p>
    <w:p w14:paraId="75DD0383">
      <w:pPr>
        <w:spacing w:line="460" w:lineRule="exact"/>
        <w:rPr>
          <w:rFonts w:hint="eastAsia" w:ascii="宋体" w:hAnsi="宋体" w:cs="宋体"/>
          <w:b/>
          <w:sz w:val="28"/>
          <w:szCs w:val="28"/>
        </w:rPr>
      </w:pPr>
    </w:p>
    <w:p w14:paraId="0AA39C44">
      <w:pPr>
        <w:spacing w:line="460" w:lineRule="exact"/>
        <w:rPr>
          <w:rFonts w:hint="eastAsia" w:ascii="宋体" w:hAnsi="宋体" w:cs="宋体"/>
          <w:b/>
          <w:sz w:val="28"/>
          <w:szCs w:val="28"/>
        </w:rPr>
      </w:pPr>
    </w:p>
    <w:p w14:paraId="460E4568">
      <w:pPr>
        <w:numPr>
          <w:ilvl w:val="0"/>
          <w:numId w:val="2"/>
        </w:numPr>
        <w:spacing w:line="460" w:lineRule="exact"/>
        <w:ind w:left="0" w:leftChars="0" w:firstLine="0" w:firstLineChars="0"/>
        <w:jc w:val="center"/>
        <w:outlineLvl w:val="0"/>
        <w:rPr>
          <w:rFonts w:hint="eastAsia" w:ascii="宋体" w:hAnsi="宋体" w:cs="宋体"/>
          <w:b/>
          <w:sz w:val="28"/>
          <w:szCs w:val="28"/>
        </w:rPr>
      </w:pPr>
      <w:r>
        <w:rPr>
          <w:rFonts w:hint="eastAsia" w:ascii="宋体" w:hAnsi="宋体" w:cs="宋体"/>
          <w:b/>
          <w:sz w:val="28"/>
          <w:szCs w:val="28"/>
        </w:rPr>
        <w:br w:type="page"/>
      </w:r>
      <w:r>
        <w:rPr>
          <w:rFonts w:hint="eastAsia" w:ascii="宋体" w:hAnsi="宋体" w:cs="宋体"/>
          <w:b/>
          <w:sz w:val="28"/>
          <w:szCs w:val="28"/>
          <w:lang w:eastAsia="zh-CN"/>
        </w:rPr>
        <w:t>服务承诺</w:t>
      </w:r>
    </w:p>
    <w:p w14:paraId="7652A573">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jc w:val="left"/>
        <w:textAlignment w:val="auto"/>
        <w:rPr>
          <w:rFonts w:hint="eastAsia" w:ascii="宋体" w:hAnsi="宋体" w:cs="宋体"/>
          <w:b/>
          <w:sz w:val="24"/>
        </w:rPr>
      </w:pPr>
      <w:r>
        <w:rPr>
          <w:rFonts w:hint="eastAsia" w:ascii="宋体" w:hAnsi="宋体" w:eastAsia="宋体" w:cs="宋体"/>
          <w:bCs/>
          <w:sz w:val="24"/>
        </w:rPr>
        <w:t>1、对本次项目的服务承诺做以详细的文字说明（服务承诺不得低于磋商文件要求）</w:t>
      </w:r>
      <w:r>
        <w:rPr>
          <w:rFonts w:hint="eastAsia" w:ascii="宋体" w:hAnsi="宋体" w:cs="宋体"/>
          <w:sz w:val="24"/>
        </w:rPr>
        <w:t>。</w:t>
      </w:r>
    </w:p>
    <w:p w14:paraId="69892DC2">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cs="宋体"/>
          <w:bCs/>
          <w:sz w:val="24"/>
        </w:rPr>
      </w:pPr>
      <w:r>
        <w:rPr>
          <w:rFonts w:hint="eastAsia" w:ascii="宋体" w:hAnsi="宋体" w:cs="宋体"/>
          <w:bCs/>
          <w:sz w:val="24"/>
          <w:lang w:val="en-US" w:eastAsia="zh-CN"/>
        </w:rPr>
        <w:t>2、</w:t>
      </w:r>
      <w:r>
        <w:rPr>
          <w:rFonts w:hint="eastAsia" w:ascii="宋体" w:hAnsi="宋体" w:cs="宋体"/>
          <w:bCs/>
          <w:sz w:val="24"/>
        </w:rPr>
        <w:t>供应商认为应当说明的其他问题（可附必要的印证材料）</w:t>
      </w:r>
    </w:p>
    <w:p w14:paraId="6DAD3202">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cs="宋体"/>
          <w:bCs/>
          <w:sz w:val="24"/>
        </w:rPr>
      </w:pPr>
      <w:r>
        <w:rPr>
          <w:rFonts w:hint="eastAsia" w:ascii="宋体" w:hAnsi="宋体" w:cs="宋体"/>
          <w:bCs/>
          <w:sz w:val="24"/>
        </w:rPr>
        <w:t xml:space="preserve">    </w:t>
      </w:r>
    </w:p>
    <w:p w14:paraId="17364FBF">
      <w:pPr>
        <w:spacing w:line="460" w:lineRule="exact"/>
        <w:rPr>
          <w:rFonts w:hint="eastAsia" w:ascii="宋体" w:hAnsi="宋体" w:cs="宋体"/>
          <w:b/>
          <w:sz w:val="24"/>
        </w:rPr>
      </w:pPr>
    </w:p>
    <w:p w14:paraId="73BEF00D">
      <w:pPr>
        <w:spacing w:line="460" w:lineRule="exact"/>
        <w:rPr>
          <w:rFonts w:hint="eastAsia" w:ascii="宋体" w:hAnsi="宋体" w:cs="宋体"/>
          <w:b/>
          <w:sz w:val="24"/>
        </w:rPr>
      </w:pPr>
    </w:p>
    <w:p w14:paraId="355E6CC0">
      <w:pPr>
        <w:spacing w:line="720" w:lineRule="auto"/>
        <w:ind w:firstLine="2707" w:firstLineChars="1128"/>
        <w:rPr>
          <w:rFonts w:hint="eastAsia" w:ascii="宋体" w:hAnsi="宋体" w:cs="宋体"/>
          <w:sz w:val="24"/>
          <w:u w:val="single"/>
        </w:rPr>
      </w:pPr>
      <w:r>
        <w:rPr>
          <w:rFonts w:hint="eastAsia" w:ascii="宋体" w:hAnsi="宋体" w:cs="宋体"/>
          <w:sz w:val="24"/>
        </w:rPr>
        <w:t xml:space="preserve"> 磋商响应单位（公章）：</w:t>
      </w:r>
      <w:r>
        <w:rPr>
          <w:rFonts w:hint="eastAsia" w:ascii="宋体" w:hAnsi="宋体" w:cs="宋体"/>
          <w:sz w:val="24"/>
          <w:u w:val="single"/>
        </w:rPr>
        <w:t xml:space="preserve">                      </w:t>
      </w:r>
    </w:p>
    <w:p w14:paraId="16FD7C68">
      <w:pPr>
        <w:spacing w:line="720" w:lineRule="auto"/>
        <w:ind w:firstLine="2707" w:firstLineChars="1128"/>
        <w:rPr>
          <w:rFonts w:hint="eastAsia" w:ascii="宋体" w:hAnsi="宋体" w:cs="宋体"/>
          <w:sz w:val="24"/>
        </w:rPr>
      </w:pPr>
      <w:r>
        <w:rPr>
          <w:rFonts w:hint="eastAsia" w:ascii="宋体" w:hAnsi="宋体" w:cs="宋体"/>
          <w:sz w:val="24"/>
        </w:rPr>
        <w:t xml:space="preserve"> 法定代表人或授权委托人（签字）：</w:t>
      </w:r>
      <w:r>
        <w:rPr>
          <w:rFonts w:hint="eastAsia" w:ascii="宋体" w:hAnsi="宋体" w:cs="宋体"/>
          <w:sz w:val="24"/>
          <w:u w:val="single"/>
        </w:rPr>
        <w:t xml:space="preserve">            </w:t>
      </w:r>
    </w:p>
    <w:p w14:paraId="19D03931">
      <w:pPr>
        <w:spacing w:line="720" w:lineRule="auto"/>
        <w:ind w:firstLine="600" w:firstLineChars="250"/>
        <w:jc w:val="center"/>
        <w:rPr>
          <w:rFonts w:hint="eastAsia" w:ascii="宋体" w:hAnsi="宋体" w:cs="宋体"/>
          <w:b/>
          <w:sz w:val="24"/>
        </w:rPr>
      </w:pPr>
      <w:r>
        <w:rPr>
          <w:rFonts w:hint="eastAsia" w:ascii="宋体" w:hAnsi="宋体" w:cs="宋体"/>
          <w:sz w:val="24"/>
        </w:rPr>
        <w:t xml:space="preserve">                                  年    月    日</w:t>
      </w:r>
    </w:p>
    <w:p w14:paraId="043B8AAF">
      <w:pPr>
        <w:spacing w:line="440" w:lineRule="exact"/>
        <w:ind w:firstLine="602" w:firstLineChars="250"/>
        <w:jc w:val="center"/>
        <w:rPr>
          <w:rFonts w:hint="eastAsia" w:ascii="宋体" w:hAnsi="宋体" w:cs="宋体"/>
          <w:b/>
          <w:sz w:val="24"/>
        </w:rPr>
      </w:pPr>
    </w:p>
    <w:p w14:paraId="6F9A2F8B">
      <w:pPr>
        <w:spacing w:line="460" w:lineRule="exact"/>
        <w:rPr>
          <w:rFonts w:hint="eastAsia" w:ascii="宋体" w:hAnsi="宋体" w:cs="宋体"/>
          <w:b/>
          <w:sz w:val="28"/>
          <w:szCs w:val="28"/>
        </w:rPr>
      </w:pPr>
    </w:p>
    <w:p w14:paraId="13FA0B95">
      <w:pPr>
        <w:spacing w:line="460" w:lineRule="exact"/>
        <w:jc w:val="center"/>
        <w:outlineLvl w:val="0"/>
        <w:rPr>
          <w:rFonts w:hint="eastAsia" w:ascii="宋体" w:hAnsi="宋体" w:cs="宋体"/>
          <w:b/>
          <w:sz w:val="28"/>
          <w:szCs w:val="28"/>
        </w:rPr>
      </w:pPr>
      <w:r>
        <w:rPr>
          <w:rFonts w:hint="eastAsia" w:ascii="宋体" w:hAnsi="宋体" w:cs="宋体"/>
          <w:b/>
          <w:sz w:val="28"/>
          <w:szCs w:val="28"/>
        </w:rPr>
        <w:br w:type="page"/>
      </w:r>
      <w:bookmarkStart w:id="147" w:name="_Toc29211"/>
      <w:r>
        <w:rPr>
          <w:rFonts w:hint="eastAsia" w:ascii="宋体" w:hAnsi="宋体" w:cs="宋体"/>
          <w:b/>
          <w:sz w:val="28"/>
          <w:szCs w:val="28"/>
        </w:rPr>
        <w:t>七、资质证明文件</w:t>
      </w:r>
      <w:bookmarkEnd w:id="147"/>
    </w:p>
    <w:p w14:paraId="0ED45E16">
      <w:pPr>
        <w:spacing w:line="460" w:lineRule="exact"/>
        <w:jc w:val="center"/>
        <w:rPr>
          <w:rFonts w:hint="eastAsia" w:ascii="宋体" w:hAnsi="宋体" w:cs="宋体"/>
          <w:b/>
          <w:sz w:val="24"/>
        </w:rPr>
      </w:pPr>
      <w:r>
        <w:rPr>
          <w:rFonts w:hint="eastAsia" w:ascii="宋体" w:hAnsi="宋体" w:cs="宋体"/>
          <w:b/>
          <w:sz w:val="28"/>
          <w:szCs w:val="28"/>
        </w:rPr>
        <w:t>（</w:t>
      </w:r>
      <w:r>
        <w:rPr>
          <w:rFonts w:hint="eastAsia" w:ascii="宋体" w:hAnsi="宋体" w:cs="宋体"/>
          <w:b/>
          <w:sz w:val="24"/>
        </w:rPr>
        <w:t>响应文件中加装以下资质证书复印件并加盖公章，装订在响应文件内）：</w:t>
      </w:r>
    </w:p>
    <w:p w14:paraId="24D76745">
      <w:pPr>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1.具有独立承担民事责任的能力，提供营业执照、税务登记证、组织机构代码证或登载有统一社会信用代码的营业执照（或《事业单位法人证书》或其他合法组织登记证书、自然人只须提交身份证复印件）；</w:t>
      </w:r>
    </w:p>
    <w:p w14:paraId="2CAC3136">
      <w:pPr>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2.提供法定代表人授权书（附法定代表人身份证复印件）及被授权代表身份证复印件（法定代表人直接参加只须提供法定代表人身份证复印件）；</w:t>
      </w:r>
    </w:p>
    <w:p w14:paraId="116E2DDF">
      <w:pPr>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3.税收缴纳证明:自</w:t>
      </w:r>
      <w:r>
        <w:rPr>
          <w:rFonts w:hint="eastAsia" w:ascii="宋体" w:hAnsi="宋体" w:cs="宋体"/>
          <w:color w:val="auto"/>
          <w:sz w:val="24"/>
          <w:szCs w:val="24"/>
          <w:lang w:eastAsia="zh-CN"/>
        </w:rPr>
        <w:t>2025年11月</w:t>
      </w:r>
      <w:r>
        <w:rPr>
          <w:rFonts w:hint="eastAsia" w:ascii="宋体" w:hAnsi="宋体" w:eastAsia="宋体" w:cs="宋体"/>
          <w:color w:val="auto"/>
          <w:sz w:val="24"/>
          <w:szCs w:val="24"/>
        </w:rPr>
        <w:t>至今至少1个月的纳税证明或完税证明(提供增值税、企业所得税至少一种),纳税证明或完税证明上应有代收机构或税务机关的公章或业务专用章。依法免税的供应商应提供相关文件证明；</w:t>
      </w:r>
    </w:p>
    <w:p w14:paraId="00525E13">
      <w:pPr>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4.社会保障资金缴纳证明:自</w:t>
      </w:r>
      <w:r>
        <w:rPr>
          <w:rFonts w:hint="eastAsia" w:ascii="宋体" w:hAnsi="宋体" w:cs="宋体"/>
          <w:color w:val="auto"/>
          <w:sz w:val="24"/>
          <w:szCs w:val="24"/>
          <w:lang w:eastAsia="zh-CN"/>
        </w:rPr>
        <w:t>2025年11月</w:t>
      </w:r>
      <w:r>
        <w:rPr>
          <w:rFonts w:hint="eastAsia" w:ascii="宋体" w:hAnsi="宋体" w:eastAsia="宋体" w:cs="宋体"/>
          <w:color w:val="auto"/>
          <w:sz w:val="24"/>
          <w:szCs w:val="24"/>
        </w:rPr>
        <w:t>至今已缴存的至少1个月的社会保障资金缴存单据或社保机构开具的社会保险参保缴费情况证明，单据或证明上应有社保机构或代收机构的印章。依法不需要缴纳社会保障资金的供应商应提供相关文件证明；</w:t>
      </w:r>
    </w:p>
    <w:p w14:paraId="069A2AE5">
      <w:pPr>
        <w:spacing w:line="46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5.</w:t>
      </w:r>
      <w:r>
        <w:rPr>
          <w:rFonts w:hint="eastAsia" w:ascii="宋体" w:hAnsi="宋体" w:cs="宋体"/>
          <w:color w:val="auto"/>
          <w:sz w:val="24"/>
          <w:szCs w:val="24"/>
          <w:lang w:eastAsia="zh-CN"/>
        </w:rPr>
        <w:t>财务状况报告:提供近三年任意一年度经审计的财务会计报告（至少应包含资产负债表、利润表和现金流量表，成立时间至提交投标文件截止时间不足一年的可提供成立后任意时段的资产负债表）；或其基本存款账户开户银行出具的资信证明及基本存款账户开户许可证；或政府采购信用担保机构出具的投标担保函；</w:t>
      </w:r>
    </w:p>
    <w:p w14:paraId="35BF9F5F">
      <w:pPr>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6.参加政府采购活动前3年内（2023年1月至今）在经营活动中没有重大违法记录的书面声明（供应商自行出具声明书并加盖公章）；</w:t>
      </w:r>
    </w:p>
    <w:p w14:paraId="682CB6EA">
      <w:pPr>
        <w:spacing w:line="460" w:lineRule="exact"/>
        <w:rPr>
          <w:rFonts w:hint="eastAsia" w:ascii="宋体" w:hAnsi="宋体" w:cs="宋体"/>
          <w:b/>
          <w:color w:val="FF0000"/>
          <w:sz w:val="28"/>
          <w:szCs w:val="28"/>
        </w:rPr>
      </w:pPr>
      <w:r>
        <w:rPr>
          <w:rFonts w:hint="eastAsia" w:ascii="宋体" w:hAnsi="宋体" w:eastAsia="宋体" w:cs="宋体"/>
          <w:color w:val="auto"/>
          <w:sz w:val="24"/>
          <w:szCs w:val="24"/>
        </w:rPr>
        <w:t>7.本项目不接受联合投标。</w:t>
      </w:r>
    </w:p>
    <w:p w14:paraId="665C6E15">
      <w:pPr>
        <w:spacing w:line="460" w:lineRule="exact"/>
        <w:rPr>
          <w:rFonts w:hint="eastAsia" w:ascii="宋体" w:hAnsi="宋体" w:cs="宋体"/>
          <w:b/>
          <w:sz w:val="28"/>
          <w:szCs w:val="28"/>
        </w:rPr>
      </w:pPr>
    </w:p>
    <w:bookmarkEnd w:id="144"/>
    <w:bookmarkEnd w:id="145"/>
    <w:p w14:paraId="28667686">
      <w:pPr>
        <w:widowControl/>
        <w:spacing w:before="100" w:beforeAutospacing="1" w:after="100" w:afterAutospacing="1" w:line="225" w:lineRule="atLeast"/>
        <w:ind w:right="836" w:rightChars="398"/>
        <w:rPr>
          <w:rStyle w:val="29"/>
          <w:rFonts w:hint="eastAsia" w:ascii="宋体" w:hAnsi="宋体" w:cs="宋体"/>
          <w:b w:val="0"/>
          <w:bCs/>
          <w:kern w:val="0"/>
          <w:sz w:val="24"/>
          <w:lang w:bidi="ar"/>
        </w:rPr>
      </w:pPr>
    </w:p>
    <w:sectPr>
      <w:footerReference r:id="rId9" w:type="first"/>
      <w:headerReference r:id="rId7" w:type="default"/>
      <w:footerReference r:id="rId8" w:type="default"/>
      <w:pgSz w:w="11907" w:h="16840"/>
      <w:pgMar w:top="1440" w:right="1140" w:bottom="1440" w:left="1083" w:header="567" w:footer="850" w:gutter="0"/>
      <w:pgNumType w:start="1"/>
      <w:cols w:space="720" w:num="1"/>
      <w:titlePg/>
      <w:docGrid w:type="lines" w:linePitch="380" w:charSpace="0"/>
    </w:sectPr>
  </w:body>
</w:document>
</file>

<file path=word/customizations.xml><?xml version="1.0" encoding="utf-8"?>
<wne:tcg xmlns:r="http://schemas.openxmlformats.org/officeDocument/2006/relationships" xmlns:wne="http://schemas.microsoft.com/office/word/2006/wordml">
  <wne:keymaps>
    <wne:keymap wne:kcmPrimary="0231">
      <wne:acd wne:acdName="acd0"/>
    </wne:keymap>
  </wne:keymaps>
  <wne:acds>
    <wne:acd wne:argValue="AQAAAAEA" wne:acdName="acd0" wne:fciIndexBasedOn="0065"/>
  </wne:acd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Book Antiqua">
    <w:altName w:val="Segoe Print"/>
    <w:panose1 w:val="02040602050305030304"/>
    <w:charset w:val="00"/>
    <w:family w:val="roman"/>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方正小标宋简体">
    <w:panose1 w:val="03000509000000000000"/>
    <w:charset w:val="86"/>
    <w:family w:val="script"/>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A9878F">
    <w:pPr>
      <w:pStyle w:val="17"/>
      <w:jc w:val="center"/>
      <w:rPr>
        <w:rFonts w:hint="eastAsia"/>
        <w:lang w:eastAsia="zh-C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33DF44">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D8E163">
    <w:pPr>
      <w:pStyle w:val="17"/>
      <w:jc w:val="center"/>
      <w:rPr>
        <w:rFonts w:hint="eastAsia"/>
        <w:lang w:eastAsia="zh-CN"/>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55E51B6E">
                          <w:pPr>
                            <w:pStyle w:val="17"/>
                            <w:jc w:val="center"/>
                          </w:pPr>
                          <w:r>
                            <w:rPr>
                              <w:rFonts w:hint="eastAsia" w:ascii="宋体" w:hAnsi="宋体" w:eastAsia="宋体" w:cs="宋体"/>
                              <w:lang w:eastAsia="zh-CN"/>
                            </w:rPr>
                            <w:fldChar w:fldCharType="begin"/>
                          </w:r>
                          <w:r>
                            <w:rPr>
                              <w:rFonts w:hint="eastAsia" w:ascii="宋体" w:hAnsi="宋体" w:eastAsia="宋体" w:cs="宋体"/>
                              <w:lang w:eastAsia="zh-CN"/>
                            </w:rPr>
                            <w:instrText xml:space="preserve"> PAGE  \* MERGEFORMAT </w:instrText>
                          </w:r>
                          <w:r>
                            <w:rPr>
                              <w:rFonts w:hint="eastAsia" w:ascii="宋体" w:hAnsi="宋体" w:eastAsia="宋体" w:cs="宋体"/>
                              <w:lang w:eastAsia="zh-CN"/>
                            </w:rPr>
                            <w:fldChar w:fldCharType="separate"/>
                          </w:r>
                          <w:r>
                            <w:rPr>
                              <w:rFonts w:hint="eastAsia" w:ascii="宋体" w:hAnsi="宋体" w:eastAsia="宋体" w:cs="宋体"/>
                            </w:rPr>
                            <w:t>2</w:t>
                          </w:r>
                          <w:r>
                            <w:rPr>
                              <w:rFonts w:hint="eastAsia" w:ascii="宋体" w:hAnsi="宋体" w:eastAsia="宋体" w:cs="宋体"/>
                              <w:lang w:eastAsia="zh-CN"/>
                            </w:rPr>
                            <w:fldChar w:fldCharType="end"/>
                          </w:r>
                        </w:p>
                      </w:txbxContent>
                    </wps:txbx>
                    <wps:bodyPr wrap="none" lIns="0" tIns="0" rIns="0" bIns="0" upright="0">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AZKvhZ0QEAAKMDAAAOAAAAAAAAAAEAIAAAACIB&#10;AABkcnMvZTJvRG9jLnhtbFBLBQYAAAAABgAGAFkBAABlBQAAAAA=&#10;">
              <v:fill on="f" focussize="0,0"/>
              <v:stroke on="f" weight="1.25pt"/>
              <v:imagedata o:title=""/>
              <o:lock v:ext="edit" aspectratio="f"/>
              <v:textbox inset="0mm,0mm,0mm,0mm" style="mso-fit-shape-to-text:t;">
                <w:txbxContent>
                  <w:p w14:paraId="55E51B6E">
                    <w:pPr>
                      <w:pStyle w:val="17"/>
                      <w:jc w:val="center"/>
                    </w:pPr>
                    <w:r>
                      <w:rPr>
                        <w:rFonts w:hint="eastAsia" w:ascii="宋体" w:hAnsi="宋体" w:eastAsia="宋体" w:cs="宋体"/>
                        <w:lang w:eastAsia="zh-CN"/>
                      </w:rPr>
                      <w:fldChar w:fldCharType="begin"/>
                    </w:r>
                    <w:r>
                      <w:rPr>
                        <w:rFonts w:hint="eastAsia" w:ascii="宋体" w:hAnsi="宋体" w:eastAsia="宋体" w:cs="宋体"/>
                        <w:lang w:eastAsia="zh-CN"/>
                      </w:rPr>
                      <w:instrText xml:space="preserve"> PAGE  \* MERGEFORMAT </w:instrText>
                    </w:r>
                    <w:r>
                      <w:rPr>
                        <w:rFonts w:hint="eastAsia" w:ascii="宋体" w:hAnsi="宋体" w:eastAsia="宋体" w:cs="宋体"/>
                        <w:lang w:eastAsia="zh-CN"/>
                      </w:rPr>
                      <w:fldChar w:fldCharType="separate"/>
                    </w:r>
                    <w:r>
                      <w:rPr>
                        <w:rFonts w:hint="eastAsia" w:ascii="宋体" w:hAnsi="宋体" w:eastAsia="宋体" w:cs="宋体"/>
                      </w:rPr>
                      <w:t>2</w:t>
                    </w:r>
                    <w:r>
                      <w:rPr>
                        <w:rFonts w:hint="eastAsia" w:ascii="宋体" w:hAnsi="宋体" w:eastAsia="宋体" w:cs="宋体"/>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AC8D81">
    <w:pPr>
      <w:pStyle w:val="17"/>
      <w:jc w:val="center"/>
      <w:rPr>
        <w:rFonts w:hint="eastAsia"/>
        <w:lang w:eastAsia="zh-CN"/>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3945A2C">
                          <w:pPr>
                            <w:pStyle w:val="17"/>
                            <w:jc w:val="cente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1</w:t>
                          </w:r>
                          <w:r>
                            <w:rPr>
                              <w:rFonts w:hint="eastAsia"/>
                              <w:lang w:eastAsia="zh-CN"/>
                            </w:rPr>
                            <w:fldChar w:fldCharType="end"/>
                          </w:r>
                        </w:p>
                      </w:txbxContent>
                    </wps:txbx>
                    <wps:bodyPr wrap="none" lIns="0" tIns="0" rIns="0" bIns="0" upright="0">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&#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qFnQQdIBAACjAwAADgAAAAAAAAABACAAAAAi&#10;AQAAZHJzL2Uyb0RvYy54bWxQSwUGAAAAAAYABgBZAQAAZgUAAAAA&#10;">
              <v:fill on="f" focussize="0,0"/>
              <v:stroke on="f" weight="1.25pt"/>
              <v:imagedata o:title=""/>
              <o:lock v:ext="edit" aspectratio="f"/>
              <v:textbox inset="0mm,0mm,0mm,0mm" style="mso-fit-shape-to-text:t;">
                <w:txbxContent>
                  <w:p w14:paraId="73945A2C">
                    <w:pPr>
                      <w:pStyle w:val="17"/>
                      <w:jc w:val="cente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F3D3F7">
    <w:pPr>
      <w:pStyle w:val="18"/>
      <w:pBdr>
        <w:bottom w:val="none" w:color="auto" w:sz="0" w:space="0"/>
      </w:pBdr>
      <w:spacing w:after="602" w:afterLines="25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766CBF">
    <w:pPr>
      <w:pStyle w:val="1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49F6FE">
    <w:pPr>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B59A84"/>
    <w:multiLevelType w:val="singleLevel"/>
    <w:tmpl w:val="80B59A84"/>
    <w:lvl w:ilvl="0" w:tentative="0">
      <w:start w:val="1"/>
      <w:numFmt w:val="chineseCounting"/>
      <w:suff w:val="space"/>
      <w:lvlText w:val="第%1章"/>
      <w:lvlJc w:val="left"/>
      <w:rPr>
        <w:rFonts w:hint="eastAsia"/>
      </w:rPr>
    </w:lvl>
  </w:abstractNum>
  <w:abstractNum w:abstractNumId="1">
    <w:nsid w:val="00000015"/>
    <w:multiLevelType w:val="singleLevel"/>
    <w:tmpl w:val="00000015"/>
    <w:lvl w:ilvl="0" w:tentative="0">
      <w:start w:val="5"/>
      <w:numFmt w:val="chineseCounting"/>
      <w:suff w:val="nothing"/>
      <w:lvlText w:val="%1、"/>
      <w:lvlJc w:val="left"/>
      <w:rPr>
        <w:rFonts w:hint="eastAsia"/>
      </w:rPr>
    </w:lvl>
  </w:abstractNum>
  <w:abstractNum w:abstractNumId="2">
    <w:nsid w:val="5864713B"/>
    <w:multiLevelType w:val="multilevel"/>
    <w:tmpl w:val="5864713B"/>
    <w:lvl w:ilvl="0" w:tentative="0">
      <w:start w:val="1"/>
      <w:numFmt w:val="decimal"/>
      <w:suff w:val="nothing"/>
      <w:lvlText w:val="%1、"/>
      <w:lvlJc w:val="left"/>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ZdKQqLo5/afG02spYVs+UeNLorM=" w:salt="aDR+pBWHE9s+6C+jwtdgmw=="/>
  <w:defaultTabStop w:val="420"/>
  <w:hyphenationZone w:val="360"/>
  <w:drawingGridHorizontalSpacing w:val="105"/>
  <w:drawingGridVerticalSpacing w:val="190"/>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I3OGExMzIzOTFhYzQxYjc2NTM1YTUxZjk4OWU3ZTIifQ=="/>
  </w:docVars>
  <w:rsids>
    <w:rsidRoot w:val="00172A27"/>
    <w:rsid w:val="00001FBA"/>
    <w:rsid w:val="00013331"/>
    <w:rsid w:val="00051CCE"/>
    <w:rsid w:val="00053A95"/>
    <w:rsid w:val="00057ABF"/>
    <w:rsid w:val="000663D9"/>
    <w:rsid w:val="000871B8"/>
    <w:rsid w:val="0009022A"/>
    <w:rsid w:val="00091C46"/>
    <w:rsid w:val="0009450A"/>
    <w:rsid w:val="000A021E"/>
    <w:rsid w:val="000B349A"/>
    <w:rsid w:val="000E00B3"/>
    <w:rsid w:val="001021B5"/>
    <w:rsid w:val="00122229"/>
    <w:rsid w:val="00133804"/>
    <w:rsid w:val="001417DB"/>
    <w:rsid w:val="00164EC3"/>
    <w:rsid w:val="001725E6"/>
    <w:rsid w:val="0018009E"/>
    <w:rsid w:val="00180847"/>
    <w:rsid w:val="001810BF"/>
    <w:rsid w:val="00185BED"/>
    <w:rsid w:val="001A5A93"/>
    <w:rsid w:val="001B344D"/>
    <w:rsid w:val="001B5DAC"/>
    <w:rsid w:val="001B73C8"/>
    <w:rsid w:val="001C5207"/>
    <w:rsid w:val="001E0C6B"/>
    <w:rsid w:val="001E450E"/>
    <w:rsid w:val="001F3B84"/>
    <w:rsid w:val="001F4AF7"/>
    <w:rsid w:val="00202BCF"/>
    <w:rsid w:val="00215BCA"/>
    <w:rsid w:val="00220D8F"/>
    <w:rsid w:val="00231888"/>
    <w:rsid w:val="00232459"/>
    <w:rsid w:val="002655F7"/>
    <w:rsid w:val="00285A99"/>
    <w:rsid w:val="002A40B1"/>
    <w:rsid w:val="002A5181"/>
    <w:rsid w:val="002B3404"/>
    <w:rsid w:val="002C26B5"/>
    <w:rsid w:val="002C5623"/>
    <w:rsid w:val="002E4412"/>
    <w:rsid w:val="002F1581"/>
    <w:rsid w:val="0030008A"/>
    <w:rsid w:val="0030023B"/>
    <w:rsid w:val="00300B1D"/>
    <w:rsid w:val="003041F1"/>
    <w:rsid w:val="00310B51"/>
    <w:rsid w:val="00355A87"/>
    <w:rsid w:val="00375E79"/>
    <w:rsid w:val="00380A4F"/>
    <w:rsid w:val="003939E8"/>
    <w:rsid w:val="003B3CFC"/>
    <w:rsid w:val="003C32D1"/>
    <w:rsid w:val="003C6B17"/>
    <w:rsid w:val="003D25A5"/>
    <w:rsid w:val="003D3DD9"/>
    <w:rsid w:val="003D4877"/>
    <w:rsid w:val="003D7307"/>
    <w:rsid w:val="003E3B25"/>
    <w:rsid w:val="003E4E05"/>
    <w:rsid w:val="003F07E8"/>
    <w:rsid w:val="003F4984"/>
    <w:rsid w:val="00402E42"/>
    <w:rsid w:val="0040334B"/>
    <w:rsid w:val="00403C68"/>
    <w:rsid w:val="00417AA0"/>
    <w:rsid w:val="00434CB8"/>
    <w:rsid w:val="004540D8"/>
    <w:rsid w:val="00456E81"/>
    <w:rsid w:val="00495994"/>
    <w:rsid w:val="004A6D6B"/>
    <w:rsid w:val="004C199C"/>
    <w:rsid w:val="004D70DA"/>
    <w:rsid w:val="004E428F"/>
    <w:rsid w:val="004E6780"/>
    <w:rsid w:val="004E6BC5"/>
    <w:rsid w:val="00512F15"/>
    <w:rsid w:val="00523580"/>
    <w:rsid w:val="005237D8"/>
    <w:rsid w:val="00523941"/>
    <w:rsid w:val="005258DA"/>
    <w:rsid w:val="00537175"/>
    <w:rsid w:val="00541D93"/>
    <w:rsid w:val="00544E7C"/>
    <w:rsid w:val="0055624C"/>
    <w:rsid w:val="00565B41"/>
    <w:rsid w:val="00566CB3"/>
    <w:rsid w:val="00570ED3"/>
    <w:rsid w:val="00572FC1"/>
    <w:rsid w:val="00586016"/>
    <w:rsid w:val="00591095"/>
    <w:rsid w:val="005A1BEE"/>
    <w:rsid w:val="005A1E6D"/>
    <w:rsid w:val="005A24B6"/>
    <w:rsid w:val="005A6D56"/>
    <w:rsid w:val="005B7EE3"/>
    <w:rsid w:val="005C5046"/>
    <w:rsid w:val="005C6172"/>
    <w:rsid w:val="00610E63"/>
    <w:rsid w:val="00615AC6"/>
    <w:rsid w:val="00623B95"/>
    <w:rsid w:val="00625F8D"/>
    <w:rsid w:val="00643399"/>
    <w:rsid w:val="0066135C"/>
    <w:rsid w:val="00667D25"/>
    <w:rsid w:val="0067056D"/>
    <w:rsid w:val="006840C6"/>
    <w:rsid w:val="006948E7"/>
    <w:rsid w:val="00697E5C"/>
    <w:rsid w:val="006A65CA"/>
    <w:rsid w:val="006B2543"/>
    <w:rsid w:val="006B600E"/>
    <w:rsid w:val="006B6D5E"/>
    <w:rsid w:val="006D6316"/>
    <w:rsid w:val="006D7A41"/>
    <w:rsid w:val="006E715A"/>
    <w:rsid w:val="006F06A2"/>
    <w:rsid w:val="007270D9"/>
    <w:rsid w:val="007418E2"/>
    <w:rsid w:val="00755309"/>
    <w:rsid w:val="00764FBA"/>
    <w:rsid w:val="00774ACA"/>
    <w:rsid w:val="00786C44"/>
    <w:rsid w:val="0079011A"/>
    <w:rsid w:val="007934E4"/>
    <w:rsid w:val="007C03FA"/>
    <w:rsid w:val="007C2727"/>
    <w:rsid w:val="007C2CF3"/>
    <w:rsid w:val="007C7C06"/>
    <w:rsid w:val="007D238E"/>
    <w:rsid w:val="007D5E26"/>
    <w:rsid w:val="007D70C7"/>
    <w:rsid w:val="007E1286"/>
    <w:rsid w:val="007E7D77"/>
    <w:rsid w:val="007F18F0"/>
    <w:rsid w:val="008010CD"/>
    <w:rsid w:val="008143F2"/>
    <w:rsid w:val="00832920"/>
    <w:rsid w:val="0083367A"/>
    <w:rsid w:val="0083650E"/>
    <w:rsid w:val="00842766"/>
    <w:rsid w:val="0084445D"/>
    <w:rsid w:val="00850FD3"/>
    <w:rsid w:val="00853228"/>
    <w:rsid w:val="008713A4"/>
    <w:rsid w:val="00883E03"/>
    <w:rsid w:val="00886A2A"/>
    <w:rsid w:val="008917B0"/>
    <w:rsid w:val="00892AA1"/>
    <w:rsid w:val="008978E4"/>
    <w:rsid w:val="008B31C7"/>
    <w:rsid w:val="008D327B"/>
    <w:rsid w:val="008F20BD"/>
    <w:rsid w:val="008F4197"/>
    <w:rsid w:val="008F7E1A"/>
    <w:rsid w:val="00902D65"/>
    <w:rsid w:val="00906370"/>
    <w:rsid w:val="00923F60"/>
    <w:rsid w:val="00924163"/>
    <w:rsid w:val="00926991"/>
    <w:rsid w:val="00930DAE"/>
    <w:rsid w:val="00933EBC"/>
    <w:rsid w:val="00940628"/>
    <w:rsid w:val="00946A10"/>
    <w:rsid w:val="00953D0F"/>
    <w:rsid w:val="00955C7A"/>
    <w:rsid w:val="00963E49"/>
    <w:rsid w:val="00976F8E"/>
    <w:rsid w:val="00992D5A"/>
    <w:rsid w:val="009A42A0"/>
    <w:rsid w:val="009A6F8F"/>
    <w:rsid w:val="009D23F2"/>
    <w:rsid w:val="009D30D2"/>
    <w:rsid w:val="009E6E87"/>
    <w:rsid w:val="009F7304"/>
    <w:rsid w:val="00A041D5"/>
    <w:rsid w:val="00A05392"/>
    <w:rsid w:val="00A102C2"/>
    <w:rsid w:val="00A117F0"/>
    <w:rsid w:val="00A11AF4"/>
    <w:rsid w:val="00A22818"/>
    <w:rsid w:val="00A242EE"/>
    <w:rsid w:val="00A34F73"/>
    <w:rsid w:val="00A4286C"/>
    <w:rsid w:val="00A477AB"/>
    <w:rsid w:val="00A60941"/>
    <w:rsid w:val="00A616F1"/>
    <w:rsid w:val="00A61AD5"/>
    <w:rsid w:val="00A70809"/>
    <w:rsid w:val="00A740EE"/>
    <w:rsid w:val="00A77DFD"/>
    <w:rsid w:val="00A82F2A"/>
    <w:rsid w:val="00A8660C"/>
    <w:rsid w:val="00AA1EC3"/>
    <w:rsid w:val="00AA2388"/>
    <w:rsid w:val="00AA3093"/>
    <w:rsid w:val="00AB39DC"/>
    <w:rsid w:val="00AC3B3F"/>
    <w:rsid w:val="00AC7516"/>
    <w:rsid w:val="00AE2A1C"/>
    <w:rsid w:val="00AE6150"/>
    <w:rsid w:val="00B036A8"/>
    <w:rsid w:val="00B13FB1"/>
    <w:rsid w:val="00B23836"/>
    <w:rsid w:val="00B53996"/>
    <w:rsid w:val="00B5584C"/>
    <w:rsid w:val="00B778AC"/>
    <w:rsid w:val="00B90E05"/>
    <w:rsid w:val="00B9689A"/>
    <w:rsid w:val="00BA1073"/>
    <w:rsid w:val="00BB1B36"/>
    <w:rsid w:val="00BB6760"/>
    <w:rsid w:val="00BC2BFA"/>
    <w:rsid w:val="00BD4833"/>
    <w:rsid w:val="00BF7710"/>
    <w:rsid w:val="00C45CE9"/>
    <w:rsid w:val="00C467E7"/>
    <w:rsid w:val="00C4733A"/>
    <w:rsid w:val="00C606D3"/>
    <w:rsid w:val="00C6179C"/>
    <w:rsid w:val="00C62DE7"/>
    <w:rsid w:val="00C65B23"/>
    <w:rsid w:val="00C91384"/>
    <w:rsid w:val="00C93A8B"/>
    <w:rsid w:val="00C95322"/>
    <w:rsid w:val="00C972B2"/>
    <w:rsid w:val="00CA19AD"/>
    <w:rsid w:val="00CA1C24"/>
    <w:rsid w:val="00CB55B5"/>
    <w:rsid w:val="00CC6696"/>
    <w:rsid w:val="00CD2115"/>
    <w:rsid w:val="00CE6920"/>
    <w:rsid w:val="00D20972"/>
    <w:rsid w:val="00D22264"/>
    <w:rsid w:val="00D23588"/>
    <w:rsid w:val="00D2410F"/>
    <w:rsid w:val="00D24C1C"/>
    <w:rsid w:val="00D25B73"/>
    <w:rsid w:val="00D34C2F"/>
    <w:rsid w:val="00D44D8B"/>
    <w:rsid w:val="00D56CD1"/>
    <w:rsid w:val="00D70FA5"/>
    <w:rsid w:val="00D741C3"/>
    <w:rsid w:val="00D7539C"/>
    <w:rsid w:val="00D808A5"/>
    <w:rsid w:val="00DC3100"/>
    <w:rsid w:val="00DD013E"/>
    <w:rsid w:val="00DD4E0C"/>
    <w:rsid w:val="00DE3161"/>
    <w:rsid w:val="00E11E8A"/>
    <w:rsid w:val="00E154A6"/>
    <w:rsid w:val="00E15807"/>
    <w:rsid w:val="00E16650"/>
    <w:rsid w:val="00E27F5B"/>
    <w:rsid w:val="00E4235F"/>
    <w:rsid w:val="00E42E10"/>
    <w:rsid w:val="00E42E47"/>
    <w:rsid w:val="00E6508B"/>
    <w:rsid w:val="00E676A2"/>
    <w:rsid w:val="00E72D37"/>
    <w:rsid w:val="00E72D63"/>
    <w:rsid w:val="00E732B9"/>
    <w:rsid w:val="00E82554"/>
    <w:rsid w:val="00E911D3"/>
    <w:rsid w:val="00E9402E"/>
    <w:rsid w:val="00EB0BA8"/>
    <w:rsid w:val="00EB2B91"/>
    <w:rsid w:val="00EE737F"/>
    <w:rsid w:val="00EF336A"/>
    <w:rsid w:val="00F249B4"/>
    <w:rsid w:val="00F374C1"/>
    <w:rsid w:val="00F41DB9"/>
    <w:rsid w:val="00F522E8"/>
    <w:rsid w:val="00F548F4"/>
    <w:rsid w:val="00F601A6"/>
    <w:rsid w:val="00F7319D"/>
    <w:rsid w:val="00F87B4B"/>
    <w:rsid w:val="00FA12A1"/>
    <w:rsid w:val="00FB1A9D"/>
    <w:rsid w:val="00FB220A"/>
    <w:rsid w:val="00FC0737"/>
    <w:rsid w:val="00FC0EBF"/>
    <w:rsid w:val="00FE5F31"/>
    <w:rsid w:val="00FF7EC2"/>
    <w:rsid w:val="013C33DB"/>
    <w:rsid w:val="01CB4608"/>
    <w:rsid w:val="01F246B8"/>
    <w:rsid w:val="02262316"/>
    <w:rsid w:val="02452217"/>
    <w:rsid w:val="035A307B"/>
    <w:rsid w:val="03720A5E"/>
    <w:rsid w:val="039B6CF0"/>
    <w:rsid w:val="03A27284"/>
    <w:rsid w:val="03A32B8C"/>
    <w:rsid w:val="04157748"/>
    <w:rsid w:val="044203B4"/>
    <w:rsid w:val="0491110B"/>
    <w:rsid w:val="04BB734C"/>
    <w:rsid w:val="04F2372E"/>
    <w:rsid w:val="06750265"/>
    <w:rsid w:val="06B338BD"/>
    <w:rsid w:val="06ED6950"/>
    <w:rsid w:val="07550D1E"/>
    <w:rsid w:val="07CA2ED7"/>
    <w:rsid w:val="085D7DB9"/>
    <w:rsid w:val="087F57FF"/>
    <w:rsid w:val="088E149C"/>
    <w:rsid w:val="08A21F26"/>
    <w:rsid w:val="08E631DC"/>
    <w:rsid w:val="09AD701C"/>
    <w:rsid w:val="09B34BFA"/>
    <w:rsid w:val="0A2B016E"/>
    <w:rsid w:val="0AFD4EC6"/>
    <w:rsid w:val="0B0E0158"/>
    <w:rsid w:val="0B1C0D49"/>
    <w:rsid w:val="0B657C7C"/>
    <w:rsid w:val="0B6A3061"/>
    <w:rsid w:val="0BBB65B2"/>
    <w:rsid w:val="0BC3722A"/>
    <w:rsid w:val="0BC51C79"/>
    <w:rsid w:val="0C7670E6"/>
    <w:rsid w:val="0CD50FC0"/>
    <w:rsid w:val="0CF33CAD"/>
    <w:rsid w:val="0D1035B2"/>
    <w:rsid w:val="0E064F10"/>
    <w:rsid w:val="0E5512DE"/>
    <w:rsid w:val="0E6E154E"/>
    <w:rsid w:val="0F411414"/>
    <w:rsid w:val="0FB00F13"/>
    <w:rsid w:val="10737083"/>
    <w:rsid w:val="11192EF9"/>
    <w:rsid w:val="112169CC"/>
    <w:rsid w:val="112832E5"/>
    <w:rsid w:val="12341D49"/>
    <w:rsid w:val="12AD5CB1"/>
    <w:rsid w:val="12D866EC"/>
    <w:rsid w:val="13144FAE"/>
    <w:rsid w:val="132D1A07"/>
    <w:rsid w:val="13916645"/>
    <w:rsid w:val="14067C2A"/>
    <w:rsid w:val="144072C9"/>
    <w:rsid w:val="14656B7D"/>
    <w:rsid w:val="14D06A13"/>
    <w:rsid w:val="14E46B94"/>
    <w:rsid w:val="155B4521"/>
    <w:rsid w:val="15B673F3"/>
    <w:rsid w:val="16024E69"/>
    <w:rsid w:val="160968B4"/>
    <w:rsid w:val="16357E4D"/>
    <w:rsid w:val="184F1AD5"/>
    <w:rsid w:val="19BD03E8"/>
    <w:rsid w:val="19CF4ADA"/>
    <w:rsid w:val="19DC3FB9"/>
    <w:rsid w:val="1A266BC7"/>
    <w:rsid w:val="1AE767D9"/>
    <w:rsid w:val="1AF80F91"/>
    <w:rsid w:val="1B9307C4"/>
    <w:rsid w:val="1BC66AB7"/>
    <w:rsid w:val="1C4873A2"/>
    <w:rsid w:val="1C492FCB"/>
    <w:rsid w:val="1C7B7B26"/>
    <w:rsid w:val="1D0522C5"/>
    <w:rsid w:val="1D252B2C"/>
    <w:rsid w:val="1DF63B37"/>
    <w:rsid w:val="1E011390"/>
    <w:rsid w:val="1E0839A8"/>
    <w:rsid w:val="1E951A5A"/>
    <w:rsid w:val="1EC8309E"/>
    <w:rsid w:val="1ECD4970"/>
    <w:rsid w:val="1F1941ED"/>
    <w:rsid w:val="1F8E1F76"/>
    <w:rsid w:val="1FEC0390"/>
    <w:rsid w:val="20D8780A"/>
    <w:rsid w:val="2118778D"/>
    <w:rsid w:val="22E36F6E"/>
    <w:rsid w:val="233B7136"/>
    <w:rsid w:val="23A20BBD"/>
    <w:rsid w:val="23D156AA"/>
    <w:rsid w:val="24AD039E"/>
    <w:rsid w:val="24E45839"/>
    <w:rsid w:val="26EF1BA9"/>
    <w:rsid w:val="2702273E"/>
    <w:rsid w:val="271826AD"/>
    <w:rsid w:val="279E09EB"/>
    <w:rsid w:val="27E64F76"/>
    <w:rsid w:val="29AC5876"/>
    <w:rsid w:val="29CB7A40"/>
    <w:rsid w:val="2A0C4A0C"/>
    <w:rsid w:val="2A3B4A54"/>
    <w:rsid w:val="2B9D609C"/>
    <w:rsid w:val="2CAC6259"/>
    <w:rsid w:val="2CBF7761"/>
    <w:rsid w:val="2D040C7B"/>
    <w:rsid w:val="2D3E0084"/>
    <w:rsid w:val="2D7A1DCD"/>
    <w:rsid w:val="2D7B50EE"/>
    <w:rsid w:val="2DE7275E"/>
    <w:rsid w:val="2E25631E"/>
    <w:rsid w:val="2E7510C8"/>
    <w:rsid w:val="2F416609"/>
    <w:rsid w:val="3023365C"/>
    <w:rsid w:val="3066061C"/>
    <w:rsid w:val="31367A32"/>
    <w:rsid w:val="32460A89"/>
    <w:rsid w:val="327A76B3"/>
    <w:rsid w:val="32AA0C02"/>
    <w:rsid w:val="33234C95"/>
    <w:rsid w:val="33EE16BE"/>
    <w:rsid w:val="341C4469"/>
    <w:rsid w:val="341C5BB4"/>
    <w:rsid w:val="347831DE"/>
    <w:rsid w:val="34F973F3"/>
    <w:rsid w:val="36E565CF"/>
    <w:rsid w:val="386D000C"/>
    <w:rsid w:val="3892496F"/>
    <w:rsid w:val="38F81807"/>
    <w:rsid w:val="39F252A2"/>
    <w:rsid w:val="39F4318C"/>
    <w:rsid w:val="3A7612D5"/>
    <w:rsid w:val="3A844B4A"/>
    <w:rsid w:val="3AC659E4"/>
    <w:rsid w:val="3AFF1603"/>
    <w:rsid w:val="3B59226A"/>
    <w:rsid w:val="3B8A603E"/>
    <w:rsid w:val="3B8E52AD"/>
    <w:rsid w:val="3C111A19"/>
    <w:rsid w:val="3C4C4C77"/>
    <w:rsid w:val="3C5D4096"/>
    <w:rsid w:val="3C725C08"/>
    <w:rsid w:val="3ECA1D47"/>
    <w:rsid w:val="3EDA7DB8"/>
    <w:rsid w:val="3F48095C"/>
    <w:rsid w:val="3FBF17F8"/>
    <w:rsid w:val="3FD16409"/>
    <w:rsid w:val="40172630"/>
    <w:rsid w:val="41380797"/>
    <w:rsid w:val="415B63DA"/>
    <w:rsid w:val="435F47E0"/>
    <w:rsid w:val="438D5952"/>
    <w:rsid w:val="43B3461E"/>
    <w:rsid w:val="43EC359F"/>
    <w:rsid w:val="455F7D65"/>
    <w:rsid w:val="456C3979"/>
    <w:rsid w:val="45B61ADA"/>
    <w:rsid w:val="46345AD0"/>
    <w:rsid w:val="466962F5"/>
    <w:rsid w:val="46952C3D"/>
    <w:rsid w:val="46E42D26"/>
    <w:rsid w:val="46E5159E"/>
    <w:rsid w:val="472F11DB"/>
    <w:rsid w:val="48690559"/>
    <w:rsid w:val="486F6A7F"/>
    <w:rsid w:val="48B80754"/>
    <w:rsid w:val="4A8558D6"/>
    <w:rsid w:val="4AF20F6F"/>
    <w:rsid w:val="4BDD6BA6"/>
    <w:rsid w:val="4CC023F0"/>
    <w:rsid w:val="4D594AEF"/>
    <w:rsid w:val="4D65133C"/>
    <w:rsid w:val="4E0433CC"/>
    <w:rsid w:val="4E0A4298"/>
    <w:rsid w:val="4E5F64DD"/>
    <w:rsid w:val="4EA51FD9"/>
    <w:rsid w:val="4F1A0880"/>
    <w:rsid w:val="4FC36D9A"/>
    <w:rsid w:val="4FFD7F4B"/>
    <w:rsid w:val="4FFF278C"/>
    <w:rsid w:val="502D5F30"/>
    <w:rsid w:val="50853216"/>
    <w:rsid w:val="50D33BBC"/>
    <w:rsid w:val="53270AC8"/>
    <w:rsid w:val="53640E12"/>
    <w:rsid w:val="53C5766A"/>
    <w:rsid w:val="54176FF7"/>
    <w:rsid w:val="5461393E"/>
    <w:rsid w:val="55B76B83"/>
    <w:rsid w:val="55DE5506"/>
    <w:rsid w:val="5604752C"/>
    <w:rsid w:val="561801E5"/>
    <w:rsid w:val="572D5D07"/>
    <w:rsid w:val="579447BF"/>
    <w:rsid w:val="57D15563"/>
    <w:rsid w:val="5919421F"/>
    <w:rsid w:val="59A96428"/>
    <w:rsid w:val="59B90B23"/>
    <w:rsid w:val="5A0340AA"/>
    <w:rsid w:val="5A4A3CC0"/>
    <w:rsid w:val="5AA10FC3"/>
    <w:rsid w:val="5B0C12D5"/>
    <w:rsid w:val="5B385852"/>
    <w:rsid w:val="5C65047E"/>
    <w:rsid w:val="5C681AE3"/>
    <w:rsid w:val="5C852319"/>
    <w:rsid w:val="5D456135"/>
    <w:rsid w:val="5D902B47"/>
    <w:rsid w:val="5D9943A7"/>
    <w:rsid w:val="5DBB4C37"/>
    <w:rsid w:val="5E1F22FB"/>
    <w:rsid w:val="5E6F4B7F"/>
    <w:rsid w:val="5F8F4B13"/>
    <w:rsid w:val="5F922356"/>
    <w:rsid w:val="5F995DE3"/>
    <w:rsid w:val="5FE74434"/>
    <w:rsid w:val="60223A35"/>
    <w:rsid w:val="60510E15"/>
    <w:rsid w:val="60C61F76"/>
    <w:rsid w:val="60D777F7"/>
    <w:rsid w:val="60FE69AF"/>
    <w:rsid w:val="618770D2"/>
    <w:rsid w:val="618805D4"/>
    <w:rsid w:val="61F80ECD"/>
    <w:rsid w:val="61F94870"/>
    <w:rsid w:val="62CD1AAB"/>
    <w:rsid w:val="630A6B01"/>
    <w:rsid w:val="63C423E3"/>
    <w:rsid w:val="63C73654"/>
    <w:rsid w:val="66697047"/>
    <w:rsid w:val="66AD6D83"/>
    <w:rsid w:val="66CA64BE"/>
    <w:rsid w:val="66CF38B7"/>
    <w:rsid w:val="676550B0"/>
    <w:rsid w:val="681A477B"/>
    <w:rsid w:val="690C1F68"/>
    <w:rsid w:val="69374A58"/>
    <w:rsid w:val="69A051A4"/>
    <w:rsid w:val="6A103BD5"/>
    <w:rsid w:val="6A3D599C"/>
    <w:rsid w:val="6AC86AC8"/>
    <w:rsid w:val="6B194CCD"/>
    <w:rsid w:val="6B62463B"/>
    <w:rsid w:val="6BAF3E7D"/>
    <w:rsid w:val="6C634754"/>
    <w:rsid w:val="6C9D2306"/>
    <w:rsid w:val="6CBD3141"/>
    <w:rsid w:val="6CCD45A7"/>
    <w:rsid w:val="6CE06DB2"/>
    <w:rsid w:val="6D642FB3"/>
    <w:rsid w:val="6D7A1BE9"/>
    <w:rsid w:val="6F2743B4"/>
    <w:rsid w:val="6F4143DF"/>
    <w:rsid w:val="6F9546AD"/>
    <w:rsid w:val="6FA74273"/>
    <w:rsid w:val="730114A6"/>
    <w:rsid w:val="75497D7B"/>
    <w:rsid w:val="75571582"/>
    <w:rsid w:val="758E7AD5"/>
    <w:rsid w:val="762053B6"/>
    <w:rsid w:val="769238C1"/>
    <w:rsid w:val="76F44F37"/>
    <w:rsid w:val="77B803B0"/>
    <w:rsid w:val="78160F83"/>
    <w:rsid w:val="782A5472"/>
    <w:rsid w:val="782B36E6"/>
    <w:rsid w:val="783A3050"/>
    <w:rsid w:val="789B71DD"/>
    <w:rsid w:val="79886590"/>
    <w:rsid w:val="79D32261"/>
    <w:rsid w:val="79E73007"/>
    <w:rsid w:val="7A2C2261"/>
    <w:rsid w:val="7A9C740D"/>
    <w:rsid w:val="7AA22C47"/>
    <w:rsid w:val="7C8E7766"/>
    <w:rsid w:val="7D3127F3"/>
    <w:rsid w:val="7D88797C"/>
    <w:rsid w:val="7D9A58BA"/>
    <w:rsid w:val="7DAE703E"/>
    <w:rsid w:val="7E566D52"/>
    <w:rsid w:val="7E8332C0"/>
    <w:rsid w:val="7EB90CE9"/>
    <w:rsid w:val="7EC85BAD"/>
    <w:rsid w:val="7ED740EF"/>
    <w:rsid w:val="7EE221B9"/>
    <w:rsid w:val="7F260ADE"/>
    <w:rsid w:val="7F3674E3"/>
    <w:rsid w:val="7FC15AE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Book Antiqua" w:hAnsi="Book Antiqua" w:eastAsia="宋体" w:cs="Times New Roman"/>
      <w:kern w:val="2"/>
      <w:sz w:val="21"/>
      <w:szCs w:val="24"/>
      <w:lang w:val="en-US" w:eastAsia="zh-CN" w:bidi="ar-SA"/>
    </w:rPr>
  </w:style>
  <w:style w:type="paragraph" w:styleId="2">
    <w:name w:val="heading 1"/>
    <w:basedOn w:val="1"/>
    <w:next w:val="1"/>
    <w:autoRedefine/>
    <w:qFormat/>
    <w:uiPriority w:val="0"/>
    <w:pPr>
      <w:keepNext/>
      <w:keepLines/>
      <w:spacing w:before="340" w:beforeLines="0" w:after="330" w:afterLines="0" w:line="578" w:lineRule="auto"/>
      <w:jc w:val="center"/>
      <w:outlineLvl w:val="0"/>
    </w:pPr>
    <w:rPr>
      <w:rFonts w:eastAsia="宋体"/>
      <w:b/>
      <w:bCs/>
      <w:kern w:val="44"/>
      <w:sz w:val="32"/>
      <w:szCs w:val="44"/>
    </w:rPr>
  </w:style>
  <w:style w:type="paragraph" w:styleId="3">
    <w:name w:val="heading 2"/>
    <w:basedOn w:val="1"/>
    <w:next w:val="1"/>
    <w:link w:val="36"/>
    <w:autoRedefine/>
    <w:qFormat/>
    <w:uiPriority w:val="0"/>
    <w:pPr>
      <w:spacing w:line="560" w:lineRule="exact"/>
      <w:jc w:val="center"/>
      <w:outlineLvl w:val="1"/>
    </w:pPr>
    <w:rPr>
      <w:rFonts w:ascii="方正小标宋简体" w:hAnsi="方正小标宋简体" w:eastAsia="方正小标宋简体"/>
      <w:sz w:val="36"/>
      <w:szCs w:val="32"/>
    </w:rPr>
  </w:style>
  <w:style w:type="paragraph" w:styleId="4">
    <w:name w:val="heading 3"/>
    <w:basedOn w:val="1"/>
    <w:next w:val="1"/>
    <w:autoRedefine/>
    <w:qFormat/>
    <w:uiPriority w:val="0"/>
    <w:pPr>
      <w:keepNext/>
      <w:keepLines/>
      <w:spacing w:before="260" w:beforeLines="0" w:after="260" w:afterLines="0" w:line="416" w:lineRule="auto"/>
      <w:outlineLvl w:val="2"/>
    </w:pPr>
    <w:rPr>
      <w:rFonts w:eastAsia="宋体"/>
      <w:b/>
      <w:bCs/>
      <w:sz w:val="28"/>
      <w:szCs w:val="32"/>
    </w:rPr>
  </w:style>
  <w:style w:type="paragraph" w:styleId="5">
    <w:name w:val="heading 4"/>
    <w:basedOn w:val="1"/>
    <w:next w:val="1"/>
    <w:autoRedefine/>
    <w:qFormat/>
    <w:uiPriority w:val="0"/>
    <w:pPr>
      <w:keepNext/>
      <w:keepLines/>
      <w:spacing w:before="280" w:beforeLines="0" w:after="290" w:afterLines="0" w:line="372" w:lineRule="auto"/>
      <w:outlineLvl w:val="3"/>
    </w:pPr>
    <w:rPr>
      <w:rFonts w:ascii="Cambria" w:hAnsi="Cambria" w:eastAsia="宋体" w:cs="Times New Roman"/>
      <w:b/>
      <w:bCs/>
      <w:kern w:val="2"/>
      <w:sz w:val="28"/>
      <w:szCs w:val="28"/>
    </w:rPr>
  </w:style>
  <w:style w:type="paragraph" w:styleId="6">
    <w:name w:val="heading 5"/>
    <w:basedOn w:val="1"/>
    <w:next w:val="1"/>
    <w:autoRedefine/>
    <w:qFormat/>
    <w:uiPriority w:val="0"/>
    <w:pPr>
      <w:keepNext/>
      <w:keepLines/>
      <w:spacing w:before="280" w:beforeLines="0" w:after="290" w:afterLines="0" w:line="372" w:lineRule="auto"/>
      <w:outlineLvl w:val="4"/>
    </w:pPr>
    <w:rPr>
      <w:b/>
      <w:bCs/>
      <w:kern w:val="2"/>
      <w:sz w:val="28"/>
      <w:szCs w:val="28"/>
    </w:rPr>
  </w:style>
  <w:style w:type="character" w:default="1" w:styleId="28">
    <w:name w:val="Default Paragraph Font"/>
    <w:autoRedefine/>
    <w:qFormat/>
    <w:uiPriority w:val="0"/>
  </w:style>
  <w:style w:type="table" w:default="1" w:styleId="26">
    <w:name w:val="Normal Table"/>
    <w:autoRedefine/>
    <w:semiHidden/>
    <w:qFormat/>
    <w:uiPriority w:val="0"/>
    <w:tblPr>
      <w:tblCellMar>
        <w:top w:w="0" w:type="dxa"/>
        <w:left w:w="108" w:type="dxa"/>
        <w:bottom w:w="0" w:type="dxa"/>
        <w:right w:w="108" w:type="dxa"/>
      </w:tblCellMar>
    </w:tblPr>
  </w:style>
  <w:style w:type="paragraph" w:styleId="7">
    <w:name w:val="List 3"/>
    <w:basedOn w:val="1"/>
    <w:autoRedefine/>
    <w:qFormat/>
    <w:uiPriority w:val="0"/>
    <w:pPr>
      <w:ind w:left="100" w:leftChars="400" w:hanging="200" w:hangingChars="200"/>
    </w:pPr>
  </w:style>
  <w:style w:type="paragraph" w:styleId="8">
    <w:name w:val="Body Text 3"/>
    <w:basedOn w:val="1"/>
    <w:autoRedefine/>
    <w:qFormat/>
    <w:uiPriority w:val="0"/>
    <w:pPr>
      <w:spacing w:after="120" w:afterLines="0" w:afterAutospacing="0"/>
    </w:pPr>
    <w:rPr>
      <w:sz w:val="16"/>
    </w:rPr>
  </w:style>
  <w:style w:type="paragraph" w:styleId="9">
    <w:name w:val="Body Text"/>
    <w:basedOn w:val="1"/>
    <w:autoRedefine/>
    <w:qFormat/>
    <w:uiPriority w:val="0"/>
    <w:pPr>
      <w:adjustRightInd w:val="0"/>
      <w:spacing w:after="60" w:afterLines="0" w:line="360" w:lineRule="atLeast"/>
      <w:ind w:left="72" w:leftChars="30" w:right="30" w:rightChars="30"/>
      <w:jc w:val="center"/>
      <w:textAlignment w:val="baseline"/>
    </w:pPr>
    <w:rPr>
      <w:rFonts w:ascii="Times New Roman" w:hAnsi="Times New Roman"/>
    </w:rPr>
  </w:style>
  <w:style w:type="paragraph" w:styleId="10">
    <w:name w:val="Body Text Indent"/>
    <w:basedOn w:val="1"/>
    <w:autoRedefine/>
    <w:qFormat/>
    <w:uiPriority w:val="0"/>
    <w:pPr>
      <w:snapToGrid w:val="0"/>
      <w:spacing w:after="120"/>
      <w:ind w:left="420" w:leftChars="200"/>
    </w:pPr>
    <w:rPr>
      <w:rFonts w:ascii="仿宋_GB2312" w:hAnsi="Times New Roman" w:eastAsia="仿宋_GB2312" w:cs="Times New Roman"/>
      <w:sz w:val="28"/>
    </w:rPr>
  </w:style>
  <w:style w:type="paragraph" w:styleId="11">
    <w:name w:val="toc 5"/>
    <w:basedOn w:val="1"/>
    <w:next w:val="1"/>
    <w:autoRedefine/>
    <w:qFormat/>
    <w:uiPriority w:val="0"/>
    <w:pPr>
      <w:tabs>
        <w:tab w:val="right" w:leader="dot" w:pos="8296"/>
      </w:tabs>
      <w:ind w:left="1050" w:leftChars="500"/>
    </w:pPr>
  </w:style>
  <w:style w:type="paragraph" w:styleId="12">
    <w:name w:val="toc 3"/>
    <w:basedOn w:val="1"/>
    <w:next w:val="1"/>
    <w:autoRedefine/>
    <w:qFormat/>
    <w:uiPriority w:val="39"/>
    <w:pPr>
      <w:ind w:left="840" w:leftChars="400"/>
    </w:pPr>
  </w:style>
  <w:style w:type="paragraph" w:styleId="13">
    <w:name w:val="Plain Text"/>
    <w:basedOn w:val="1"/>
    <w:autoRedefine/>
    <w:qFormat/>
    <w:uiPriority w:val="0"/>
    <w:rPr>
      <w:rFonts w:ascii="宋体" w:hAnsi="Courier New" w:eastAsia="宋体" w:cs="Courier New"/>
      <w:kern w:val="2"/>
      <w:sz w:val="21"/>
      <w:szCs w:val="21"/>
      <w:lang w:val="en-US" w:eastAsia="zh-CN" w:bidi="ar-SA"/>
    </w:rPr>
  </w:style>
  <w:style w:type="paragraph" w:styleId="14">
    <w:name w:val="Date"/>
    <w:basedOn w:val="1"/>
    <w:next w:val="1"/>
    <w:autoRedefine/>
    <w:qFormat/>
    <w:uiPriority w:val="0"/>
    <w:pPr>
      <w:ind w:left="100" w:leftChars="2500"/>
    </w:pPr>
  </w:style>
  <w:style w:type="paragraph" w:styleId="15">
    <w:name w:val="Body Text Indent 2"/>
    <w:basedOn w:val="1"/>
    <w:autoRedefine/>
    <w:qFormat/>
    <w:uiPriority w:val="0"/>
    <w:pPr>
      <w:spacing w:after="120" w:afterLines="0" w:line="480" w:lineRule="auto"/>
      <w:ind w:left="420" w:leftChars="200"/>
    </w:pPr>
    <w:rPr>
      <w:rFonts w:ascii="Times New Roman" w:hAnsi="Times New Roman"/>
      <w:sz w:val="24"/>
      <w:szCs w:val="24"/>
    </w:rPr>
  </w:style>
  <w:style w:type="paragraph" w:styleId="16">
    <w:name w:val="Balloon Text"/>
    <w:basedOn w:val="1"/>
    <w:link w:val="37"/>
    <w:autoRedefine/>
    <w:qFormat/>
    <w:uiPriority w:val="0"/>
    <w:rPr>
      <w:sz w:val="18"/>
      <w:szCs w:val="18"/>
    </w:rPr>
  </w:style>
  <w:style w:type="paragraph" w:styleId="17">
    <w:name w:val="footer"/>
    <w:basedOn w:val="1"/>
    <w:link w:val="38"/>
    <w:autoRedefine/>
    <w:qFormat/>
    <w:uiPriority w:val="99"/>
    <w:pPr>
      <w:tabs>
        <w:tab w:val="center" w:pos="4153"/>
        <w:tab w:val="right" w:pos="8306"/>
      </w:tabs>
      <w:snapToGrid w:val="0"/>
      <w:jc w:val="left"/>
    </w:pPr>
    <w:rPr>
      <w:sz w:val="18"/>
    </w:rPr>
  </w:style>
  <w:style w:type="paragraph" w:styleId="18">
    <w:name w:val="header"/>
    <w:basedOn w:val="1"/>
    <w:link w:val="39"/>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styleId="19">
    <w:name w:val="toc 1"/>
    <w:basedOn w:val="1"/>
    <w:next w:val="1"/>
    <w:autoRedefine/>
    <w:qFormat/>
    <w:uiPriority w:val="39"/>
  </w:style>
  <w:style w:type="paragraph" w:styleId="20">
    <w:name w:val="toc 4"/>
    <w:basedOn w:val="1"/>
    <w:next w:val="1"/>
    <w:autoRedefine/>
    <w:qFormat/>
    <w:uiPriority w:val="0"/>
    <w:pPr>
      <w:tabs>
        <w:tab w:val="left" w:pos="1890"/>
        <w:tab w:val="right" w:leader="dot" w:pos="8296"/>
      </w:tabs>
      <w:ind w:left="630" w:leftChars="300"/>
    </w:pPr>
  </w:style>
  <w:style w:type="paragraph" w:styleId="21">
    <w:name w:val="Body Text Indent 3"/>
    <w:basedOn w:val="1"/>
    <w:autoRedefine/>
    <w:qFormat/>
    <w:uiPriority w:val="0"/>
    <w:pPr>
      <w:ind w:firstLine="420"/>
    </w:pPr>
  </w:style>
  <w:style w:type="paragraph" w:styleId="22">
    <w:name w:val="toc 2"/>
    <w:basedOn w:val="1"/>
    <w:next w:val="1"/>
    <w:autoRedefine/>
    <w:qFormat/>
    <w:uiPriority w:val="39"/>
    <w:pPr>
      <w:ind w:left="420" w:leftChars="200"/>
    </w:pPr>
  </w:style>
  <w:style w:type="paragraph" w:styleId="23">
    <w:name w:val="Body Text 2"/>
    <w:basedOn w:val="1"/>
    <w:autoRedefine/>
    <w:qFormat/>
    <w:uiPriority w:val="0"/>
    <w:pPr>
      <w:spacing w:after="120" w:afterLines="0" w:line="480" w:lineRule="auto"/>
    </w:pPr>
    <w:rPr>
      <w:rFonts w:ascii="Times New Roman" w:hAnsi="Times New Roman"/>
    </w:rPr>
  </w:style>
  <w:style w:type="paragraph" w:styleId="24">
    <w:name w:val="Normal (Web)"/>
    <w:basedOn w:val="1"/>
    <w:autoRedefine/>
    <w:qFormat/>
    <w:uiPriority w:val="0"/>
    <w:pPr>
      <w:widowControl/>
      <w:spacing w:before="100" w:beforeLines="0" w:beforeAutospacing="1" w:after="100" w:afterLines="0" w:afterAutospacing="1"/>
      <w:jc w:val="left"/>
    </w:pPr>
    <w:rPr>
      <w:rFonts w:ascii="宋体" w:hAnsi="宋体" w:eastAsia="宋体" w:cs="宋体"/>
      <w:kern w:val="0"/>
      <w:sz w:val="24"/>
    </w:rPr>
  </w:style>
  <w:style w:type="paragraph" w:styleId="25">
    <w:name w:val="Body Text First Indent 2"/>
    <w:basedOn w:val="10"/>
    <w:autoRedefine/>
    <w:qFormat/>
    <w:uiPriority w:val="0"/>
    <w:pPr>
      <w:spacing w:line="240" w:lineRule="auto"/>
      <w:ind w:left="200" w:firstLine="420"/>
    </w:pPr>
    <w:rPr>
      <w:rFonts w:ascii="Times New Roman" w:eastAsia="宋体"/>
      <w:sz w:val="21"/>
      <w:szCs w:val="20"/>
    </w:rPr>
  </w:style>
  <w:style w:type="table" w:styleId="27">
    <w:name w:val="Table Grid"/>
    <w:basedOn w:val="26"/>
    <w:autoRedefine/>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basedOn w:val="28"/>
    <w:autoRedefine/>
    <w:qFormat/>
    <w:uiPriority w:val="0"/>
    <w:rPr>
      <w:b/>
    </w:rPr>
  </w:style>
  <w:style w:type="character" w:styleId="30">
    <w:name w:val="page number"/>
    <w:basedOn w:val="28"/>
    <w:autoRedefine/>
    <w:qFormat/>
    <w:uiPriority w:val="0"/>
  </w:style>
  <w:style w:type="character" w:styleId="31">
    <w:name w:val="FollowedHyperlink"/>
    <w:basedOn w:val="28"/>
    <w:autoRedefine/>
    <w:qFormat/>
    <w:uiPriority w:val="0"/>
    <w:rPr>
      <w:rFonts w:hint="eastAsia" w:ascii="宋体" w:hAnsi="宋体" w:eastAsia="宋体" w:cs="宋体"/>
      <w:color w:val="000000"/>
      <w:sz w:val="18"/>
      <w:szCs w:val="18"/>
      <w:u w:val="none"/>
    </w:rPr>
  </w:style>
  <w:style w:type="character" w:styleId="32">
    <w:name w:val="Hyperlink"/>
    <w:basedOn w:val="28"/>
    <w:autoRedefine/>
    <w:qFormat/>
    <w:uiPriority w:val="99"/>
    <w:rPr>
      <w:rFonts w:hint="eastAsia" w:ascii="宋体" w:hAnsi="宋体" w:eastAsia="宋体" w:cs="宋体"/>
      <w:color w:val="000000"/>
      <w:sz w:val="18"/>
      <w:szCs w:val="18"/>
      <w:u w:val="none"/>
    </w:rPr>
  </w:style>
  <w:style w:type="character" w:styleId="33">
    <w:name w:val="annotation reference"/>
    <w:autoRedefine/>
    <w:qFormat/>
    <w:uiPriority w:val="0"/>
    <w:rPr>
      <w:rFonts w:cs="Times New Roman"/>
      <w:sz w:val="21"/>
      <w:szCs w:val="21"/>
    </w:rPr>
  </w:style>
  <w:style w:type="paragraph" w:customStyle="1" w:styleId="34">
    <w:name w:val="BodyText1I"/>
    <w:basedOn w:val="35"/>
    <w:autoRedefine/>
    <w:qFormat/>
    <w:uiPriority w:val="0"/>
    <w:pPr>
      <w:spacing w:after="120" w:line="240" w:lineRule="auto"/>
      <w:ind w:firstLine="420" w:firstLineChars="100"/>
      <w:jc w:val="both"/>
      <w:textAlignment w:val="baseline"/>
    </w:pPr>
    <w:rPr>
      <w:rFonts w:ascii="Times New Roman" w:hAnsi="Times New Roman" w:eastAsia="宋体"/>
      <w:color w:val="000000"/>
      <w:kern w:val="2"/>
      <w:sz w:val="18"/>
      <w:szCs w:val="18"/>
      <w:lang w:val="en-US" w:eastAsia="zh-CN" w:bidi="ar-SA"/>
    </w:rPr>
  </w:style>
  <w:style w:type="paragraph" w:customStyle="1" w:styleId="35">
    <w:name w:val="BodyText"/>
    <w:basedOn w:val="1"/>
    <w:autoRedefine/>
    <w:qFormat/>
    <w:uiPriority w:val="0"/>
    <w:pPr>
      <w:spacing w:after="120"/>
      <w:jc w:val="both"/>
      <w:textAlignment w:val="baseline"/>
    </w:pPr>
    <w:rPr>
      <w:rFonts w:ascii="Times New Roman" w:hAnsi="Times New Roman" w:eastAsia="宋体"/>
      <w:kern w:val="2"/>
      <w:sz w:val="21"/>
      <w:szCs w:val="20"/>
      <w:lang w:val="en-US" w:eastAsia="zh-CN" w:bidi="ar-SA"/>
    </w:rPr>
  </w:style>
  <w:style w:type="character" w:customStyle="1" w:styleId="36">
    <w:name w:val="标题 2 Char"/>
    <w:link w:val="3"/>
    <w:autoRedefine/>
    <w:qFormat/>
    <w:uiPriority w:val="0"/>
    <w:rPr>
      <w:rFonts w:ascii="方正小标宋简体" w:hAnsi="方正小标宋简体" w:eastAsia="方正小标宋简体"/>
      <w:kern w:val="2"/>
      <w:sz w:val="36"/>
      <w:szCs w:val="32"/>
      <w:lang w:val="en-US" w:eastAsia="zh-CN" w:bidi="ar-SA"/>
    </w:rPr>
  </w:style>
  <w:style w:type="character" w:customStyle="1" w:styleId="37">
    <w:name w:val="批注框文本 Char"/>
    <w:link w:val="16"/>
    <w:autoRedefine/>
    <w:qFormat/>
    <w:uiPriority w:val="0"/>
    <w:rPr>
      <w:rFonts w:ascii="Book Antiqua" w:hAnsi="Book Antiqua"/>
      <w:kern w:val="2"/>
      <w:sz w:val="18"/>
      <w:szCs w:val="18"/>
    </w:rPr>
  </w:style>
  <w:style w:type="character" w:customStyle="1" w:styleId="38">
    <w:name w:val="页脚 Char"/>
    <w:link w:val="17"/>
    <w:autoRedefine/>
    <w:qFormat/>
    <w:uiPriority w:val="99"/>
    <w:rPr>
      <w:rFonts w:ascii="Book Antiqua" w:hAnsi="Book Antiqua"/>
      <w:kern w:val="2"/>
      <w:sz w:val="18"/>
      <w:szCs w:val="24"/>
    </w:rPr>
  </w:style>
  <w:style w:type="character" w:customStyle="1" w:styleId="39">
    <w:name w:val="页眉 Char"/>
    <w:link w:val="18"/>
    <w:autoRedefine/>
    <w:qFormat/>
    <w:uiPriority w:val="0"/>
    <w:rPr>
      <w:kern w:val="2"/>
      <w:sz w:val="18"/>
      <w:szCs w:val="24"/>
    </w:rPr>
  </w:style>
  <w:style w:type="character" w:customStyle="1" w:styleId="40">
    <w:name w:val=" Char Char2"/>
    <w:autoRedefine/>
    <w:qFormat/>
    <w:uiPriority w:val="0"/>
    <w:rPr>
      <w:rFonts w:ascii="方正小标宋简体" w:hAnsi="宋体" w:eastAsia="方正小标宋简体"/>
      <w:b/>
      <w:kern w:val="2"/>
      <w:sz w:val="32"/>
      <w:szCs w:val="32"/>
      <w:lang w:val="en-US" w:eastAsia="zh-CN" w:bidi="ar-SA"/>
    </w:rPr>
  </w:style>
  <w:style w:type="character" w:customStyle="1" w:styleId="41">
    <w:name w:val="font161"/>
    <w:autoRedefine/>
    <w:qFormat/>
    <w:uiPriority w:val="0"/>
    <w:rPr>
      <w:b/>
      <w:bCs/>
      <w:sz w:val="32"/>
      <w:szCs w:val="32"/>
    </w:rPr>
  </w:style>
  <w:style w:type="paragraph" w:customStyle="1" w:styleId="42">
    <w:name w:val="样式 宋体 小四 行距: 固定值 20 磅"/>
    <w:basedOn w:val="1"/>
    <w:autoRedefine/>
    <w:qFormat/>
    <w:uiPriority w:val="0"/>
    <w:pPr>
      <w:spacing w:line="400" w:lineRule="exact"/>
      <w:ind w:firstLine="200" w:firstLineChars="200"/>
    </w:pPr>
    <w:rPr>
      <w:rFonts w:ascii="宋体" w:hAnsi="Times New Roman"/>
      <w:spacing w:val="14"/>
      <w:sz w:val="24"/>
      <w:szCs w:val="20"/>
    </w:rPr>
  </w:style>
  <w:style w:type="paragraph" w:styleId="43">
    <w:name w:val="List Paragraph"/>
    <w:basedOn w:val="1"/>
    <w:autoRedefine/>
    <w:qFormat/>
    <w:uiPriority w:val="0"/>
    <w:pPr>
      <w:ind w:firstLine="420" w:firstLineChars="200"/>
    </w:pPr>
    <w:rPr>
      <w:rFonts w:ascii="Calibri" w:hAnsi="Calibri"/>
      <w:szCs w:val="22"/>
    </w:rPr>
  </w:style>
  <w:style w:type="paragraph" w:customStyle="1" w:styleId="44">
    <w:name w:val="表格文字1"/>
    <w:basedOn w:val="1"/>
    <w:autoRedefine/>
    <w:qFormat/>
    <w:uiPriority w:val="0"/>
    <w:pPr>
      <w:widowControl/>
      <w:spacing w:line="320" w:lineRule="atLeast"/>
      <w:ind w:leftChars="-5"/>
    </w:pPr>
    <w:rPr>
      <w:rFonts w:ascii="宋体" w:hAnsi="宋体" w:eastAsia="仿宋_GB2312"/>
      <w:iCs/>
      <w:snapToGrid w:val="0"/>
      <w:kern w:val="0"/>
      <w:szCs w:val="21"/>
      <w:lang w:val="zh-CN"/>
    </w:rPr>
  </w:style>
  <w:style w:type="paragraph" w:customStyle="1" w:styleId="45">
    <w:name w:val="文档正文"/>
    <w:basedOn w:val="1"/>
    <w:autoRedefine/>
    <w:qFormat/>
    <w:uiPriority w:val="0"/>
    <w:pPr>
      <w:adjustRightInd w:val="0"/>
      <w:spacing w:line="480" w:lineRule="atLeast"/>
      <w:ind w:firstLine="567"/>
    </w:pPr>
    <w:rPr>
      <w:rFonts w:ascii="仿宋_GB2312" w:hAnsi="Times New Roman" w:eastAsia="仿宋_GB2312"/>
      <w:kern w:val="0"/>
      <w:sz w:val="28"/>
      <w:szCs w:val="20"/>
    </w:rPr>
  </w:style>
  <w:style w:type="paragraph" w:customStyle="1" w:styleId="46">
    <w:name w:val="p0"/>
    <w:basedOn w:val="1"/>
    <w:autoRedefine/>
    <w:qFormat/>
    <w:uiPriority w:val="0"/>
    <w:pPr>
      <w:widowControl/>
    </w:pPr>
    <w:rPr>
      <w:rFonts w:ascii="Times New Roman" w:hAnsi="Times New Roman"/>
      <w:kern w:val="0"/>
      <w:szCs w:val="21"/>
    </w:rPr>
  </w:style>
  <w:style w:type="paragraph" w:customStyle="1" w:styleId="47">
    <w:name w:val="_Style 42"/>
    <w:basedOn w:val="2"/>
    <w:next w:val="1"/>
    <w:autoRedefine/>
    <w:qFormat/>
    <w:uiPriority w:val="0"/>
    <w:pPr>
      <w:outlineLvl w:val="9"/>
    </w:pPr>
  </w:style>
  <w:style w:type="paragraph" w:customStyle="1" w:styleId="48">
    <w:name w:val="表格文字中"/>
    <w:basedOn w:val="1"/>
    <w:autoRedefine/>
    <w:qFormat/>
    <w:uiPriority w:val="0"/>
    <w:pPr>
      <w:adjustRightInd w:val="0"/>
      <w:snapToGrid w:val="0"/>
      <w:ind w:left="22" w:leftChars="8"/>
      <w:jc w:val="center"/>
    </w:pPr>
    <w:rPr>
      <w:rFonts w:ascii="Times New Roman" w:hAnsi="Times New Roman"/>
      <w:kern w:val="0"/>
    </w:rPr>
  </w:style>
  <w:style w:type="paragraph" w:customStyle="1" w:styleId="49">
    <w:name w:val="WPSOffice手动目录 1"/>
    <w:autoRedefine/>
    <w:qFormat/>
    <w:uiPriority w:val="0"/>
    <w:pPr>
      <w:ind w:leftChars="0"/>
    </w:pPr>
    <w:rPr>
      <w:rFonts w:ascii="Times New Roman" w:hAnsi="Times New Roman" w:eastAsia="宋体" w:cs="Times New Roman"/>
      <w:sz w:val="20"/>
      <w:szCs w:val="20"/>
    </w:rPr>
  </w:style>
  <w:style w:type="paragraph" w:customStyle="1" w:styleId="50">
    <w:name w:val="正文缩进1"/>
    <w:basedOn w:val="1"/>
    <w:autoRedefine/>
    <w:qFormat/>
    <w:uiPriority w:val="0"/>
    <w:pPr>
      <w:ind w:firstLine="420" w:firstLineChars="200"/>
    </w:pPr>
  </w:style>
  <w:style w:type="paragraph" w:customStyle="1" w:styleId="51">
    <w:name w:val="正文_0_0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2">
    <w:name w:val="Table Paragraph"/>
    <w:basedOn w:val="1"/>
    <w:autoRedefine/>
    <w:unhideWhenUsed/>
    <w:qFormat/>
    <w:uiPriority w:val="1"/>
    <w:pPr>
      <w:spacing w:beforeLines="0" w:afterLines="0"/>
    </w:pPr>
    <w:rPr>
      <w:rFonts w:hint="default"/>
      <w:sz w:val="24"/>
      <w:szCs w:val="24"/>
    </w:rPr>
  </w:style>
  <w:style w:type="table" w:customStyle="1" w:styleId="53">
    <w:name w:val="Table Normal"/>
    <w:unhideWhenUsed/>
    <w:qFormat/>
    <w:uiPriority w:val="0"/>
    <w:tblPr>
      <w:tblCellMar>
        <w:top w:w="0" w:type="dxa"/>
        <w:left w:w="0" w:type="dxa"/>
        <w:bottom w:w="0" w:type="dxa"/>
        <w:right w:w="0" w:type="dxa"/>
      </w:tblCellMar>
    </w:tblPr>
  </w:style>
  <w:style w:type="paragraph" w:customStyle="1" w:styleId="54">
    <w:name w:val="Table Text"/>
    <w:basedOn w:val="1"/>
    <w:semiHidden/>
    <w:qFormat/>
    <w:uiPriority w:val="0"/>
    <w:rPr>
      <w:rFonts w:ascii="微软雅黑" w:hAnsi="微软雅黑" w:eastAsia="微软雅黑" w:cs="微软雅黑"/>
      <w:sz w:val="18"/>
      <w:szCs w:val="18"/>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microsoft.com/office/2006/relationships/keyMapCustomizations" Target="customizations.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38</Pages>
  <Words>7455</Words>
  <Characters>7948</Characters>
  <Lines>112</Lines>
  <Paragraphs>31</Paragraphs>
  <TotalTime>11</TotalTime>
  <ScaleCrop>false</ScaleCrop>
  <LinksUpToDate>false</LinksUpToDate>
  <CharactersWithSpaces>8152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2016-12-29T06:00:00Z</dcterms:created>
  <dc:creator>Administrator</dc:creator>
  <cp:lastModifiedBy>面包 人</cp:lastModifiedBy>
  <cp:lastPrinted>2020-12-07T02:10:00Z</cp:lastPrinted>
  <dcterms:modified xsi:type="dcterms:W3CDTF">2026-05-27T09:00:58Z</dcterms:modified>
  <dc:title>采购项目</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C2BEEAB6FD2B496FAB5954C752106F56</vt:lpwstr>
  </property>
  <property fmtid="{D5CDD505-2E9C-101B-9397-08002B2CF9AE}" pid="4" name="KSOTemplateDocerSaveRecord">
    <vt:lpwstr>eyJoZGlkIjoiYjI3OGExMzIzOTFhYzQxYjc2NTM1YTUxZjk4OWU3ZTIiLCJ1c2VySWQiOiI3MTY4MzQ2ODcifQ==</vt:lpwstr>
  </property>
</Properties>
</file>