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版本号：ZJXG202603020260601001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团结片区DK-22、DK-23地块苗木迁移</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ZJXG2026030</w:t>
      </w:r>
      <w:r>
        <w:br/>
      </w:r>
      <w:r>
        <w:br/>
      </w:r>
      <w:r>
        <w:br/>
      </w:r>
    </w:p>
    <w:p>
      <w:pPr>
        <w:pStyle w:val="null3"/>
        <w:jc w:val="center"/>
        <w:outlineLvl w:val="2"/>
      </w:pPr>
      <w:r>
        <w:rPr>
          <w:rFonts w:ascii="仿宋_GB2312" w:hAnsi="仿宋_GB2312" w:cs="仿宋_GB2312" w:eastAsia="仿宋_GB2312"/>
          <w:sz w:val="28"/>
          <w:b/>
        </w:rPr>
        <w:t>西安市未央区徐家湾地区综合改造办公室</w:t>
      </w:r>
    </w:p>
    <w:p>
      <w:pPr>
        <w:pStyle w:val="null3"/>
        <w:jc w:val="center"/>
        <w:outlineLvl w:val="2"/>
      </w:pPr>
      <w:r>
        <w:rPr>
          <w:rFonts w:ascii="仿宋_GB2312" w:hAnsi="仿宋_GB2312" w:cs="仿宋_GB2312" w:eastAsia="仿宋_GB2312"/>
          <w:sz w:val="28"/>
          <w:b/>
        </w:rPr>
        <w:t>陕西中鉴项目管理有限公司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陕西中鉴项目管理有限公司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西安市未央区徐家湾地区综合改造办公室</w:t>
      </w:r>
      <w:r>
        <w:rPr>
          <w:rFonts w:ascii="仿宋_GB2312" w:hAnsi="仿宋_GB2312" w:cs="仿宋_GB2312" w:eastAsia="仿宋_GB2312"/>
        </w:rPr>
        <w:t>委托，拟对</w:t>
      </w:r>
      <w:r>
        <w:rPr>
          <w:rFonts w:ascii="仿宋_GB2312" w:hAnsi="仿宋_GB2312" w:cs="仿宋_GB2312" w:eastAsia="仿宋_GB2312"/>
        </w:rPr>
        <w:t>团结片区DK-22、DK-23地块苗木迁移</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ZJXG2026030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团结片区DK-22、DK-23地块苗木迁移</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团结片区DK-22、DK-23地块苗木迁移。详见竞争性磋商文件。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采购包1（团结片区DK-22、DK-23地块苗木迁移）：属于专门面向中小企业采购。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年度或2025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3、税收缴纳证明：提供递交响应文件截止之日前一年内任意一个月的纳税证明或完税证明，依法免税的单位应提供相关证明材料。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4、社会保障资金缴纳证明：提供递交响应文件截止之日前一年内任意一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7、授权书及被授权人身份证：法定代表人参加磋商的，须提供法定代表人身份证明；法定代表人授权本单位他人参加磋商的，须提供法定代表人授权委托书，非法人单位参照执行。供应商需在项目电子化交易系统中按要求上传相应证明文件并进行电子签章；</w:t>
      </w:r>
    </w:p>
    <w:p>
      <w:pPr>
        <w:pStyle w:val="null3"/>
      </w:pPr>
      <w:r>
        <w:rPr>
          <w:rFonts w:ascii="仿宋_GB2312" w:hAnsi="仿宋_GB2312" w:cs="仿宋_GB2312" w:eastAsia="仿宋_GB2312"/>
        </w:rPr>
        <w:t>8、信用查询：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9、其他要求：①单位负责人为同一人或者存在直接控股、管理关系的不同供应商不得参加同一合同项下的政府采购活动。供应商需在项目电子化交易系统中按要求上传相应证明文件并进行电子签章。②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10、是否接受联合体投标：本项目不接受联合体投标，供应商需在项目电子化交易系统中按要求上传相应证明文件并进行电子签章；</w:t>
      </w:r>
    </w:p>
    <w:p>
      <w:pPr>
        <w:pStyle w:val="null3"/>
      </w:pPr>
      <w:r>
        <w:rPr>
          <w:rFonts w:ascii="仿宋_GB2312" w:hAnsi="仿宋_GB2312" w:cs="仿宋_GB2312" w:eastAsia="仿宋_GB2312"/>
        </w:rPr>
        <w:t>11、中小企业：本合同包为专门面向中小企业采购（提供中小企业声明函或监狱企业的证明文件或残疾人福利性单位声明函）。供应商需在项目电子化交易系统中按要求上传相应证明文件并进行电子签章。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西安市未央区徐家湾地区综合改造办公室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西安市未央区凤城八路与渭滨路十字向东150米路北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029-88698013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陕西省西安市未央区未央路109号万象未央1号楼506室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029-88229191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采购包1：531,484.97元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国家发展和改革委员会办公厅颁发的《关于招标代理服务收费有关问题的通知》（发改办价格〔2003〕857号）的文件收费标准计取。成交单位服务费交纳信息银行户名：陕西中鉴项目管理有限公司开户行：招商银行股份有限公司西安分行营业部账号：129911072510777联系电话：029-88229191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西安市未央区徐家湾地区综合改造办公室</w:t>
      </w:r>
      <w:r>
        <w:rPr>
          <w:rFonts w:ascii="仿宋_GB2312" w:hAnsi="仿宋_GB2312" w:cs="仿宋_GB2312" w:eastAsia="仿宋_GB2312"/>
        </w:rPr>
        <w:t>和</w:t>
      </w:r>
      <w:r>
        <w:rPr>
          <w:rFonts w:ascii="仿宋_GB2312" w:hAnsi="仿宋_GB2312" w:cs="仿宋_GB2312" w:eastAsia="仿宋_GB2312"/>
        </w:rPr>
        <w:t>陕西中鉴项目管理有限公司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西安市未央区徐家湾地区综合改造办公室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西安市未央区徐家湾地区综合改造办公室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（一）本项目验收费用，由乙方自行承担。 （二）养护周期满后，由乙方向甲方递交验收申请，经甲方确认后，组织乙方进行验收。验收合格后，填写政府采购项目验收单并向甲方提交所有资料，以便甲方日后管理和维护。 （三）验收依据： 1、本合同及附加文本。 2、磋商文件、成交供应商的响应文件及澄清（承诺）函。 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联系人：白工</w:t>
      </w:r>
    </w:p>
    <w:p>
      <w:pPr>
        <w:pStyle w:val="null3"/>
      </w:pPr>
      <w:r>
        <w:rPr>
          <w:rFonts w:ascii="仿宋_GB2312" w:hAnsi="仿宋_GB2312" w:cs="仿宋_GB2312" w:eastAsia="仿宋_GB2312"/>
        </w:rPr>
        <w:t>联系电话：029-88229191</w:t>
      </w:r>
    </w:p>
    <w:p>
      <w:pPr>
        <w:pStyle w:val="null3"/>
      </w:pPr>
      <w:r>
        <w:rPr>
          <w:rFonts w:ascii="仿宋_GB2312" w:hAnsi="仿宋_GB2312" w:cs="仿宋_GB2312" w:eastAsia="仿宋_GB2312"/>
        </w:rPr>
        <w:t>地址：陕西省西安市未央区未央路109号万象未央1号楼506室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团结片区DK-22、DK-23地块苗木迁移。详见竞争性磋商文件。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531,484.97</w:t>
      </w:r>
    </w:p>
    <w:p>
      <w:pPr>
        <w:pStyle w:val="null3"/>
      </w:pPr>
      <w:r>
        <w:rPr>
          <w:rFonts w:ascii="仿宋_GB2312" w:hAnsi="仿宋_GB2312" w:cs="仿宋_GB2312" w:eastAsia="仿宋_GB2312"/>
        </w:rPr>
        <w:t>采购包最高限价（元）: 531,484.97</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苗木迁移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531,484.97</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标的名称：苗木迁移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一、项目概况</w:t>
            </w:r>
          </w:p>
          <w:p>
            <w:pPr>
              <w:pStyle w:val="null3"/>
              <w:ind w:firstLine="400"/>
              <w:jc w:val="both"/>
            </w:pPr>
            <w:r>
              <w:rPr>
                <w:rFonts w:ascii="仿宋_GB2312" w:hAnsi="仿宋_GB2312" w:cs="仿宋_GB2312" w:eastAsia="仿宋_GB2312"/>
                <w:sz w:val="20"/>
              </w:rPr>
              <w:t>石楠球</w:t>
            </w:r>
            <w:r>
              <w:rPr>
                <w:rFonts w:ascii="仿宋_GB2312" w:hAnsi="仿宋_GB2312" w:cs="仿宋_GB2312" w:eastAsia="仿宋_GB2312"/>
                <w:sz w:val="20"/>
              </w:rPr>
              <w:t>107株，雪松390株，冬青263.2㎡，苦楝3株，包括但不限于起苗、包装、修剪、装车、运输、挖树穴、栽植、生根粉、多菌灵、打撑杆、挂营养液等与苗木迁移养护相关的全部工作。</w:t>
            </w:r>
          </w:p>
          <w:p>
            <w:pPr>
              <w:pStyle w:val="null3"/>
              <w:jc w:val="both"/>
            </w:pPr>
            <w:r>
              <w:rPr>
                <w:rFonts w:ascii="仿宋_GB2312" w:hAnsi="仿宋_GB2312" w:cs="仿宋_GB2312" w:eastAsia="仿宋_GB2312"/>
                <w:sz w:val="20"/>
                <w:b/>
              </w:rPr>
              <w:t>二、服务内容</w:t>
            </w:r>
          </w:p>
          <w:p>
            <w:pPr>
              <w:pStyle w:val="null3"/>
              <w:ind w:firstLine="400"/>
              <w:jc w:val="both"/>
            </w:pPr>
            <w:r>
              <w:rPr>
                <w:rFonts w:ascii="仿宋_GB2312" w:hAnsi="仿宋_GB2312" w:cs="仿宋_GB2312" w:eastAsia="仿宋_GB2312"/>
                <w:sz w:val="20"/>
              </w:rPr>
              <w:t>按照合同约定时间，对苗木包括但不限于起苗、包装、修剪、装车、运输、挖树穴、栽植、生根粉、多菌灵、打撑杆、挂营养液等与苗木迁移养护相关的全部工作</w:t>
            </w:r>
            <w:r>
              <w:rPr>
                <w:rFonts w:ascii="仿宋_GB2312" w:hAnsi="仿宋_GB2312" w:cs="仿宋_GB2312" w:eastAsia="仿宋_GB2312"/>
                <w:sz w:val="20"/>
              </w:rPr>
              <w:t>。并在迁移过程中保留照片及相关资料</w:t>
            </w:r>
            <w:r>
              <w:rPr>
                <w:rFonts w:ascii="仿宋_GB2312" w:hAnsi="仿宋_GB2312" w:cs="仿宋_GB2312" w:eastAsia="仿宋_GB2312"/>
                <w:sz w:val="20"/>
              </w:rPr>
              <w:t>；</w:t>
            </w:r>
            <w:r>
              <w:rPr>
                <w:rFonts w:ascii="仿宋_GB2312" w:hAnsi="仿宋_GB2312" w:cs="仿宋_GB2312" w:eastAsia="仿宋_GB2312"/>
                <w:sz w:val="20"/>
              </w:rPr>
              <w:t>按照迁移要求完成苗木迁移、养护工作并建立迁移、养护工作档案</w:t>
            </w:r>
            <w:r>
              <w:rPr>
                <w:rFonts w:ascii="仿宋_GB2312" w:hAnsi="仿宋_GB2312" w:cs="仿宋_GB2312" w:eastAsia="仿宋_GB2312"/>
                <w:sz w:val="20"/>
              </w:rPr>
              <w:t>；</w:t>
            </w:r>
            <w:r>
              <w:rPr>
                <w:rFonts w:ascii="仿宋_GB2312" w:hAnsi="仿宋_GB2312" w:cs="仿宋_GB2312" w:eastAsia="仿宋_GB2312"/>
                <w:sz w:val="20"/>
              </w:rPr>
              <w:t>做好迁移养护信息留存、资料收集及归档工作。</w:t>
            </w:r>
          </w:p>
          <w:tbl>
            <w:tblPr>
              <w:tblBorders>
                <w:top w:val="none" w:color="000000" w:sz="4"/>
                <w:left w:val="none" w:color="000000" w:sz="4"/>
                <w:bottom w:val="none" w:color="000000" w:sz="4"/>
                <w:right w:val="none" w:color="000000" w:sz="4"/>
                <w:insideH w:val="none"/>
                <w:insideV w:val="none"/>
              </w:tblBorders>
            </w:tblPr>
            <w:tblGrid>
              <w:gridCol w:w="219"/>
              <w:gridCol w:w="637"/>
              <w:gridCol w:w="740"/>
              <w:gridCol w:w="462"/>
              <w:gridCol w:w="484"/>
            </w:tblGrid>
            <w:tr>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苗木</w:t>
                  </w:r>
                </w:p>
                <w:p>
                  <w:pPr>
                    <w:pStyle w:val="null3"/>
                    <w:jc w:val="center"/>
                  </w:pPr>
                  <w:r>
                    <w:rPr>
                      <w:rFonts w:ascii="仿宋_GB2312" w:hAnsi="仿宋_GB2312" w:cs="仿宋_GB2312" w:eastAsia="仿宋_GB2312"/>
                      <w:sz w:val="20"/>
                      <w:b/>
                    </w:rPr>
                    <w:t>名称</w:t>
                  </w:r>
                </w:p>
              </w:tc>
              <w:tc>
                <w:tcPr>
                  <w:tcW w:type="dxa" w:w="7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规格</w:t>
                  </w:r>
                </w:p>
              </w:tc>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石楠球</w:t>
                  </w:r>
                </w:p>
                <w:p>
                  <w:pPr>
                    <w:pStyle w:val="null3"/>
                    <w:jc w:val="center"/>
                  </w:pP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株高：</w:t>
                  </w:r>
                  <w:r>
                    <w:rPr>
                      <w:rFonts w:ascii="仿宋_GB2312" w:hAnsi="仿宋_GB2312" w:cs="仿宋_GB2312" w:eastAsia="仿宋_GB2312"/>
                      <w:sz w:val="20"/>
                    </w:rPr>
                    <w:t>1.9m</w:t>
                  </w:r>
                  <w:r>
                    <w:rPr>
                      <w:rFonts w:ascii="仿宋_GB2312" w:hAnsi="仿宋_GB2312" w:cs="仿宋_GB2312" w:eastAsia="仿宋_GB2312"/>
                      <w:sz w:val="19"/>
                    </w:rPr>
                    <w:t xml:space="preserve">  </w:t>
                  </w:r>
                </w:p>
                <w:p>
                  <w:pPr>
                    <w:pStyle w:val="null3"/>
                    <w:jc w:val="both"/>
                  </w:pPr>
                  <w:r>
                    <w:rPr>
                      <w:rFonts w:ascii="仿宋_GB2312" w:hAnsi="仿宋_GB2312" w:cs="仿宋_GB2312" w:eastAsia="仿宋_GB2312"/>
                      <w:sz w:val="20"/>
                    </w:rPr>
                    <w:t>冠径：</w:t>
                  </w:r>
                  <w:r>
                    <w:rPr>
                      <w:rFonts w:ascii="仿宋_GB2312" w:hAnsi="仿宋_GB2312" w:cs="仿宋_GB2312" w:eastAsia="仿宋_GB2312"/>
                      <w:sz w:val="20"/>
                    </w:rPr>
                    <w:t>200cm</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107</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雪松</w:t>
                  </w:r>
                </w:p>
                <w:p>
                  <w:pPr>
                    <w:pStyle w:val="null3"/>
                    <w:jc w:val="center"/>
                  </w:pP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胸径</w:t>
                  </w:r>
                  <w:r>
                    <w:rPr>
                      <w:rFonts w:ascii="仿宋_GB2312" w:hAnsi="仿宋_GB2312" w:cs="仿宋_GB2312" w:eastAsia="仿宋_GB2312"/>
                      <w:sz w:val="20"/>
                    </w:rPr>
                    <w:t>/干径/米径/地径：12cm</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冬青</w:t>
                  </w:r>
                </w:p>
                <w:p>
                  <w:pPr>
                    <w:pStyle w:val="null3"/>
                    <w:jc w:val="center"/>
                  </w:pP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密度</w:t>
                  </w:r>
                  <w:r>
                    <w:rPr>
                      <w:rFonts w:ascii="仿宋_GB2312" w:hAnsi="仿宋_GB2312" w:cs="仿宋_GB2312" w:eastAsia="仿宋_GB2312"/>
                      <w:sz w:val="20"/>
                    </w:rPr>
                    <w:t>:81株/㎡</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263.2</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苦楝</w:t>
                  </w:r>
                </w:p>
                <w:p>
                  <w:pPr>
                    <w:pStyle w:val="null3"/>
                    <w:jc w:val="center"/>
                  </w:pP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胸径</w:t>
                  </w:r>
                  <w:r>
                    <w:rPr>
                      <w:rFonts w:ascii="仿宋_GB2312" w:hAnsi="仿宋_GB2312" w:cs="仿宋_GB2312" w:eastAsia="仿宋_GB2312"/>
                      <w:sz w:val="20"/>
                    </w:rPr>
                    <w:t>/干径/米径/地径：25cm</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株</w:t>
                  </w:r>
                </w:p>
              </w:tc>
            </w:tr>
          </w:tbl>
          <w:p>
            <w:pPr>
              <w:pStyle w:val="null3"/>
              <w:jc w:val="both"/>
            </w:pPr>
            <w:r>
              <w:rPr>
                <w:rFonts w:ascii="仿宋_GB2312" w:hAnsi="仿宋_GB2312" w:cs="仿宋_GB2312" w:eastAsia="仿宋_GB2312"/>
                <w:sz w:val="20"/>
                <w:b/>
              </w:rPr>
              <w:t>三</w:t>
            </w:r>
            <w:r>
              <w:rPr>
                <w:rFonts w:ascii="仿宋_GB2312" w:hAnsi="仿宋_GB2312" w:cs="仿宋_GB2312" w:eastAsia="仿宋_GB2312"/>
                <w:sz w:val="20"/>
                <w:b/>
              </w:rPr>
              <w:t>、服务要求</w:t>
            </w:r>
          </w:p>
          <w:p>
            <w:pPr>
              <w:pStyle w:val="null3"/>
              <w:ind w:firstLine="400"/>
              <w:jc w:val="both"/>
            </w:pPr>
            <w:r>
              <w:rPr>
                <w:rFonts w:ascii="仿宋_GB2312" w:hAnsi="仿宋_GB2312" w:cs="仿宋_GB2312" w:eastAsia="仿宋_GB2312"/>
                <w:sz w:val="20"/>
              </w:rPr>
              <w:t>符合现行国家标准或行业相关规范。</w:t>
            </w:r>
          </w:p>
          <w:p>
            <w:pPr>
              <w:pStyle w:val="null3"/>
              <w:jc w:val="both"/>
            </w:pPr>
            <w:r>
              <w:rPr>
                <w:rFonts w:ascii="仿宋_GB2312" w:hAnsi="仿宋_GB2312" w:cs="仿宋_GB2312" w:eastAsia="仿宋_GB2312"/>
                <w:sz w:val="20"/>
                <w:b/>
              </w:rPr>
              <w:t>四</w:t>
            </w:r>
            <w:r>
              <w:rPr>
                <w:rFonts w:ascii="仿宋_GB2312" w:hAnsi="仿宋_GB2312" w:cs="仿宋_GB2312" w:eastAsia="仿宋_GB2312"/>
                <w:sz w:val="20"/>
                <w:b/>
              </w:rPr>
              <w:t>、商务要求</w:t>
            </w:r>
          </w:p>
          <w:p>
            <w:pPr>
              <w:pStyle w:val="null3"/>
              <w:jc w:val="both"/>
            </w:pPr>
            <w:r>
              <w:rPr>
                <w:rFonts w:ascii="仿宋_GB2312" w:hAnsi="仿宋_GB2312" w:cs="仿宋_GB2312" w:eastAsia="仿宋_GB2312"/>
                <w:sz w:val="20"/>
              </w:rPr>
              <w:t>1、服务期限：自合同签订之日起，苗木迁移完成后，一年养护期届满。</w:t>
            </w:r>
          </w:p>
          <w:p>
            <w:pPr>
              <w:pStyle w:val="null3"/>
              <w:jc w:val="both"/>
            </w:pPr>
            <w:r>
              <w:rPr>
                <w:rFonts w:ascii="仿宋_GB2312" w:hAnsi="仿宋_GB2312" w:cs="仿宋_GB2312" w:eastAsia="仿宋_GB2312"/>
                <w:sz w:val="20"/>
              </w:rPr>
              <w:t>2、服务地点：具体以甲方指定地点为准。</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考核（验收）标准和方法</w:t>
            </w:r>
          </w:p>
          <w:p>
            <w:pPr>
              <w:pStyle w:val="null3"/>
              <w:jc w:val="both"/>
            </w:pPr>
            <w:r>
              <w:rPr>
                <w:rFonts w:ascii="仿宋_GB2312" w:hAnsi="仿宋_GB2312" w:cs="仿宋_GB2312" w:eastAsia="仿宋_GB2312"/>
                <w:sz w:val="20"/>
              </w:rPr>
              <w:t>合格</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支付方式</w:t>
            </w:r>
          </w:p>
          <w:p>
            <w:pPr>
              <w:pStyle w:val="null3"/>
            </w:pPr>
            <w:r>
              <w:rPr>
                <w:rFonts w:ascii="仿宋_GB2312" w:hAnsi="仿宋_GB2312" w:cs="仿宋_GB2312" w:eastAsia="仿宋_GB2312"/>
                <w:sz w:val="20"/>
              </w:rPr>
              <w:t>分期付款</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支付约定</w:t>
            </w:r>
          </w:p>
          <w:p>
            <w:pPr>
              <w:pStyle w:val="null3"/>
            </w:pPr>
            <w:r>
              <w:rPr>
                <w:rFonts w:ascii="仿宋_GB2312" w:hAnsi="仿宋_GB2312" w:cs="仿宋_GB2312" w:eastAsia="仿宋_GB2312"/>
                <w:sz w:val="20"/>
              </w:rPr>
              <w:t>采购包</w:t>
            </w:r>
            <w:r>
              <w:rPr>
                <w:rFonts w:ascii="仿宋_GB2312" w:hAnsi="仿宋_GB2312" w:cs="仿宋_GB2312" w:eastAsia="仿宋_GB2312"/>
                <w:sz w:val="20"/>
              </w:rPr>
              <w:t xml:space="preserve">1： 付款条件说明： 合同签订后，乙方向甲方开具等额的增值税普通发票，甲方收到合规的发票 ，达到付款条件起 30 </w:t>
            </w:r>
            <w:r>
              <w:rPr>
                <w:rFonts w:ascii="仿宋_GB2312" w:hAnsi="仿宋_GB2312" w:cs="仿宋_GB2312" w:eastAsia="仿宋_GB2312"/>
                <w:sz w:val="20"/>
              </w:rPr>
              <w:t>个工作</w:t>
            </w:r>
            <w:r>
              <w:rPr>
                <w:rFonts w:ascii="仿宋_GB2312" w:hAnsi="仿宋_GB2312" w:cs="仿宋_GB2312" w:eastAsia="仿宋_GB2312"/>
                <w:sz w:val="20"/>
              </w:rPr>
              <w:t>日内，支付合同总金额的</w:t>
            </w:r>
            <w:r>
              <w:rPr>
                <w:rFonts w:ascii="仿宋_GB2312" w:hAnsi="仿宋_GB2312" w:cs="仿宋_GB2312" w:eastAsia="仿宋_GB2312"/>
                <w:sz w:val="20"/>
              </w:rPr>
              <w:t>30</w:t>
            </w:r>
            <w:r>
              <w:rPr>
                <w:rFonts w:ascii="仿宋_GB2312" w:hAnsi="仿宋_GB2312" w:cs="仿宋_GB2312" w:eastAsia="仿宋_GB2312"/>
                <w:sz w:val="20"/>
              </w:rPr>
              <w:t>.00%。</w:t>
            </w:r>
          </w:p>
          <w:p>
            <w:pPr>
              <w:pStyle w:val="null3"/>
            </w:pPr>
            <w:r>
              <w:rPr>
                <w:rFonts w:ascii="仿宋_GB2312" w:hAnsi="仿宋_GB2312" w:cs="仿宋_GB2312" w:eastAsia="仿宋_GB2312"/>
                <w:sz w:val="20"/>
              </w:rPr>
              <w:t>采购包</w:t>
            </w:r>
            <w:r>
              <w:rPr>
                <w:rFonts w:ascii="仿宋_GB2312" w:hAnsi="仿宋_GB2312" w:cs="仿宋_GB2312" w:eastAsia="仿宋_GB2312"/>
                <w:sz w:val="20"/>
              </w:rPr>
              <w:t xml:space="preserve">1： 付款条件说明： </w:t>
            </w:r>
            <w:r>
              <w:rPr>
                <w:rFonts w:ascii="仿宋_GB2312" w:hAnsi="仿宋_GB2312" w:cs="仿宋_GB2312" w:eastAsia="仿宋_GB2312"/>
                <w:sz w:val="20"/>
              </w:rPr>
              <w:t>完成苗木迁移工作后，乙方向甲方开具等额的增值税普通发票，甲方收到合规的发票</w:t>
            </w:r>
            <w:r>
              <w:rPr>
                <w:rFonts w:ascii="仿宋_GB2312" w:hAnsi="仿宋_GB2312" w:cs="仿宋_GB2312" w:eastAsia="仿宋_GB2312"/>
                <w:sz w:val="20"/>
              </w:rPr>
              <w:t xml:space="preserve"> </w:t>
            </w:r>
            <w:r>
              <w:rPr>
                <w:rFonts w:ascii="仿宋_GB2312" w:hAnsi="仿宋_GB2312" w:cs="仿宋_GB2312" w:eastAsia="仿宋_GB2312"/>
                <w:sz w:val="20"/>
              </w:rPr>
              <w:t>，达到付款条件起</w:t>
            </w:r>
            <w:r>
              <w:rPr>
                <w:rFonts w:ascii="仿宋_GB2312" w:hAnsi="仿宋_GB2312" w:cs="仿宋_GB2312" w:eastAsia="仿宋_GB2312"/>
                <w:sz w:val="20"/>
              </w:rPr>
              <w:t xml:space="preserve">30 </w:t>
            </w:r>
            <w:r>
              <w:rPr>
                <w:rFonts w:ascii="仿宋_GB2312" w:hAnsi="仿宋_GB2312" w:cs="仿宋_GB2312" w:eastAsia="仿宋_GB2312"/>
                <w:sz w:val="20"/>
              </w:rPr>
              <w:t>个工作</w:t>
            </w:r>
            <w:r>
              <w:rPr>
                <w:rFonts w:ascii="仿宋_GB2312" w:hAnsi="仿宋_GB2312" w:cs="仿宋_GB2312" w:eastAsia="仿宋_GB2312"/>
                <w:sz w:val="20"/>
              </w:rPr>
              <w:t>日内，支付合同总金额的</w:t>
            </w:r>
            <w:r>
              <w:rPr>
                <w:rFonts w:ascii="仿宋_GB2312" w:hAnsi="仿宋_GB2312" w:cs="仿宋_GB2312" w:eastAsia="仿宋_GB2312"/>
                <w:sz w:val="20"/>
              </w:rPr>
              <w:t>65</w:t>
            </w:r>
            <w:r>
              <w:rPr>
                <w:rFonts w:ascii="仿宋_GB2312" w:hAnsi="仿宋_GB2312" w:cs="仿宋_GB2312" w:eastAsia="仿宋_GB2312"/>
                <w:sz w:val="20"/>
              </w:rPr>
              <w:t>.00%。</w:t>
            </w:r>
          </w:p>
          <w:p>
            <w:pPr>
              <w:pStyle w:val="null3"/>
            </w:pPr>
            <w:r>
              <w:rPr>
                <w:rFonts w:ascii="仿宋_GB2312" w:hAnsi="仿宋_GB2312" w:cs="仿宋_GB2312" w:eastAsia="仿宋_GB2312"/>
                <w:sz w:val="20"/>
              </w:rPr>
              <w:t>采购包</w:t>
            </w:r>
            <w:r>
              <w:rPr>
                <w:rFonts w:ascii="仿宋_GB2312" w:hAnsi="仿宋_GB2312" w:cs="仿宋_GB2312" w:eastAsia="仿宋_GB2312"/>
                <w:sz w:val="20"/>
              </w:rPr>
              <w:t xml:space="preserve">1： 付款条件说明： 一年养护期届满，经验收合格后，乙方向甲方开具等额的增值税普通发票，甲方收到合规的发票 ，达到付款条件起 30 </w:t>
            </w:r>
            <w:r>
              <w:rPr>
                <w:rFonts w:ascii="仿宋_GB2312" w:hAnsi="仿宋_GB2312" w:cs="仿宋_GB2312" w:eastAsia="仿宋_GB2312"/>
                <w:sz w:val="20"/>
              </w:rPr>
              <w:t>个工作</w:t>
            </w:r>
            <w:r>
              <w:rPr>
                <w:rFonts w:ascii="仿宋_GB2312" w:hAnsi="仿宋_GB2312" w:cs="仿宋_GB2312" w:eastAsia="仿宋_GB2312"/>
                <w:sz w:val="20"/>
              </w:rPr>
              <w:t>日内，支付合同总金额的</w:t>
            </w:r>
            <w:r>
              <w:rPr>
                <w:rFonts w:ascii="仿宋_GB2312" w:hAnsi="仿宋_GB2312" w:cs="仿宋_GB2312" w:eastAsia="仿宋_GB2312"/>
                <w:sz w:val="20"/>
              </w:rPr>
              <w:t>5</w:t>
            </w:r>
            <w:r>
              <w:rPr>
                <w:rFonts w:ascii="仿宋_GB2312" w:hAnsi="仿宋_GB2312" w:cs="仿宋_GB2312" w:eastAsia="仿宋_GB2312"/>
                <w:sz w:val="20"/>
              </w:rPr>
              <w:t>.00%。</w:t>
            </w:r>
          </w:p>
          <w:p>
            <w:pPr>
              <w:pStyle w:val="null3"/>
            </w:pPr>
            <w:r>
              <w:rPr>
                <w:rFonts w:ascii="仿宋_GB2312" w:hAnsi="仿宋_GB2312" w:cs="仿宋_GB2312" w:eastAsia="仿宋_GB2312"/>
                <w:sz w:val="20"/>
              </w:rPr>
              <w:t>每次付款前，乙方未能提供甲方要求发票的，甲方可拒绝付款并不承担认可逾期付款的违约责任。</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违约责任及解决争议的方法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按《中华人民共和国民法典》中的相关条款执行。</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如任意一方不履行合同义务或者履行合同义务不符合约定的，应当承担继续履行、采取补救措施或者赔偿损失等违约责任。</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如碰到不可抗力因素造成无法按照原计划提供服务的，由甲乙双方协商解决。</w:t>
            </w:r>
          </w:p>
          <w:p>
            <w:pPr>
              <w:pStyle w:val="null3"/>
              <w:jc w:val="both"/>
            </w:pPr>
            <w:r>
              <w:rPr>
                <w:rFonts w:ascii="仿宋_GB2312" w:hAnsi="仿宋_GB2312" w:cs="仿宋_GB2312" w:eastAsia="仿宋_GB2312"/>
                <w:sz w:val="20"/>
                <w:b/>
              </w:rPr>
              <w:t>五</w:t>
            </w:r>
            <w:r>
              <w:rPr>
                <w:rFonts w:ascii="仿宋_GB2312" w:hAnsi="仿宋_GB2312" w:cs="仿宋_GB2312" w:eastAsia="仿宋_GB2312"/>
                <w:sz w:val="20"/>
                <w:b/>
              </w:rPr>
              <w:t>、服务范围：</w:t>
            </w:r>
            <w:r>
              <w:rPr>
                <w:rFonts w:ascii="仿宋_GB2312" w:hAnsi="仿宋_GB2312" w:cs="仿宋_GB2312" w:eastAsia="仿宋_GB2312"/>
                <w:sz w:val="20"/>
              </w:rPr>
              <w:t>本项目包含的所有服务。</w:t>
            </w:r>
          </w:p>
          <w:p>
            <w:pPr>
              <w:pStyle w:val="null3"/>
              <w:jc w:val="both"/>
            </w:pPr>
            <w:r>
              <w:rPr>
                <w:rFonts w:ascii="仿宋_GB2312" w:hAnsi="仿宋_GB2312" w:cs="仿宋_GB2312" w:eastAsia="仿宋_GB2312"/>
                <w:sz w:val="20"/>
                <w:b/>
              </w:rPr>
              <w:t>六</w:t>
            </w:r>
            <w:r>
              <w:rPr>
                <w:rFonts w:ascii="仿宋_GB2312" w:hAnsi="仿宋_GB2312" w:cs="仿宋_GB2312" w:eastAsia="仿宋_GB2312"/>
                <w:sz w:val="20"/>
                <w:b/>
              </w:rPr>
              <w:t>、服务标准：</w:t>
            </w:r>
            <w:r>
              <w:rPr>
                <w:rFonts w:ascii="仿宋_GB2312" w:hAnsi="仿宋_GB2312" w:cs="仿宋_GB2312" w:eastAsia="仿宋_GB2312"/>
                <w:sz w:val="20"/>
              </w:rPr>
              <w:t>合格</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满足采购项目人员配置要求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满足采购项目设施设备要求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自合同签订之日起，苗木迁移完成后，一年养护期届满。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具体以甲方指定地点为准。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预付款，合同签订后，乙方向甲方开具等额的增值税普通发票，甲方收到合规的发票，达到付款条件起30个工作日内，支付合同总金额的30.0%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进度款，完成苗木迁移工作后，乙方向甲方开具等额的增值税普通发票，甲方收到合规的发票，达到付款条件起30个工作日内，支付合同总金额的65.0%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进度款，一年养护期届满，经验收合格后，乙方向甲方开具等额的增值税普通发票，甲方收到合规的发票，达到付款条件起30个工作日内，支付合同总金额的5.0%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2、如任意一方不履行合同义务或者履行合同义务不符合约定的，应当承担继续履行、采取补救措施或者赔偿损失等违约责任。 3、如碰到不可抗力因素造成无法按照原计划提供服务的，由甲乙双方协商解决。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1、各供应商所有分项报价（与最后磋商报价比例一致）同比例下浮。 2、询问、质疑、投诉的接收和处理严格按照《中华人民共和国政府采购法》《中华人民共和国政府采购法实施条例》《政府采购质疑和投诉办法》等规定办理。供应商对采购人或代理机构的质疑答复不满意，或者采购人或代理机构未在规定期限内作出答复的，可以在答复期满后15个工作日内向同级财政部门提起投诉。 根据《陕西省财政厅关于在全省开展电子化投诉工作有关事项的通知》（陕财办采函〔2022〕15 号），政府采购供应商可登录“陕西省政府采购综合管理平台”系统进行线上投诉。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供应商资格证明文件.docx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纳税证明或完税证明，依法免税的单位应提供相关证明材料。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授权书及被授权人身份证</w:t>
            </w:r>
          </w:p>
        </w:tc>
        <w:tc>
          <w:tcPr>
            <w:tcW w:type="dxa" w:w="3322"/>
          </w:tcPr>
          <w:p>
            <w:pPr>
              <w:pStyle w:val="null3"/>
            </w:pPr>
            <w:r>
              <w:rPr>
                <w:rFonts w:ascii="仿宋_GB2312" w:hAnsi="仿宋_GB2312" w:cs="仿宋_GB2312" w:eastAsia="仿宋_GB2312"/>
              </w:rPr>
              <w:t>法定代表人参加磋商的，须提供法定代表人身份证明；法定代表人授权本单位他人参加磋商的，须提供法定代表人授权委托书，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供应商需在项目电子化交易系统中按要求上传相应证明文件并进行电子签章。②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残疾人福利性单位声明函 中小企业声明函 供应商应提交的相关资格证明材料 供应商资格证明文件.docx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报价表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至少以下三处的项目名称、项目编号、标段与本项目完全一致：（1）竞争性磋商响应文件封面（2）响应函（3）法定代表人（主要负责人）委托授权书\身份证明</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同时满足以下条款：（1）货币单位符合竞争性磋商文件要求（2）报价符合唯一性要求（3）未超出采购预算或最高限价</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分项报价表.docx 供应商认为有必要补充说明的事项.docx 残疾人福利性单位声明函 服务方案 标的清单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苗木迁移方案</w:t>
            </w:r>
          </w:p>
        </w:tc>
        <w:tc>
          <w:tcPr>
            <w:tcW w:type="dxa" w:w="2492"/>
          </w:tcPr>
          <w:p>
            <w:pPr>
              <w:pStyle w:val="null3"/>
            </w:pPr>
            <w:r>
              <w:rPr>
                <w:rFonts w:ascii="仿宋_GB2312" w:hAnsi="仿宋_GB2312" w:cs="仿宋_GB2312" w:eastAsia="仿宋_GB2312"/>
              </w:rPr>
              <w:t>评审内容：①项目整体迁移规划；②苗木迁移实施流程③日常养护方案。 评审依据：每一项内容描述详细，切实可行符合项目实际内容得4分，①～③项合计得12分。内容①～③项任意一项缺项扣4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评审内容：①苗木迁移质量保障措施；②苗木迁移进度保障措施③苗木成活率保障措施。 评审依据：每一项内容描述详细，切实可行符合项目实际内容得4分，①～③项合计得12分。内容①～③项任意一项缺项扣4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评审内容：①安全教育培训计划；②现场安全措施；③日常安全检查。 评审依据：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文明及环境保护措施</w:t>
            </w:r>
          </w:p>
        </w:tc>
        <w:tc>
          <w:tcPr>
            <w:tcW w:type="dxa" w:w="2492"/>
          </w:tcPr>
          <w:p>
            <w:pPr>
              <w:pStyle w:val="null3"/>
            </w:pPr>
            <w:r>
              <w:rPr>
                <w:rFonts w:ascii="仿宋_GB2312" w:hAnsi="仿宋_GB2312" w:cs="仿宋_GB2312" w:eastAsia="仿宋_GB2312"/>
              </w:rPr>
              <w:t>评审内容：①文明及环境保护管理制度；②防尘降噪及节能减排措施。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重、难点分析及对策措施</w:t>
            </w:r>
          </w:p>
        </w:tc>
        <w:tc>
          <w:tcPr>
            <w:tcW w:type="dxa" w:w="2492"/>
          </w:tcPr>
          <w:p>
            <w:pPr>
              <w:pStyle w:val="null3"/>
            </w:pPr>
            <w:r>
              <w:rPr>
                <w:rFonts w:ascii="仿宋_GB2312" w:hAnsi="仿宋_GB2312" w:cs="仿宋_GB2312" w:eastAsia="仿宋_GB2312"/>
              </w:rPr>
              <w:t>评审内容：①对本项目重、难点的分析；②对本项目重、难点的应对措施。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评审内容：①项目人员配备明细；②人员管理制度。 评审依据：每一项内容描述详细，切实可行符合项目实际内容得4分，①～②项合计得8分。内容①～②项任意一项缺项扣4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拟投入机械设备</w:t>
            </w:r>
          </w:p>
        </w:tc>
        <w:tc>
          <w:tcPr>
            <w:tcW w:type="dxa" w:w="2492"/>
          </w:tcPr>
          <w:p>
            <w:pPr>
              <w:pStyle w:val="null3"/>
            </w:pPr>
            <w:r>
              <w:rPr>
                <w:rFonts w:ascii="仿宋_GB2312" w:hAnsi="仿宋_GB2312" w:cs="仿宋_GB2312" w:eastAsia="仿宋_GB2312"/>
              </w:rPr>
              <w:t>评审内容：拟投入机械设备。 评审依据：内容描述详细，切实可行符合项目实际内容得4分，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评审内容：合理化建议。 评审依据：内容描述详细，切实可行符合项目实际内容得4分，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评审内容：服务承诺。 评审依据：内容描述详细，切实可行符合项目实际内容得4分，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提供2023年6月1日至今的类似业绩（时间以中标通知书或合同时间为准），每提供一份得2.5分，最高得5分。未提供不得分。 注：以加盖公章的中标通知书或合同的复印件为准。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供应商认为有必要补充说明的事项.docx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以最后磋商报价最低的报价为评审基准价，其价格分为满分。其他供应商的价格分统一按照下列公式计算：磋商报价得分=（磋商基准价/磋商评审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详见附件：供应商认为有必要补充说明的事项.docx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