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default"/>
          <w:color w:val="auto"/>
          <w:sz w:val="19"/>
          <w:lang w:val="en-US"/>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SXTH202641</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6"/>
          <w:szCs w:val="56"/>
          <w:lang w:val="en-US" w:eastAsia="zh-CN"/>
        </w:rPr>
        <w:t xml:space="preserve">金寨镇郭家湾烟草产业园产业路路基工程项目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56"/>
          <w:szCs w:val="56"/>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旬阳市金寨镇人民政府(盖章)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09</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5C47B26C">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46950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482" w:firstLineChars="200"/>
        <w:jc w:val="left"/>
        <w:textAlignment w:val="auto"/>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p>
    <w:p w14:paraId="763095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项目概况</w:t>
      </w:r>
    </w:p>
    <w:p w14:paraId="7BB1DEF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金寨镇郭家湾烟草产业园产业路路基工程项目采购项目的潜在供应商应在安康市高新区高新壹号院4栋2单元2004室获取采购文件，并于 2026年10月12日 09时30分 （北京时间）前提交响应文件。</w:t>
      </w:r>
    </w:p>
    <w:p w14:paraId="04B587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一、项目基本情况</w:t>
      </w:r>
    </w:p>
    <w:p w14:paraId="7DD3BA0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项目编号：SXTH202641</w:t>
      </w:r>
    </w:p>
    <w:p w14:paraId="245729C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项目名称：金寨镇郭家湾烟草产业园产业路路基工程项目</w:t>
      </w:r>
    </w:p>
    <w:p w14:paraId="4F6C93D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3B230FC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预算金额：200,000.00元</w:t>
      </w:r>
    </w:p>
    <w:p w14:paraId="24D4993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5B8F1A2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合同包1(金寨镇郭家湾烟草产业园产业路路基工程项目):</w:t>
      </w:r>
    </w:p>
    <w:p w14:paraId="567ABF1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合同包预算金额：200,000.00元</w:t>
      </w:r>
    </w:p>
    <w:p w14:paraId="676E828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合同包最高限价：199,949.00元</w:t>
      </w:r>
    </w:p>
    <w:tbl>
      <w:tblPr>
        <w:tblStyle w:val="26"/>
        <w:tblW w:w="10394"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65"/>
        <w:gridCol w:w="1683"/>
        <w:gridCol w:w="3123"/>
        <w:gridCol w:w="1732"/>
        <w:gridCol w:w="1451"/>
        <w:gridCol w:w="1440"/>
      </w:tblGrid>
      <w:tr w14:paraId="2D451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10" w:hRule="atLeast"/>
          <w:tblHeader/>
        </w:trPr>
        <w:tc>
          <w:tcPr>
            <w:tcW w:w="9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C1A17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6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925F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1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A119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AC2C8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4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640E3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4AE6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26C6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25" w:hRule="atLeast"/>
        </w:trPr>
        <w:tc>
          <w:tcPr>
            <w:tcW w:w="9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03B5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6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C20A2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公路工程施工</w:t>
            </w:r>
          </w:p>
        </w:tc>
        <w:tc>
          <w:tcPr>
            <w:tcW w:w="31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F77D6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金寨镇郭家湾烟草产业园产业路路基工程项目</w:t>
            </w:r>
          </w:p>
        </w:tc>
        <w:tc>
          <w:tcPr>
            <w:tcW w:w="1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50C82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4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369F9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897D73">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200,000.00</w:t>
            </w:r>
          </w:p>
        </w:tc>
      </w:tr>
    </w:tbl>
    <w:p w14:paraId="4C9E6C7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76977D9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合同履行期限：30个日历日</w:t>
      </w:r>
    </w:p>
    <w:p w14:paraId="2DC946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二、申请人的资格要求：</w:t>
      </w:r>
    </w:p>
    <w:p w14:paraId="2D07CA4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2D6FD94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39F85BF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合同包1(金寨镇郭家湾烟草产业园产业路路基工程项目)落实政府采购政策需满足的资格要求如下:</w:t>
      </w:r>
    </w:p>
    <w:p w14:paraId="7C577D8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本项目专门面向中小企业，供应商应为中小微企业、监狱企业、残疾人福利性单位。</w:t>
      </w:r>
    </w:p>
    <w:p w14:paraId="418B8C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483DE8B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合同包1(金寨镇郭家湾烟草产业园产业路路基工程项目)特定资格要求如下:</w:t>
      </w:r>
    </w:p>
    <w:p w14:paraId="2A4D1B0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（2）法定代表人授权委托书、被授权人身份证（法定代表人参加投标时,只需提供法定代表人身份证）；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（3）供应商须具备相关主管部门核发的公路工程或市政公用工程施工总承包三级以上（含三级）资质和有效的安全生产许可证；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（8）具备履行合同所必须的设备和专业技术能力的书面声明；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（11）本项目不接受联合体投标；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（12）本项目面向中小企业采购，须提供《中小企业声明函》。</w:t>
      </w:r>
    </w:p>
    <w:p w14:paraId="2BCC45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三、获取采购文件</w:t>
      </w:r>
    </w:p>
    <w:p w14:paraId="11E1F82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2026年09月28日 至 2026年10月10日 ，每天上午 08:00:00 至 12:00:00 ，下午 14:00:00 至 18:00:00 （北京时间）</w:t>
      </w:r>
    </w:p>
    <w:p w14:paraId="49A20FD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途径：安康市高新区高新壹号院4栋2单元2004室</w:t>
      </w:r>
    </w:p>
    <w:p w14:paraId="52FC7C3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68055E5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3D4591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四、响应文件提交</w:t>
      </w:r>
    </w:p>
    <w:p w14:paraId="5813E34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截止时间： 2026年10月12日 09时30分00秒 （北京时间）</w:t>
      </w:r>
    </w:p>
    <w:p w14:paraId="064A96D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地点：旬阳市城关镇党家坝社区丽都家园小区19幢3单元1楼商铺</w:t>
      </w:r>
    </w:p>
    <w:p w14:paraId="2EE255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五、开启</w:t>
      </w:r>
    </w:p>
    <w:p w14:paraId="0423E89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2026年10月12日 09时30分00秒 （北京时间）</w:t>
      </w:r>
    </w:p>
    <w:p w14:paraId="27281E3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地点：旬阳市城关镇党家坝社区丽都家园小区19幢3单元1楼商铺</w:t>
      </w:r>
    </w:p>
    <w:p w14:paraId="26ED39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六、公告期限</w:t>
      </w:r>
    </w:p>
    <w:p w14:paraId="29687DC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416905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七、其他补充事宜</w:t>
      </w:r>
    </w:p>
    <w:p w14:paraId="1617002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1.获取文件须知：投标人须在文件获取截止时间内携带法人授权书及营业执照（复印件加盖红色公章）在安康市高新区高新壹号院4栋2单元2004室进行获取。</w:t>
      </w:r>
    </w:p>
    <w:p w14:paraId="116EEE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2.落实政府采购政策</w:t>
      </w:r>
    </w:p>
    <w:p w14:paraId="40DDA8D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（1）《政府采购促进中小企业发展管理办法》（财库〔2020〕46号）及《财政部关于进一步加大政府采购支持中小企业力度的通知》（财库〔2022〕19号）；</w:t>
      </w:r>
    </w:p>
    <w:p w14:paraId="3DC41DC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（2）《关于政府采购支持监狱企业发展有关问题的通知》（财库〔2014〕68号）；</w:t>
      </w:r>
    </w:p>
    <w:p w14:paraId="56A6162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（3）《关于促进残疾人就业政府采购政策的通知》（财库〔2017〕141号）；</w:t>
      </w:r>
    </w:p>
    <w:p w14:paraId="2EAD5A2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（4）财政部、国家发展改革委《关于印发〈节能产品政府采购实施意见〉的通知》（财库〔2004〕185号）；</w:t>
      </w:r>
    </w:p>
    <w:p w14:paraId="4D2DA93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（5）财政部、国家环保总局联合印发《关于环境标志产品政府采购实施的意见》（财库〔2006〕90号）；</w:t>
      </w:r>
    </w:p>
    <w:p w14:paraId="2C9A28A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（6）国务院办公厅《关于建立政府强制采购节能产品制度的通知》（国办发〔2007〕51号）；</w:t>
      </w:r>
    </w:p>
    <w:p w14:paraId="573249F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（7）《财政部 发展改革委 生态环境部 市场监管总局关于调整优化节能产品 环境标志产品政府采购执行机制的通知》（财库〔2019〕9号）；</w:t>
      </w:r>
    </w:p>
    <w:p w14:paraId="0E83E9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（8）《财政部农业农村部国家乡村振兴局关于运用政府采购政策支持乡村产业振兴的通知》（财库〔2021〕19号）；</w:t>
      </w:r>
    </w:p>
    <w:p w14:paraId="1E95C40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（9）《陕西省中小企业政府采购信用融资办法》（陕财办采〔2018〕23号）；</w:t>
      </w:r>
    </w:p>
    <w:p w14:paraId="030D2A7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（10）《陕西省财政厅关于加快推进我省中小企业政府采购信用融资工作的通知》（陕财办采〔2020〕15 号）；</w:t>
      </w:r>
    </w:p>
    <w:p w14:paraId="515D2DB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（11）《关于在政府采购活动中查询及使用信用记录有关问题的通知》（财库〔2016〕125号）。</w:t>
      </w:r>
    </w:p>
    <w:p w14:paraId="627A903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1663FA2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1314" w:leftChars="114" w:right="0" w:hanging="1075" w:hangingChars="448"/>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60FB68F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名称：旬阳市财政局金寨财政所</w:t>
      </w:r>
    </w:p>
    <w:p w14:paraId="698FF4B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地址：旬阳县金寨镇寨河社区</w:t>
      </w:r>
    </w:p>
    <w:p w14:paraId="51A718C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联系方式：15829854680</w:t>
      </w:r>
    </w:p>
    <w:p w14:paraId="57496E4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1314" w:leftChars="114" w:right="0" w:hanging="1075" w:hangingChars="448"/>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66BF4B7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名称：陕西途恒工程管理服务有限公司</w:t>
      </w:r>
    </w:p>
    <w:p w14:paraId="2E7690C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地址：陕西省安康市汉滨区陕西省安康市汉滨区新城街道办事处文昌社区长兴金座5栋302室</w:t>
      </w:r>
    </w:p>
    <w:p w14:paraId="731525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联系方式：17349392975</w:t>
      </w:r>
    </w:p>
    <w:p w14:paraId="1BF6538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1314" w:leftChars="114" w:right="0" w:hanging="1075" w:hangingChars="448"/>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0C0E567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项目联系人：曾行义</w:t>
      </w:r>
    </w:p>
    <w:p w14:paraId="1755464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电话：17349392975</w:t>
      </w:r>
    </w:p>
    <w:p w14:paraId="3580FDF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baseline"/>
        <w:rPr>
          <w:rFonts w:hint="eastAsia" w:ascii="宋体" w:hAnsi="宋体" w:eastAsia="宋体" w:cs="宋体"/>
          <w:i w:val="0"/>
          <w:iCs w:val="0"/>
          <w:caps w:val="0"/>
          <w:color w:val="333333"/>
          <w:spacing w:val="0"/>
          <w:sz w:val="24"/>
          <w:szCs w:val="24"/>
          <w:shd w:val="clear" w:fill="FFFFFF"/>
          <w:vertAlign w:val="baseline"/>
        </w:rPr>
      </w:pPr>
    </w:p>
    <w:p w14:paraId="6F7BC61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baseline"/>
        <w:rPr>
          <w:rFonts w:hint="eastAsia" w:ascii="宋体" w:hAnsi="宋体" w:eastAsia="宋体" w:cs="宋体"/>
          <w:i w:val="0"/>
          <w:iCs w:val="0"/>
          <w:caps w:val="0"/>
          <w:color w:val="333333"/>
          <w:spacing w:val="0"/>
          <w:sz w:val="24"/>
          <w:szCs w:val="24"/>
          <w:shd w:val="clear" w:fill="FFFFFF"/>
          <w:vertAlign w:val="baseline"/>
        </w:rPr>
      </w:pPr>
    </w:p>
    <w:p w14:paraId="052CA9F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陕西途恒工程管理服务有限公司</w:t>
      </w:r>
    </w:p>
    <w:p w14:paraId="09E4BDEE">
      <w:pPr>
        <w:ind w:firstLine="6720" w:firstLineChars="2800"/>
        <w:rPr>
          <w:rFonts w:hint="eastAsia" w:ascii="宋体" w:hAnsi="宋体" w:eastAsia="宋体" w:cs="宋体"/>
          <w:i w:val="0"/>
          <w:iCs w:val="0"/>
          <w:caps w:val="0"/>
          <w:color w:val="333333"/>
          <w:spacing w:val="0"/>
          <w:sz w:val="24"/>
          <w:szCs w:val="24"/>
          <w:shd w:val="clear" w:fill="FFFFFF"/>
          <w:vertAlign w:val="baseline"/>
        </w:rPr>
      </w:pPr>
    </w:p>
    <w:p w14:paraId="24A3E196">
      <w:pPr>
        <w:ind w:firstLine="6720" w:firstLineChars="2800"/>
        <w:rPr>
          <w:rFonts w:hint="eastAsia" w:ascii="宋体" w:hAnsi="宋体"/>
          <w:b/>
          <w:color w:val="auto"/>
          <w:sz w:val="32"/>
          <w:szCs w:val="32"/>
        </w:rPr>
      </w:pPr>
      <w:r>
        <w:rPr>
          <w:rFonts w:hint="eastAsia" w:ascii="宋体" w:hAnsi="宋体" w:eastAsia="宋体" w:cs="宋体"/>
          <w:i w:val="0"/>
          <w:iCs w:val="0"/>
          <w:caps w:val="0"/>
          <w:color w:val="333333"/>
          <w:spacing w:val="0"/>
          <w:sz w:val="24"/>
          <w:szCs w:val="24"/>
          <w:shd w:val="clear" w:fill="FFFFFF"/>
          <w:vertAlign w:val="baseline"/>
        </w:rPr>
        <w:t>2026年09月28日</w:t>
      </w:r>
      <w:r>
        <w:rPr>
          <w:rFonts w:hint="eastAsia" w:ascii="宋体" w:hAnsi="宋体"/>
          <w:b/>
          <w:color w:val="auto"/>
          <w:sz w:val="32"/>
          <w:szCs w:val="32"/>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旬阳市金寨镇人民政府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金寨镇郭家湾烟草产业园产业路路基工程项目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（2）法定代表人授权委托书、被授权人身份证（法定代表人参加投标时,只需提供法定代表人身份证）；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（3）供应商须具备相关主管部门核发的公路工程或市政公用工程施工总承包三级以上（含三级）资质和有效的安全生产许可证；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（6）税收缴纳证明：提供2025年</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（7）社会保障资金缴纳证明：提供2025年</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（8）具备履行合同所必须的设备和专业技术能力的书面声明；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（11）本项目不接受联合体投标；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（12）本项目面向中小企业采购，须提供《中小企业声明函》</w:t>
      </w:r>
      <w:r>
        <w:rPr>
          <w:rFonts w:hint="eastAsia" w:ascii="宋体" w:hAnsi="宋体" w:eastAsia="宋体" w:cs="宋体"/>
          <w:sz w:val="24"/>
          <w:szCs w:val="24"/>
        </w:rPr>
        <w:t>。</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b w:val="0"/>
          <w:bCs w:val="0"/>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bookmarkStart w:id="37" w:name="_GoBack"/>
      <w:bookmarkEnd w:id="37"/>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：旬阳市金寨镇人民政府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金寨</w:t>
      </w:r>
      <w:r>
        <w:rPr>
          <w:rFonts w:hint="eastAsia" w:ascii="宋体" w:hAnsi="宋体" w:eastAsia="宋体" w:cs="宋体"/>
          <w:i w:val="0"/>
          <w:iCs w:val="0"/>
          <w:caps w:val="0"/>
          <w:color w:val="auto"/>
          <w:spacing w:val="0"/>
          <w:kern w:val="0"/>
          <w:sz w:val="24"/>
          <w:szCs w:val="24"/>
          <w:shd w:val="clear" w:color="auto" w:fill="FFFFFF"/>
          <w:lang w:val="en-US" w:eastAsia="zh-CN" w:bidi="ar"/>
        </w:rPr>
        <w:t>镇</w:t>
      </w:r>
      <w:r>
        <w:rPr>
          <w:rFonts w:hint="eastAsia" w:ascii="宋体" w:hAnsi="宋体" w:cs="宋体"/>
          <w:i w:val="0"/>
          <w:iCs w:val="0"/>
          <w:caps w:val="0"/>
          <w:color w:val="auto"/>
          <w:spacing w:val="0"/>
          <w:kern w:val="0"/>
          <w:sz w:val="24"/>
          <w:szCs w:val="24"/>
          <w:shd w:val="clear" w:color="auto" w:fill="FFFFFF"/>
          <w:lang w:val="en-US" w:eastAsia="zh-CN" w:bidi="ar"/>
        </w:rPr>
        <w:t>寨河</w:t>
      </w:r>
      <w:r>
        <w:rPr>
          <w:rFonts w:hint="eastAsia" w:ascii="宋体" w:hAnsi="宋体" w:eastAsia="宋体" w:cs="宋体"/>
          <w:i w:val="0"/>
          <w:iCs w:val="0"/>
          <w:caps w:val="0"/>
          <w:color w:val="auto"/>
          <w:spacing w:val="0"/>
          <w:kern w:val="0"/>
          <w:sz w:val="24"/>
          <w:szCs w:val="24"/>
          <w:shd w:val="clear" w:color="auto" w:fill="FFFFFF"/>
          <w:lang w:val="en-US" w:eastAsia="zh-CN" w:bidi="ar"/>
        </w:rPr>
        <w:t>社区二组</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电话：15829854680</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color w:val="auto"/>
          <w:sz w:val="24"/>
          <w:szCs w:val="24"/>
        </w:rPr>
        <w:t>一、项目名称：</w:t>
      </w:r>
      <w:r>
        <w:rPr>
          <w:rFonts w:hint="eastAsia" w:ascii="宋体" w:hAnsi="宋体" w:cs="宋体"/>
          <w:bCs/>
          <w:color w:val="000000" w:themeColor="text1"/>
          <w:sz w:val="24"/>
          <w:szCs w:val="24"/>
          <w:lang w:eastAsia="zh-CN"/>
          <w14:textFill>
            <w14:solidFill>
              <w14:schemeClr w14:val="tx1"/>
            </w14:solidFill>
          </w14:textFill>
        </w:rPr>
        <w:t>金寨镇郭家湾烟草产业园产业路路基工程项目。</w:t>
      </w:r>
    </w:p>
    <w:p w14:paraId="4A8EF08B">
      <w:pPr>
        <w:spacing w:before="293" w:line="411" w:lineRule="auto"/>
        <w:ind w:firstLine="561"/>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二、工程概况：</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金寨镇郭家湾,</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路线总长0.3km，路基宽4.5m，路面宽3.5m，水泥混凝土路面，1*1.0m圆管涵6m等，具体详见清单。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0000FF"/>
          <w:sz w:val="24"/>
          <w:szCs w:val="24"/>
          <w:lang w:val="en-US" w:eastAsia="zh-CN"/>
        </w:rPr>
      </w:pPr>
      <w:r>
        <w:rPr>
          <w:rFonts w:hint="eastAsia" w:ascii="宋体" w:hAnsi="宋体" w:cs="宋体"/>
          <w:b w:val="0"/>
          <w:bCs/>
          <w:color w:val="000000" w:themeColor="text1"/>
          <w:sz w:val="24"/>
          <w:szCs w:val="24"/>
          <w:lang w:val="en-US" w:eastAsia="zh-CN"/>
          <w14:textFill>
            <w14:solidFill>
              <w14:schemeClr w14:val="tx1"/>
            </w14:solidFill>
          </w14:textFill>
        </w:rPr>
        <w:t>三、建设地点：金寨镇郭家湾村</w:t>
      </w:r>
      <w:r>
        <w:rPr>
          <w:rFonts w:hint="eastAsia" w:ascii="宋体" w:hAnsi="宋体" w:eastAsia="宋体" w:cs="宋体"/>
          <w:color w:val="000000" w:themeColor="text1"/>
          <w:sz w:val="24"/>
          <w:szCs w:val="24"/>
          <w:lang w:val="en-US" w:eastAsia="zh-CN"/>
          <w14:textFill>
            <w14:solidFill>
              <w14:schemeClr w14:val="tx1"/>
            </w14:solidFill>
          </w14:textFill>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60438B25">
      <w:pPr>
        <w:spacing w:before="140" w:line="223" w:lineRule="auto"/>
        <w:jc w:val="both"/>
        <w:outlineLvl w:val="3"/>
        <w:rPr>
          <w:rFonts w:ascii="宋体" w:hAnsi="宋体" w:eastAsia="宋体" w:cs="宋体"/>
          <w:b/>
          <w:bCs/>
          <w:spacing w:val="6"/>
          <w:sz w:val="35"/>
          <w:szCs w:val="35"/>
        </w:rPr>
      </w:pPr>
    </w:p>
    <w:p w14:paraId="49C422FD">
      <w:pPr>
        <w:spacing w:before="140" w:line="223" w:lineRule="auto"/>
        <w:jc w:val="center"/>
        <w:outlineLvl w:val="3"/>
      </w:pPr>
      <w:r>
        <w:rPr>
          <w:rFonts w:ascii="宋体" w:hAnsi="宋体" w:eastAsia="宋体" w:cs="宋体"/>
          <w:b/>
          <w:bCs/>
          <w:spacing w:val="6"/>
          <w:sz w:val="35"/>
          <w:szCs w:val="35"/>
        </w:rPr>
        <w:t>编制说明</w:t>
      </w:r>
    </w:p>
    <w:p w14:paraId="79E67CC4">
      <w:pPr>
        <w:keepNext w:val="0"/>
        <w:keepLines w:val="0"/>
        <w:pageBreakBefore w:val="0"/>
        <w:widowControl w:val="0"/>
        <w:kinsoku/>
        <w:wordWrap/>
        <w:overflowPunct/>
        <w:topLinePunct w:val="0"/>
        <w:autoSpaceDE/>
        <w:autoSpaceDN/>
        <w:bidi w:val="0"/>
        <w:spacing w:line="560" w:lineRule="exact"/>
        <w:ind w:left="0" w:firstLine="550" w:firstLineChars="200"/>
        <w:textAlignment w:val="auto"/>
        <w:rPr>
          <w:rFonts w:ascii="宋体" w:hAnsi="宋体" w:eastAsia="宋体" w:cs="宋体"/>
          <w:b/>
          <w:bCs/>
          <w:spacing w:val="-3"/>
          <w:sz w:val="28"/>
          <w:szCs w:val="28"/>
        </w:rPr>
      </w:pP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pacing w:val="-3"/>
          <w:sz w:val="24"/>
          <w:szCs w:val="24"/>
          <w14:textFill>
            <w14:solidFill>
              <w14:schemeClr w14:val="tx1"/>
            </w14:solidFill>
          </w14:textFill>
        </w:rPr>
        <w:t>一、项目概况</w:t>
      </w:r>
    </w:p>
    <w:p w14:paraId="4186DDD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金寨镇郭家湾烟草产业园产业路路基工程项目,该项目位于金寨镇郭家湾,本项目主要内容包括：路线总长0.3km，路基宽4.5m，路面宽3.5m，水泥混凝土路面，1*1.0m圆管涵6m等，具体详见清单。</w:t>
      </w:r>
    </w:p>
    <w:p w14:paraId="62CCF06B">
      <w:pPr>
        <w:keepNext w:val="0"/>
        <w:keepLines w:val="0"/>
        <w:pageBreakBefore w:val="0"/>
        <w:widowControl w:val="0"/>
        <w:kinsoku/>
        <w:wordWrap/>
        <w:overflowPunct/>
        <w:topLinePunct w:val="0"/>
        <w:autoSpaceDE/>
        <w:autoSpaceDN/>
        <w:bidi w:val="0"/>
        <w:adjustRightInd/>
        <w:snapToGrid/>
        <w:spacing w:line="560" w:lineRule="exact"/>
        <w:ind w:left="0" w:firstLine="474"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b/>
          <w:bCs/>
          <w:color w:val="000000" w:themeColor="text1"/>
          <w:spacing w:val="-2"/>
          <w:sz w:val="24"/>
          <w:szCs w:val="24"/>
          <w:lang w:val="en-US" w:eastAsia="zh-CN"/>
          <w14:textFill>
            <w14:solidFill>
              <w14:schemeClr w14:val="tx1"/>
            </w14:solidFill>
          </w14:textFill>
        </w:rPr>
        <w:t>二、编制依据</w:t>
      </w:r>
    </w:p>
    <w:p w14:paraId="515F23F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（1）交通运输部公告 2018 年第 86 号《公路工程建设项目概算预算编制办法》（JTG3830-2018）；</w:t>
      </w:r>
    </w:p>
    <w:p w14:paraId="4D5BC8BC">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（2）交通运输部公告 2018 年第 86 号《公路工程预算定额》（JTG∕T3832-2018）、陕西省公路养护工程预算定额；</w:t>
      </w:r>
    </w:p>
    <w:p w14:paraId="34743351">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（3）交通运输部公告 2018 年第 86 号《公路工程机械台班费用定额》（ JTG∕ T3833-2018）；</w:t>
      </w:r>
    </w:p>
    <w:p w14:paraId="5A1A4979">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（4）财政部 税务总局 海关总署关于深化增值税改革有关政策的公告（财政部 税务总局海关总署公告2019年第39号），税金 9%；</w:t>
      </w:r>
    </w:p>
    <w:p w14:paraId="48D3A654">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（5）陕西省交通运输厅“关于印发《&lt;公路工程建设项目投资估算编制办法&gt;&lt;公路工程建设项目概算预算编制办法&gt;补充规定》的通知”（陕交发[2019]93 号），人工工日单价 105.89 元/工日，规费费率合计 33.36%；</w:t>
      </w:r>
    </w:p>
    <w:p w14:paraId="668A5F90">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（6）工程设计图纸。</w:t>
      </w:r>
    </w:p>
    <w:p w14:paraId="65F5ACE8">
      <w:pPr>
        <w:keepNext w:val="0"/>
        <w:keepLines w:val="0"/>
        <w:pageBreakBefore w:val="0"/>
        <w:widowControl w:val="0"/>
        <w:kinsoku/>
        <w:wordWrap/>
        <w:overflowPunct/>
        <w:topLinePunct w:val="0"/>
        <w:autoSpaceDE/>
        <w:autoSpaceDN/>
        <w:bidi w:val="0"/>
        <w:adjustRightInd/>
        <w:snapToGrid/>
        <w:spacing w:line="560" w:lineRule="exact"/>
        <w:ind w:left="0" w:firstLine="474" w:firstLineChars="200"/>
        <w:textAlignment w:val="auto"/>
        <w:rPr>
          <w:rFonts w:hint="eastAsia" w:ascii="宋体" w:hAnsi="宋体" w:cs="宋体"/>
          <w:b/>
          <w:bCs/>
          <w:color w:val="000000" w:themeColor="text1"/>
          <w:spacing w:val="-2"/>
          <w:sz w:val="24"/>
          <w:szCs w:val="24"/>
          <w:lang w:val="en-US" w:eastAsia="zh-CN"/>
          <w14:textFill>
            <w14:solidFill>
              <w14:schemeClr w14:val="tx1"/>
            </w14:solidFill>
          </w14:textFill>
        </w:rPr>
      </w:pPr>
      <w:r>
        <w:rPr>
          <w:rFonts w:hint="eastAsia" w:ascii="宋体" w:hAnsi="宋体" w:cs="宋体"/>
          <w:b/>
          <w:bCs/>
          <w:color w:val="000000" w:themeColor="text1"/>
          <w:spacing w:val="-2"/>
          <w:sz w:val="24"/>
          <w:szCs w:val="24"/>
          <w:lang w:val="en-US" w:eastAsia="zh-CN"/>
          <w14:textFill>
            <w14:solidFill>
              <w14:schemeClr w14:val="tx1"/>
            </w14:solidFill>
          </w14:textFill>
        </w:rPr>
        <w:t>三、有关说明</w:t>
      </w:r>
    </w:p>
    <w:p w14:paraId="637CE3B0">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1、材料单价参考陕西省交通运输工程造价事务中心发布的二○二六年七月安康地区价格信息、《安康工程造价管理信息》2026年第7期及地方调查的工地实际单价确定。</w:t>
      </w:r>
    </w:p>
    <w:p w14:paraId="2E462094">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2、建筑工程一切险按建安工程费（不含专项费用）0.35%计算，第三方责任险建安工程费（不含专项费用）0.05%计算；安全生产费按建安工程费（不含专项费用）1.5%计算。</w:t>
      </w:r>
    </w:p>
    <w:p w14:paraId="2A06540A">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cs="宋体"/>
          <w:color w:val="000000" w:themeColor="text1"/>
          <w:spacing w:val="-2"/>
          <w:sz w:val="24"/>
          <w:szCs w:val="24"/>
          <w:lang w:val="en-US" w:eastAsia="zh-CN"/>
          <w14:textFill>
            <w14:solidFill>
              <w14:schemeClr w14:val="tx1"/>
            </w14:solidFill>
          </w14:textFill>
        </w:rPr>
        <w:t>3、本工程采用同望工程造价管理软件（V11.1.1）编制。</w:t>
      </w:r>
    </w:p>
    <w:p w14:paraId="33EA7F68">
      <w:pPr>
        <w:tabs>
          <w:tab w:val="right" w:pos="4860"/>
        </w:tabs>
        <w:adjustRightInd w:val="0"/>
        <w:snapToGrid w:val="0"/>
        <w:spacing w:line="600" w:lineRule="exact"/>
        <w:jc w:val="both"/>
        <w:rPr>
          <w:rFonts w:hint="eastAsia" w:ascii="宋体" w:hAnsi="宋体"/>
          <w:b/>
          <w:color w:val="000000" w:themeColor="text1"/>
          <w:sz w:val="32"/>
          <w:szCs w:val="32"/>
          <w14:textFill>
            <w14:solidFill>
              <w14:schemeClr w14:val="tx1"/>
            </w14:solidFill>
          </w14:textFill>
        </w:rPr>
      </w:pPr>
    </w:p>
    <w:p w14:paraId="4E1444A0">
      <w:pPr>
        <w:rPr>
          <w:rFonts w:ascii="宋体" w:hAnsi="宋体" w:eastAsia="宋体" w:cs="宋体"/>
          <w:b/>
          <w:bCs/>
          <w:color w:val="000000" w:themeColor="text1"/>
          <w:spacing w:val="6"/>
          <w:sz w:val="35"/>
          <w:szCs w:val="35"/>
          <w14:textFill>
            <w14:solidFill>
              <w14:schemeClr w14:val="tx1"/>
            </w14:solidFill>
          </w14:textFill>
        </w:rPr>
      </w:pPr>
      <w:r>
        <w:rPr>
          <w:rFonts w:ascii="宋体" w:hAnsi="宋体" w:eastAsia="宋体" w:cs="宋体"/>
          <w:b/>
          <w:bCs/>
          <w:color w:val="000000" w:themeColor="text1"/>
          <w:spacing w:val="6"/>
          <w:sz w:val="35"/>
          <w:szCs w:val="35"/>
          <w14:textFill>
            <w14:solidFill>
              <w14:schemeClr w14:val="tx1"/>
            </w14:solidFill>
          </w14:textFill>
        </w:rPr>
        <w:t>工程量清单</w:t>
      </w:r>
    </w:p>
    <w:p w14:paraId="53ED6844">
      <w:pPr>
        <w:rPr>
          <w:rFonts w:hint="eastAsia" w:ascii="宋体" w:hAnsi="宋体" w:eastAsia="宋体" w:cs="宋体"/>
          <w:b/>
          <w:bCs/>
          <w:color w:val="000000" w:themeColor="text1"/>
          <w:spacing w:val="6"/>
          <w:sz w:val="35"/>
          <w:szCs w:val="35"/>
          <w14:textFill>
            <w14:solidFill>
              <w14:schemeClr w14:val="tx1"/>
            </w14:solidFill>
          </w14:textFill>
        </w:rPr>
      </w:pPr>
      <w:r>
        <w:rPr>
          <w:color w:val="000000" w:themeColor="text1"/>
          <w14:textFill>
            <w14:solidFill>
              <w14:schemeClr w14:val="tx1"/>
            </w14:solidFill>
          </w14:textFill>
        </w:rPr>
        <w:drawing>
          <wp:inline distT="0" distB="0" distL="114300" distR="114300">
            <wp:extent cx="5726430" cy="8291195"/>
            <wp:effectExtent l="0" t="0" r="762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726430" cy="8291195"/>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6186805" cy="8949055"/>
            <wp:effectExtent l="0" t="0" r="4445" b="44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6186805" cy="8949055"/>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6137910" cy="8980170"/>
            <wp:effectExtent l="0" t="0" r="15240" b="1143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6137910" cy="8980170"/>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6275070" cy="9076690"/>
            <wp:effectExtent l="0" t="0" r="11430" b="1016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6275070" cy="9076690"/>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6399530" cy="9072880"/>
            <wp:effectExtent l="0" t="0" r="1270" b="1397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2"/>
                    <a:stretch>
                      <a:fillRect/>
                    </a:stretch>
                  </pic:blipFill>
                  <pic:spPr>
                    <a:xfrm>
                      <a:off x="0" y="0"/>
                      <a:ext cx="6399530" cy="9072880"/>
                    </a:xfrm>
                    <a:prstGeom prst="rect">
                      <a:avLst/>
                    </a:prstGeom>
                    <a:noFill/>
                    <a:ln>
                      <a:noFill/>
                    </a:ln>
                  </pic:spPr>
                </pic:pic>
              </a:graphicData>
            </a:graphic>
          </wp:inline>
        </w:drawing>
      </w:r>
    </w:p>
    <w:p w14:paraId="57E82C5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000000" w:themeColor="text1"/>
          <w:kern w:val="2"/>
          <w:sz w:val="24"/>
          <w:szCs w:val="24"/>
          <w14:textFill>
            <w14:solidFill>
              <w14:schemeClr w14:val="tx1"/>
            </w14:solidFill>
          </w14:textFill>
        </w:rPr>
      </w:pP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六</w:t>
      </w:r>
      <w:r>
        <w:rPr>
          <w:rFonts w:hint="eastAsia" w:ascii="宋体" w:hAnsi="宋体" w:eastAsia="宋体" w:cs="宋体"/>
          <w:b/>
          <w:bCs/>
          <w:snapToGrid w:val="0"/>
          <w:color w:val="000000" w:themeColor="text1"/>
          <w:kern w:val="2"/>
          <w:sz w:val="24"/>
          <w:szCs w:val="24"/>
          <w14:textFill>
            <w14:solidFill>
              <w14:schemeClr w14:val="tx1"/>
            </w14:solidFill>
          </w14:textFill>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000000" w:themeColor="text1"/>
          <w:kern w:val="2"/>
          <w:sz w:val="24"/>
          <w:szCs w:val="24"/>
          <w14:textFill>
            <w14:solidFill>
              <w14:schemeClr w14:val="tx1"/>
            </w14:solidFill>
          </w14:textFill>
        </w:rPr>
      </w:pP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七</w:t>
      </w:r>
      <w:r>
        <w:rPr>
          <w:rFonts w:hint="eastAsia" w:ascii="宋体" w:hAnsi="宋体" w:eastAsia="宋体" w:cs="宋体"/>
          <w:b/>
          <w:bCs/>
          <w:snapToGrid w:val="0"/>
          <w:color w:val="000000" w:themeColor="text1"/>
          <w:kern w:val="2"/>
          <w:sz w:val="24"/>
          <w:szCs w:val="24"/>
          <w14:textFill>
            <w14:solidFill>
              <w14:schemeClr w14:val="tx1"/>
            </w14:solidFill>
          </w14:textFill>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000000" w:themeColor="text1"/>
          <w:kern w:val="2"/>
          <w:sz w:val="24"/>
          <w:szCs w:val="24"/>
          <w14:textFill>
            <w14:solidFill>
              <w14:schemeClr w14:val="tx1"/>
            </w14:solidFill>
          </w14:textFill>
        </w:rPr>
      </w:pP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八</w:t>
      </w:r>
      <w:r>
        <w:rPr>
          <w:rFonts w:hint="eastAsia" w:ascii="宋体" w:hAnsi="宋体" w:eastAsia="宋体" w:cs="宋体"/>
          <w:b/>
          <w:bCs/>
          <w:snapToGrid w:val="0"/>
          <w:color w:val="000000" w:themeColor="text1"/>
          <w:kern w:val="2"/>
          <w:sz w:val="24"/>
          <w:szCs w:val="24"/>
          <w14:textFill>
            <w14:solidFill>
              <w14:schemeClr w14:val="tx1"/>
            </w14:solidFill>
          </w14:textFill>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1、本工程质量等级要求</w:t>
      </w:r>
      <w:r>
        <w:rPr>
          <w:rFonts w:hint="eastAsia" w:ascii="宋体" w:hAnsi="宋体" w:eastAsia="宋体" w:cs="宋体"/>
          <w:snapToGrid w:val="0"/>
          <w:color w:val="000000" w:themeColor="text1"/>
          <w:kern w:val="2"/>
          <w:sz w:val="24"/>
          <w:szCs w:val="24"/>
          <w:lang w:eastAsia="zh-CN"/>
          <w14:textFill>
            <w14:solidFill>
              <w14:schemeClr w14:val="tx1"/>
            </w14:solidFill>
          </w14:textFill>
        </w:rPr>
        <w:t>合格</w:t>
      </w:r>
      <w:r>
        <w:rPr>
          <w:rFonts w:hint="eastAsia" w:ascii="宋体" w:hAnsi="宋体" w:eastAsia="宋体" w:cs="宋体"/>
          <w:color w:val="000000" w:themeColor="text1"/>
          <w:sz w:val="24"/>
          <w:szCs w:val="24"/>
          <w14:textFill>
            <w14:solidFill>
              <w14:schemeClr w14:val="tx1"/>
            </w14:solidFill>
          </w14:textFill>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000000" w:themeColor="text1"/>
          <w:sz w:val="24"/>
          <w:szCs w:val="24"/>
          <w:lang w:val="en-US" w:eastAsia="zh-CN"/>
          <w14:textFill>
            <w14:solidFill>
              <w14:schemeClr w14:val="tx1"/>
            </w14:solidFill>
          </w14:textFill>
        </w:rPr>
        <w:t>相应的合同金额</w:t>
      </w:r>
      <w:r>
        <w:rPr>
          <w:rFonts w:hint="eastAsia" w:ascii="宋体" w:hAnsi="宋体" w:eastAsia="宋体" w:cs="宋体"/>
          <w:color w:val="000000" w:themeColor="text1"/>
          <w:sz w:val="24"/>
          <w:szCs w:val="24"/>
          <w14:textFill>
            <w14:solidFill>
              <w14:schemeClr w14:val="tx1"/>
            </w14:solidFill>
          </w14:textFill>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4、各工序应严格按施工组织设计进行质量控制，每道工序完工后，应进行检查，</w:t>
      </w:r>
      <w:r>
        <w:rPr>
          <w:rFonts w:hint="eastAsia" w:ascii="宋体" w:hAnsi="宋体" w:eastAsia="宋体" w:cs="宋体"/>
          <w:color w:val="000000" w:themeColor="text1"/>
          <w:sz w:val="24"/>
          <w:szCs w:val="24"/>
          <w:lang w:val="en-US" w:eastAsia="zh-CN"/>
          <w14:textFill>
            <w14:solidFill>
              <w14:schemeClr w14:val="tx1"/>
            </w14:solidFill>
          </w14:textFill>
        </w:rPr>
        <w:t>电力</w:t>
      </w:r>
      <w:r>
        <w:rPr>
          <w:rFonts w:hint="eastAsia" w:ascii="宋体" w:hAnsi="宋体" w:eastAsia="宋体" w:cs="宋体"/>
          <w:color w:val="000000" w:themeColor="text1"/>
          <w:sz w:val="24"/>
          <w:szCs w:val="24"/>
          <w:lang w:eastAsia="zh-CN"/>
          <w14:textFill>
            <w14:solidFill>
              <w14:schemeClr w14:val="tx1"/>
            </w14:solidFill>
          </w14:textFill>
        </w:rPr>
        <w:t>工程专业</w:t>
      </w:r>
      <w:r>
        <w:rPr>
          <w:rFonts w:hint="eastAsia" w:ascii="宋体" w:hAnsi="宋体" w:eastAsia="宋体" w:cs="宋体"/>
          <w:color w:val="000000" w:themeColor="text1"/>
          <w:sz w:val="24"/>
          <w:szCs w:val="24"/>
          <w14:textFill>
            <w14:solidFill>
              <w14:schemeClr w14:val="tx1"/>
            </w14:solidFill>
          </w14:textFill>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6、</w:t>
      </w:r>
      <w:r>
        <w:rPr>
          <w:rFonts w:hint="eastAsia" w:ascii="宋体" w:hAnsi="宋体" w:eastAsia="宋体" w:cs="宋体"/>
          <w:b/>
          <w:bCs/>
          <w:color w:val="000000" w:themeColor="text1"/>
          <w:sz w:val="24"/>
          <w:szCs w:val="24"/>
          <w:u w:val="single"/>
          <w:lang w:val="en-US" w:eastAsia="zh-CN"/>
          <w14:textFill>
            <w14:solidFill>
              <w14:schemeClr w14:val="tx1"/>
            </w14:solidFill>
          </w14:textFill>
        </w:rPr>
        <w:t>质保期：免费质保</w:t>
      </w:r>
      <w:r>
        <w:rPr>
          <w:rFonts w:hint="eastAsia" w:ascii="宋体" w:hAnsi="宋体" w:cs="宋体"/>
          <w:b/>
          <w:bCs/>
          <w:color w:val="000000" w:themeColor="text1"/>
          <w:sz w:val="24"/>
          <w:szCs w:val="24"/>
          <w:u w:val="single"/>
          <w:lang w:val="en-US" w:eastAsia="zh-CN"/>
          <w14:textFill>
            <w14:solidFill>
              <w14:schemeClr w14:val="tx1"/>
            </w14:solidFill>
          </w14:textFill>
        </w:rPr>
        <w:t>一</w:t>
      </w:r>
      <w:r>
        <w:rPr>
          <w:rFonts w:hint="eastAsia" w:ascii="宋体" w:hAnsi="宋体" w:eastAsia="宋体" w:cs="宋体"/>
          <w:b/>
          <w:bCs/>
          <w:color w:val="000000" w:themeColor="text1"/>
          <w:sz w:val="24"/>
          <w:szCs w:val="24"/>
          <w:u w:val="single"/>
          <w:lang w:val="en-US" w:eastAsia="zh-CN"/>
          <w14:textFill>
            <w14:solidFill>
              <w14:schemeClr w14:val="tx1"/>
            </w14:solidFill>
          </w14:textFill>
        </w:rPr>
        <w:t>年；接到报修电话后一周内完成修复工作；</w:t>
      </w:r>
      <w:r>
        <w:rPr>
          <w:rFonts w:hint="eastAsia" w:ascii="宋体" w:hAnsi="宋体" w:eastAsia="宋体" w:cs="宋体"/>
          <w:color w:val="000000" w:themeColor="text1"/>
          <w:sz w:val="24"/>
          <w:szCs w:val="24"/>
          <w14:textFill>
            <w14:solidFill>
              <w14:schemeClr w14:val="tx1"/>
            </w14:solidFill>
          </w14:textFill>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000000" w:themeColor="text1"/>
          <w:kern w:val="2"/>
          <w:sz w:val="24"/>
          <w:szCs w:val="24"/>
          <w14:textFill>
            <w14:solidFill>
              <w14:schemeClr w14:val="tx1"/>
            </w14:solidFill>
          </w14:textFill>
        </w:rPr>
      </w:pP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九</w:t>
      </w:r>
      <w:r>
        <w:rPr>
          <w:rFonts w:hint="eastAsia" w:ascii="宋体" w:hAnsi="宋体" w:eastAsia="宋体" w:cs="宋体"/>
          <w:b/>
          <w:bCs/>
          <w:snapToGrid w:val="0"/>
          <w:color w:val="000000" w:themeColor="text1"/>
          <w:kern w:val="2"/>
          <w:sz w:val="24"/>
          <w:szCs w:val="24"/>
          <w14:textFill>
            <w14:solidFill>
              <w14:schemeClr w14:val="tx1"/>
            </w14:solidFill>
          </w14:textFill>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pP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十</w:t>
      </w:r>
      <w:r>
        <w:rPr>
          <w:rFonts w:hint="eastAsia" w:ascii="宋体" w:hAnsi="宋体" w:eastAsia="宋体" w:cs="宋体"/>
          <w:b/>
          <w:bCs/>
          <w:snapToGrid w:val="0"/>
          <w:color w:val="000000" w:themeColor="text1"/>
          <w:kern w:val="2"/>
          <w:sz w:val="24"/>
          <w:szCs w:val="24"/>
          <w14:textFill>
            <w14:solidFill>
              <w14:schemeClr w14:val="tx1"/>
            </w14:solidFill>
          </w14:textFill>
        </w:rPr>
        <w:t>、质量验收标准：</w:t>
      </w:r>
      <w:r>
        <w:rPr>
          <w:rFonts w:hint="eastAsia" w:ascii="宋体" w:hAnsi="宋体" w:eastAsia="宋体" w:cs="宋体"/>
          <w:b/>
          <w:bCs/>
          <w:snapToGrid w:val="0"/>
          <w:color w:val="000000" w:themeColor="text1"/>
          <w:kern w:val="2"/>
          <w:sz w:val="24"/>
          <w:szCs w:val="24"/>
          <w:lang w:val="en-US" w:eastAsia="zh-CN"/>
          <w14:textFill>
            <w14:solidFill>
              <w14:schemeClr w14:val="tx1"/>
            </w14:solidFill>
          </w14:textFill>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r>
    </w:p>
    <w:p w14:paraId="4BD569CC">
      <w:pPr>
        <w:tabs>
          <w:tab w:val="right" w:pos="4860"/>
        </w:tabs>
        <w:adjustRightInd w:val="0"/>
        <w:snapToGrid w:val="0"/>
        <w:spacing w:line="600" w:lineRule="exact"/>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第四部分</w:t>
      </w:r>
      <w:r>
        <w:rPr>
          <w:rFonts w:ascii="宋体" w:hAnsi="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000000" w:themeColor="text1"/>
          <w:sz w:val="24"/>
          <w:szCs w:val="24"/>
          <w14:textFill>
            <w14:solidFill>
              <w14:schemeClr w14:val="tx1"/>
            </w14:solidFill>
          </w14:textFill>
        </w:rPr>
      </w:pPr>
    </w:p>
    <w:p w14:paraId="314D110B">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项目概况：</w:t>
      </w:r>
      <w:r>
        <w:rPr>
          <w:rFonts w:hint="eastAsia" w:ascii="宋体" w:hAnsi="宋体" w:eastAsia="宋体" w:cs="宋体"/>
          <w:color w:val="000000" w:themeColor="text1"/>
          <w:sz w:val="24"/>
          <w:szCs w:val="24"/>
          <w14:textFill>
            <w14:solidFill>
              <w14:schemeClr w14:val="tx1"/>
            </w14:solidFill>
          </w14:textFill>
        </w:rPr>
        <w:t>本工程为</w:t>
      </w:r>
      <w:r>
        <w:rPr>
          <w:rFonts w:hint="eastAsia" w:ascii="宋体" w:hAnsi="宋体" w:cs="宋体"/>
          <w:color w:val="000000" w:themeColor="text1"/>
          <w:sz w:val="24"/>
          <w:szCs w:val="24"/>
          <w:lang w:val="en-US" w:eastAsia="zh-CN"/>
          <w14:textFill>
            <w14:solidFill>
              <w14:schemeClr w14:val="tx1"/>
            </w14:solidFill>
          </w14:textFill>
        </w:rPr>
        <w:t>金寨镇郭家湾烟草产业园产业路路基工程项目</w:t>
      </w:r>
      <w:r>
        <w:rPr>
          <w:rFonts w:hint="eastAsia" w:ascii="宋体" w:hAnsi="宋体" w:eastAsia="宋体" w:cs="宋体"/>
          <w:color w:val="000000" w:themeColor="text1"/>
          <w:sz w:val="24"/>
          <w:szCs w:val="24"/>
          <w:lang w:val="en-US" w:eastAsia="zh-CN"/>
          <w14:textFill>
            <w14:solidFill>
              <w14:schemeClr w14:val="tx1"/>
            </w14:solidFill>
          </w14:textFill>
        </w:rPr>
        <w:t>,该项目位于金寨镇郭家湾,本项目主要内容包括：路线总长0.3km，路基宽4.5m，路面宽3.5m，水泥混凝土路面，1*1.0m圆管涵6m等，具体详见清单。</w:t>
      </w:r>
    </w:p>
    <w:p w14:paraId="1CFA4D07">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三、建设地点：金寨镇</w:t>
      </w:r>
      <w:r>
        <w:rPr>
          <w:rFonts w:hint="eastAsia" w:ascii="宋体" w:hAnsi="宋体" w:cs="宋体"/>
          <w:color w:val="000000" w:themeColor="text1"/>
          <w:sz w:val="24"/>
          <w:szCs w:val="24"/>
          <w:lang w:val="en-US" w:eastAsia="zh-CN"/>
          <w14:textFill>
            <w14:solidFill>
              <w14:schemeClr w14:val="tx1"/>
            </w14:solidFill>
          </w14:textFill>
        </w:rPr>
        <w:t>郭家湾</w:t>
      </w:r>
      <w:r>
        <w:rPr>
          <w:rFonts w:hint="eastAsia" w:ascii="宋体" w:hAnsi="宋体" w:eastAsia="宋体" w:cs="宋体"/>
          <w:color w:val="000000" w:themeColor="text1"/>
          <w:sz w:val="24"/>
          <w:szCs w:val="24"/>
          <w:lang w:val="en-US" w:eastAsia="zh-CN"/>
          <w14:textFill>
            <w14:solidFill>
              <w14:schemeClr w14:val="tx1"/>
            </w14:solidFill>
          </w14:textFill>
        </w:rPr>
        <w:t>村。</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工期：</w:t>
      </w:r>
      <w:r>
        <w:rPr>
          <w:rFonts w:hint="eastAsia" w:ascii="宋体" w:hAnsi="宋体" w:cs="宋体"/>
          <w:b w:val="0"/>
          <w:bCs/>
          <w:color w:val="000000" w:themeColor="text1"/>
          <w:sz w:val="24"/>
          <w:szCs w:val="24"/>
          <w:lang w:val="en-US" w:eastAsia="zh-CN"/>
          <w14:textFill>
            <w14:solidFill>
              <w14:schemeClr w14:val="tx1"/>
            </w14:solidFill>
          </w14:textFill>
        </w:rPr>
        <w:t>30个日历日</w:t>
      </w:r>
      <w:r>
        <w:rPr>
          <w:rFonts w:hint="eastAsia" w:ascii="宋体" w:hAnsi="宋体" w:eastAsia="宋体" w:cs="宋体"/>
          <w:color w:val="000000" w:themeColor="text1"/>
          <w:sz w:val="24"/>
          <w:szCs w:val="24"/>
          <w14:textFill>
            <w14:solidFill>
              <w14:schemeClr w14:val="tx1"/>
            </w14:solidFill>
          </w14:textFill>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旬阳市金寨镇郭家湾村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0C0CB49D">
      <w:pPr>
        <w:keepNext w:val="0"/>
        <w:keepLines w:val="0"/>
        <w:pageBreakBefore w:val="0"/>
        <w:widowControl w:val="0"/>
        <w:kinsoku/>
        <w:wordWrap/>
        <w:overflowPunct/>
        <w:topLinePunct w:val="0"/>
        <w:autoSpaceDE/>
        <w:autoSpaceDN/>
        <w:bidi w:val="0"/>
        <w:adjustRightInd/>
        <w:snapToGrid/>
        <w:spacing w:line="500" w:lineRule="exact"/>
        <w:ind w:firstLine="803" w:firstLineChars="200"/>
        <w:jc w:val="center"/>
        <w:textAlignment w:val="auto"/>
        <w:outlineLvl w:val="9"/>
        <w:rPr>
          <w:rFonts w:hint="eastAsia" w:ascii="宋体" w:hAnsi="宋体" w:eastAsia="宋体" w:cs="宋体"/>
          <w:b/>
          <w:bCs/>
          <w:kern w:val="44"/>
          <w:sz w:val="40"/>
          <w:szCs w:val="40"/>
          <w:lang w:val="en-US" w:eastAsia="zh-CN"/>
        </w:rPr>
      </w:pPr>
      <w:r>
        <w:rPr>
          <w:rFonts w:hint="eastAsia" w:ascii="宋体" w:hAnsi="宋体" w:eastAsia="宋体" w:cs="宋体"/>
          <w:b/>
          <w:bCs/>
          <w:kern w:val="44"/>
          <w:sz w:val="40"/>
          <w:szCs w:val="40"/>
          <w:lang w:val="en-US" w:eastAsia="zh-CN"/>
        </w:rPr>
        <w:t>施工合同</w:t>
      </w:r>
    </w:p>
    <w:p w14:paraId="7208FB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cs="宋体"/>
          <w:sz w:val="24"/>
          <w:szCs w:val="24"/>
          <w:lang w:eastAsia="zh-CN"/>
        </w:rPr>
        <w:t>旬阳市金寨镇人民政府</w:t>
      </w:r>
    </w:p>
    <w:p w14:paraId="2CD4968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p w14:paraId="39A14E4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经甲、乙双方协商，甲方将本工程的部分施工任务承包给乙方。为明确双方相互权利、义务以及经济责任，依据《民法典》等有关规定，经双方协商同意，签订本合同，以资共同遵守。</w:t>
      </w:r>
    </w:p>
    <w:p w14:paraId="752145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u w:val="none"/>
          <w:lang w:val="en-US" w:eastAsia="zh-CN"/>
        </w:rPr>
        <w:t>一、工程名称：</w:t>
      </w:r>
      <w:r>
        <w:rPr>
          <w:rFonts w:hint="eastAsia" w:ascii="宋体" w:hAnsi="宋体" w:cs="宋体"/>
          <w:b/>
          <w:bCs/>
          <w:sz w:val="24"/>
          <w:szCs w:val="24"/>
          <w:u w:val="none"/>
          <w:lang w:val="en-US" w:eastAsia="zh-CN"/>
        </w:rPr>
        <w:t>金寨镇郭家湾烟草产业园产业路路基工程项目</w:t>
      </w:r>
    </w:p>
    <w:p w14:paraId="318D982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2" w:firstLineChars="200"/>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二、工程</w:t>
      </w:r>
      <w:r>
        <w:rPr>
          <w:rFonts w:hint="eastAsia" w:ascii="宋体" w:hAnsi="宋体" w:eastAsia="宋体" w:cs="宋体"/>
          <w:b/>
          <w:bCs/>
          <w:sz w:val="24"/>
          <w:szCs w:val="24"/>
        </w:rPr>
        <w:t>建设地点</w:t>
      </w:r>
      <w:r>
        <w:rPr>
          <w:rFonts w:hint="eastAsia" w:ascii="宋体" w:hAnsi="宋体" w:eastAsia="宋体" w:cs="宋体"/>
          <w:b/>
          <w:bCs/>
          <w:sz w:val="24"/>
          <w:szCs w:val="24"/>
          <w:lang w:eastAsia="zh-CN"/>
        </w:rPr>
        <w:t>：</w:t>
      </w:r>
      <w:r>
        <w:rPr>
          <w:rFonts w:hint="eastAsia" w:ascii="宋体" w:hAnsi="宋体" w:cs="宋体"/>
          <w:b/>
          <w:bCs/>
          <w:sz w:val="24"/>
          <w:szCs w:val="24"/>
          <w:lang w:val="en-US" w:eastAsia="zh-CN"/>
        </w:rPr>
        <w:t>金寨镇郭家湾村</w:t>
      </w:r>
    </w:p>
    <w:p w14:paraId="492983A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w:t>
      </w:r>
      <w:r>
        <w:rPr>
          <w:rFonts w:hint="eastAsia" w:ascii="宋体" w:hAnsi="宋体" w:eastAsia="宋体" w:cs="宋体"/>
          <w:b/>
          <w:bCs/>
          <w:sz w:val="24"/>
          <w:szCs w:val="24"/>
          <w:lang w:eastAsia="zh-CN"/>
        </w:rPr>
        <w:t>工程建设内容：</w:t>
      </w:r>
    </w:p>
    <w:p w14:paraId="15285B0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四、</w:t>
      </w:r>
      <w:r>
        <w:rPr>
          <w:rFonts w:hint="eastAsia" w:ascii="宋体" w:hAnsi="宋体" w:eastAsia="宋体" w:cs="宋体"/>
          <w:b/>
          <w:sz w:val="24"/>
          <w:szCs w:val="24"/>
        </w:rPr>
        <w:t>工程工期</w:t>
      </w:r>
    </w:p>
    <w:p w14:paraId="308CF2B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本项工程工期为</w:t>
      </w:r>
      <w:r>
        <w:rPr>
          <w:rFonts w:hint="eastAsia" w:ascii="宋体" w:hAnsi="宋体" w:eastAsia="宋体" w:cs="宋体"/>
          <w:b w:val="0"/>
          <w:bCs w:val="0"/>
          <w:color w:val="auto"/>
          <w:sz w:val="24"/>
          <w:szCs w:val="24"/>
          <w:u w:val="single"/>
          <w:lang w:val="en-US" w:eastAsia="zh-CN"/>
        </w:rPr>
        <w:t xml:space="preserve"> 30</w:t>
      </w:r>
      <w:r>
        <w:rPr>
          <w:rFonts w:hint="eastAsia" w:ascii="宋体" w:hAnsi="宋体" w:eastAsia="宋体" w:cs="宋体"/>
          <w:b w:val="0"/>
          <w:bCs w:val="0"/>
          <w:sz w:val="24"/>
          <w:szCs w:val="24"/>
          <w:u w:val="none"/>
          <w:lang w:val="en-US" w:eastAsia="zh-CN"/>
        </w:rPr>
        <w:t>天，自签订本合同之日起于2026年</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月</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日开工，至2026年</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月</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日结束。合同签订后三日内乙方如不能正常开工，合同自行作废，甲方有权将工程另行安排，坚持谁签合同谁施工，不准层层转包，否则废除合同。乙方无特殊情况不得拖延工期，无故拖延，按每拖延一天罚工程总价的1%。</w:t>
      </w:r>
    </w:p>
    <w:p w14:paraId="2133D4A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五、工程价款</w:t>
      </w:r>
    </w:p>
    <w:p w14:paraId="2B09A04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本合同为单价合同</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根据工程量清单数量和单价计算本合同</w:t>
      </w:r>
      <w:r>
        <w:rPr>
          <w:rFonts w:hint="eastAsia" w:ascii="宋体" w:hAnsi="宋体" w:eastAsia="宋体" w:cs="宋体"/>
          <w:sz w:val="24"/>
          <w:szCs w:val="24"/>
        </w:rPr>
        <w:t>总价</w:t>
      </w:r>
      <w:r>
        <w:rPr>
          <w:rFonts w:hint="eastAsia" w:ascii="宋体" w:hAnsi="宋体" w:eastAsia="宋体" w:cs="宋体"/>
          <w:sz w:val="24"/>
          <w:szCs w:val="24"/>
          <w:lang w:eastAsia="zh-CN"/>
        </w:rPr>
        <w:t>。整个工程经初步预算，工程总价约</w:t>
      </w:r>
      <w:r>
        <w:rPr>
          <w:rFonts w:hint="eastAsia" w:ascii="宋体" w:hAnsi="宋体" w:eastAsia="宋体" w:cs="宋体"/>
          <w:sz w:val="24"/>
          <w:szCs w:val="24"/>
          <w:lang w:val="en-US" w:eastAsia="zh-CN"/>
        </w:rPr>
        <w:t>50万元，项目建设</w:t>
      </w:r>
      <w:r>
        <w:rPr>
          <w:rFonts w:hint="eastAsia" w:ascii="宋体" w:hAnsi="宋体" w:eastAsia="宋体" w:cs="宋体"/>
          <w:sz w:val="24"/>
          <w:szCs w:val="24"/>
          <w:lang w:eastAsia="zh-CN"/>
        </w:rPr>
        <w:t>根据投标工程量清单及单价计算工程总造价</w:t>
      </w:r>
      <w:r>
        <w:rPr>
          <w:rFonts w:hint="eastAsia" w:ascii="宋体" w:hAnsi="宋体" w:eastAsia="宋体" w:cs="宋体"/>
          <w:sz w:val="24"/>
          <w:szCs w:val="24"/>
          <w:lang w:val="en-US" w:eastAsia="zh-CN"/>
        </w:rPr>
        <w:t>。</w:t>
      </w:r>
    </w:p>
    <w:p w14:paraId="1E5076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整个</w:t>
      </w:r>
      <w:r>
        <w:rPr>
          <w:rFonts w:hint="eastAsia" w:ascii="宋体" w:hAnsi="宋体" w:eastAsia="宋体" w:cs="宋体"/>
          <w:sz w:val="24"/>
          <w:szCs w:val="24"/>
        </w:rPr>
        <w:t>工程</w:t>
      </w:r>
      <w:r>
        <w:rPr>
          <w:rFonts w:hint="eastAsia" w:ascii="宋体" w:hAnsi="宋体" w:eastAsia="宋体" w:cs="宋体"/>
          <w:sz w:val="24"/>
          <w:szCs w:val="24"/>
          <w:lang w:eastAsia="zh-CN"/>
        </w:rPr>
        <w:t>以实际工程量</w:t>
      </w:r>
      <w:r>
        <w:rPr>
          <w:rFonts w:hint="eastAsia" w:ascii="宋体" w:hAnsi="宋体" w:eastAsia="宋体" w:cs="宋体"/>
          <w:sz w:val="24"/>
          <w:szCs w:val="24"/>
        </w:rPr>
        <w:t>计算本合同总价</w:t>
      </w:r>
      <w:r>
        <w:rPr>
          <w:rFonts w:hint="eastAsia" w:ascii="宋体" w:hAnsi="宋体" w:eastAsia="宋体" w:cs="宋体"/>
          <w:sz w:val="24"/>
          <w:szCs w:val="24"/>
          <w:lang w:eastAsia="zh-CN"/>
        </w:rPr>
        <w:t>，</w:t>
      </w:r>
      <w:r>
        <w:rPr>
          <w:rFonts w:hint="eastAsia" w:ascii="宋体" w:hAnsi="宋体" w:eastAsia="宋体" w:cs="宋体"/>
          <w:sz w:val="24"/>
          <w:szCs w:val="24"/>
        </w:rPr>
        <w:t>付款办法：工程完成并经验收合格后，一年内一次性付清全部款项。</w:t>
      </w:r>
    </w:p>
    <w:p w14:paraId="14B8C20D">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在合同执行期间，合同单价（合同单价应包括：为实施本工程所发生的人工、材料、机械设备、资料、税费、保险、等以及合同明示或暗示的一切费用）保持不变。</w:t>
      </w:r>
    </w:p>
    <w:p w14:paraId="085977B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本合同单价是完成永久性工程和实施这些永久性工程而需要的全部临时工程及其一切费用。业主也不负责洪水等一切自然灾害造成的损失和工程伤亡损失的费用。</w:t>
      </w:r>
    </w:p>
    <w:p w14:paraId="6DABABB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安全生产</w:t>
      </w:r>
    </w:p>
    <w:p w14:paraId="122120C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5E1378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2、乙方为实施本合同工程所需人员、机械设备及其它物品向保险公司足额投保,保险费用纳入工程总价之中,由乙方支付。</w:t>
      </w:r>
    </w:p>
    <w:p w14:paraId="2802E6A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3、乙方保证在各方面按合同文件的规定，承担本工程的施工、建成和缺陷责任期的维修（缺陷责任期为一年，自交工验收之日计算）。</w:t>
      </w:r>
    </w:p>
    <w:p w14:paraId="3D9760C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工程质量</w:t>
      </w:r>
    </w:p>
    <w:p w14:paraId="2ED4DD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乙方应对工程质量全面负责。乙方必须服从</w:t>
      </w:r>
      <w:r>
        <w:rPr>
          <w:rFonts w:hint="eastAsia" w:ascii="宋体" w:hAnsi="宋体" w:eastAsia="宋体" w:cs="宋体"/>
          <w:sz w:val="24"/>
          <w:szCs w:val="24"/>
          <w:lang w:eastAsia="zh-CN"/>
        </w:rPr>
        <w:t>甲方及监理</w:t>
      </w:r>
      <w:r>
        <w:rPr>
          <w:rFonts w:hint="eastAsia" w:ascii="宋体" w:hAnsi="宋体" w:eastAsia="宋体" w:cs="宋体"/>
          <w:sz w:val="24"/>
          <w:szCs w:val="24"/>
        </w:rPr>
        <w:t>质量监督管理，严格依照甲方</w:t>
      </w:r>
      <w:r>
        <w:rPr>
          <w:rFonts w:hint="eastAsia" w:ascii="宋体" w:hAnsi="宋体" w:eastAsia="宋体" w:cs="宋体"/>
          <w:sz w:val="24"/>
          <w:szCs w:val="24"/>
          <w:lang w:eastAsia="zh-CN"/>
        </w:rPr>
        <w:t>要求具体施工，</w:t>
      </w:r>
      <w:r>
        <w:rPr>
          <w:rFonts w:hint="eastAsia" w:ascii="宋体" w:hAnsi="宋体" w:eastAsia="宋体" w:cs="宋体"/>
          <w:sz w:val="24"/>
          <w:szCs w:val="24"/>
        </w:rPr>
        <w:t>乙方不得以任何借口降低工程质量标准，否则造成的经济损失由乙方承担。</w:t>
      </w:r>
    </w:p>
    <w:p w14:paraId="011150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交工验收</w:t>
      </w:r>
    </w:p>
    <w:p w14:paraId="077126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乙方按合同要求完成本合同所有工程内容</w:t>
      </w:r>
      <w:r>
        <w:rPr>
          <w:rFonts w:hint="eastAsia" w:ascii="宋体" w:hAnsi="宋体" w:eastAsia="宋体" w:cs="宋体"/>
          <w:sz w:val="24"/>
          <w:szCs w:val="24"/>
          <w:lang w:eastAsia="zh-CN"/>
        </w:rPr>
        <w:t>，</w:t>
      </w:r>
      <w:r>
        <w:rPr>
          <w:rFonts w:hint="eastAsia" w:ascii="宋体" w:hAnsi="宋体" w:eastAsia="宋体" w:cs="宋体"/>
          <w:sz w:val="24"/>
          <w:szCs w:val="24"/>
        </w:rPr>
        <w:t>自检验收合格且资料整理齐全后，方可申请验收交工，甲方及时组织工程验</w:t>
      </w:r>
      <w:r>
        <w:rPr>
          <w:rFonts w:hint="eastAsia" w:ascii="宋体" w:hAnsi="宋体" w:eastAsia="宋体" w:cs="宋体"/>
          <w:sz w:val="24"/>
          <w:szCs w:val="24"/>
          <w:lang w:eastAsia="zh-CN"/>
        </w:rPr>
        <w:t>收</w:t>
      </w:r>
      <w:r>
        <w:rPr>
          <w:rFonts w:hint="eastAsia" w:ascii="宋体" w:hAnsi="宋体" w:eastAsia="宋体" w:cs="宋体"/>
          <w:sz w:val="24"/>
          <w:szCs w:val="24"/>
        </w:rPr>
        <w:t>。章后生效。</w:t>
      </w:r>
    </w:p>
    <w:p w14:paraId="446E8AE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九、</w:t>
      </w:r>
      <w:r>
        <w:rPr>
          <w:rFonts w:hint="eastAsia" w:ascii="宋体" w:hAnsi="宋体" w:eastAsia="宋体" w:cs="宋体"/>
          <w:b/>
          <w:sz w:val="24"/>
          <w:szCs w:val="24"/>
        </w:rPr>
        <w:t xml:space="preserve">工程价款支付 </w:t>
      </w:r>
    </w:p>
    <w:p w14:paraId="4B89574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本工程不支付开工预付款和材料预付款，工程验收合格后，建设单位依据</w:t>
      </w:r>
      <w:r>
        <w:rPr>
          <w:rFonts w:hint="eastAsia" w:ascii="宋体" w:hAnsi="宋体" w:eastAsia="宋体" w:cs="宋体"/>
          <w:sz w:val="24"/>
          <w:szCs w:val="24"/>
          <w:lang w:eastAsia="zh-CN"/>
        </w:rPr>
        <w:t>乙方提供</w:t>
      </w:r>
      <w:r>
        <w:rPr>
          <w:rFonts w:hint="eastAsia" w:ascii="宋体" w:hAnsi="宋体" w:eastAsia="宋体" w:cs="宋体"/>
          <w:sz w:val="24"/>
          <w:szCs w:val="24"/>
        </w:rPr>
        <w:t>正式发票和工程结算单兑付工程款。</w:t>
      </w:r>
    </w:p>
    <w:p w14:paraId="02B56D6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十、</w:t>
      </w:r>
      <w:r>
        <w:rPr>
          <w:rFonts w:hint="eastAsia" w:ascii="宋体" w:hAnsi="宋体" w:eastAsia="宋体" w:cs="宋体"/>
          <w:b/>
          <w:sz w:val="24"/>
          <w:szCs w:val="24"/>
        </w:rPr>
        <w:t>其它</w:t>
      </w:r>
    </w:p>
    <w:p w14:paraId="477C29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本合同一式三份，甲乙双方各执一份，双方签字盖章后生效。</w:t>
      </w:r>
    </w:p>
    <w:p w14:paraId="7B7B52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p>
    <w:p w14:paraId="7A15F8E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甲方签章</w:t>
      </w:r>
      <w:r>
        <w:rPr>
          <w:rFonts w:hint="eastAsia" w:ascii="宋体" w:hAnsi="宋体" w:eastAsia="宋体" w:cs="宋体"/>
          <w:sz w:val="24"/>
          <w:szCs w:val="24"/>
          <w:lang w:eastAsia="zh-CN"/>
        </w:rPr>
        <w:t>：</w:t>
      </w:r>
      <w:r>
        <w:rPr>
          <w:rFonts w:hint="eastAsia" w:ascii="宋体" w:hAnsi="宋体" w:cs="宋体"/>
          <w:sz w:val="24"/>
          <w:szCs w:val="24"/>
          <w:lang w:val="en-US" w:eastAsia="zh-CN"/>
        </w:rPr>
        <w:t>旬阳市金寨镇人民政府</w:t>
      </w:r>
    </w:p>
    <w:p w14:paraId="7A01F5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甲方代表签字：</w:t>
      </w:r>
    </w:p>
    <w:p w14:paraId="0258CEB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p>
    <w:p w14:paraId="2AE7707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乙方签章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68E402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乙</w:t>
      </w:r>
      <w:r>
        <w:rPr>
          <w:rFonts w:hint="eastAsia" w:ascii="宋体" w:hAnsi="宋体" w:eastAsia="宋体" w:cs="宋体"/>
          <w:sz w:val="24"/>
          <w:szCs w:val="24"/>
        </w:rPr>
        <w:t>方代表签字：</w:t>
      </w:r>
    </w:p>
    <w:p w14:paraId="4EEC777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rPr>
      </w:pPr>
    </w:p>
    <w:p w14:paraId="50E8E6E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5CBE48CD"/>
    <w:p w14:paraId="3ECF6ADC">
      <w:pPr>
        <w:numPr>
          <w:ilvl w:val="0"/>
          <w:numId w:val="0"/>
        </w:numPr>
        <w:tabs>
          <w:tab w:val="right" w:pos="4860"/>
        </w:tabs>
        <w:adjustRightInd w:val="0"/>
        <w:snapToGrid w:val="0"/>
        <w:spacing w:line="520" w:lineRule="exact"/>
        <w:ind w:left="2730" w:leftChars="0" w:firstLine="0" w:firstLineChars="0"/>
        <w:jc w:val="both"/>
        <w:rPr>
          <w:rFonts w:hint="eastAsia" w:ascii="Calibri" w:hAnsi="Calibri" w:eastAsia="黑体" w:cs="Times New Roman"/>
          <w:b/>
          <w:color w:val="auto"/>
          <w:kern w:val="2"/>
          <w:sz w:val="32"/>
          <w:szCs w:val="32"/>
          <w:lang w:val="en-US" w:eastAsia="zh-CN" w:bidi="ar-SA"/>
        </w:rPr>
      </w:pPr>
    </w:p>
    <w:p w14:paraId="15BAF012">
      <w:pPr>
        <w:numPr>
          <w:ilvl w:val="0"/>
          <w:numId w:val="0"/>
        </w:numPr>
        <w:tabs>
          <w:tab w:val="right" w:pos="4860"/>
        </w:tabs>
        <w:adjustRightInd w:val="0"/>
        <w:snapToGrid w:val="0"/>
        <w:spacing w:line="520" w:lineRule="exact"/>
        <w:ind w:left="2730" w:leftChars="0" w:firstLine="0" w:firstLineChars="0"/>
        <w:jc w:val="both"/>
        <w:rPr>
          <w:rFonts w:hint="eastAsia" w:ascii="Calibri" w:hAnsi="Calibri" w:eastAsia="黑体" w:cs="Times New Roman"/>
          <w:b/>
          <w:color w:val="auto"/>
          <w:kern w:val="2"/>
          <w:sz w:val="32"/>
          <w:szCs w:val="32"/>
          <w:lang w:val="en-US" w:eastAsia="zh-CN" w:bidi="ar-SA"/>
        </w:rPr>
      </w:pPr>
    </w:p>
    <w:p w14:paraId="4CCA2566">
      <w:pPr>
        <w:numPr>
          <w:ilvl w:val="0"/>
          <w:numId w:val="0"/>
        </w:numPr>
        <w:tabs>
          <w:tab w:val="right" w:pos="4860"/>
        </w:tabs>
        <w:adjustRightInd w:val="0"/>
        <w:snapToGrid w:val="0"/>
        <w:spacing w:line="520" w:lineRule="exact"/>
        <w:ind w:left="2730" w:leftChars="0" w:firstLine="0" w:firstLineChars="0"/>
        <w:jc w:val="both"/>
        <w:rPr>
          <w:rFonts w:hint="eastAsia" w:ascii="Calibri" w:hAnsi="Calibri" w:eastAsia="黑体" w:cs="Times New Roman"/>
          <w:b/>
          <w:color w:val="auto"/>
          <w:kern w:val="2"/>
          <w:sz w:val="32"/>
          <w:szCs w:val="32"/>
          <w:lang w:val="en-US" w:eastAsia="zh-CN" w:bidi="ar-SA"/>
        </w:rPr>
      </w:pPr>
    </w:p>
    <w:p w14:paraId="29B47E75">
      <w:pPr>
        <w:numPr>
          <w:ilvl w:val="0"/>
          <w:numId w:val="0"/>
        </w:numPr>
        <w:tabs>
          <w:tab w:val="right" w:pos="4860"/>
        </w:tabs>
        <w:adjustRightInd w:val="0"/>
        <w:snapToGrid w:val="0"/>
        <w:spacing w:line="520" w:lineRule="exact"/>
        <w:ind w:left="2730" w:leftChars="0" w:firstLine="0" w:firstLineChars="0"/>
        <w:jc w:val="both"/>
        <w:rPr>
          <w:rFonts w:hint="eastAsia" w:ascii="Calibri" w:hAnsi="Calibri" w:eastAsia="黑体" w:cs="Times New Roman"/>
          <w:b/>
          <w:color w:val="auto"/>
          <w:kern w:val="2"/>
          <w:sz w:val="32"/>
          <w:szCs w:val="32"/>
          <w:lang w:val="en-US" w:eastAsia="zh-CN" w:bidi="ar-SA"/>
        </w:rPr>
      </w:pPr>
    </w:p>
    <w:p w14:paraId="57315BA0">
      <w:pPr>
        <w:numPr>
          <w:ilvl w:val="0"/>
          <w:numId w:val="0"/>
        </w:numPr>
        <w:tabs>
          <w:tab w:val="right" w:pos="4860"/>
        </w:tabs>
        <w:adjustRightInd w:val="0"/>
        <w:snapToGrid w:val="0"/>
        <w:spacing w:line="520" w:lineRule="exact"/>
        <w:jc w:val="both"/>
        <w:rPr>
          <w:rFonts w:hint="eastAsia" w:ascii="Calibri" w:hAnsi="Calibri" w:eastAsia="黑体" w:cs="Times New Roman"/>
          <w:b/>
          <w:color w:val="auto"/>
          <w:kern w:val="2"/>
          <w:sz w:val="32"/>
          <w:szCs w:val="32"/>
          <w:lang w:val="en-US" w:eastAsia="zh-CN" w:bidi="ar-SA"/>
        </w:rPr>
      </w:pPr>
    </w:p>
    <w:p w14:paraId="3A1F6ACC">
      <w:pPr>
        <w:numPr>
          <w:ilvl w:val="0"/>
          <w:numId w:val="0"/>
        </w:numPr>
        <w:tabs>
          <w:tab w:val="right" w:pos="4860"/>
        </w:tabs>
        <w:adjustRightInd w:val="0"/>
        <w:snapToGrid w:val="0"/>
        <w:spacing w:line="520" w:lineRule="exact"/>
        <w:ind w:left="2730" w:leftChars="0" w:firstLine="0" w:firstLineChars="0"/>
        <w:jc w:val="both"/>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SXTH202641</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13139C47">
      <w:pPr>
        <w:adjustRightInd w:val="0"/>
        <w:snapToGrid w:val="0"/>
        <w:spacing w:line="360" w:lineRule="auto"/>
        <w:jc w:val="center"/>
        <w:rPr>
          <w:rFonts w:hint="eastAsia" w:eastAsia="黑体"/>
          <w:b/>
          <w:color w:val="auto"/>
          <w:sz w:val="44"/>
          <w:szCs w:val="18"/>
        </w:rPr>
      </w:pPr>
      <w:r>
        <w:rPr>
          <w:rFonts w:hint="eastAsia" w:eastAsia="黑体"/>
          <w:b/>
          <w:color w:val="auto"/>
          <w:sz w:val="44"/>
          <w:szCs w:val="18"/>
          <w:lang w:val="en-US" w:eastAsia="zh-CN"/>
        </w:rPr>
        <w:t>金寨镇郭家湾烟草产业园产业路路基工程项目</w:t>
      </w:r>
    </w:p>
    <w:p w14:paraId="0DA8BC94">
      <w:pPr>
        <w:adjustRightInd w:val="0"/>
        <w:snapToGrid w:val="0"/>
        <w:spacing w:line="360" w:lineRule="auto"/>
        <w:jc w:val="center"/>
        <w:rPr>
          <w:rFonts w:eastAsia="黑体"/>
          <w:b/>
          <w:color w:val="auto"/>
          <w:sz w:val="48"/>
          <w:szCs w:val="20"/>
        </w:rPr>
      </w:pPr>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4482"/>
      <w:bookmarkStart w:id="2" w:name="_Toc2572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14090947"/>
      <w:bookmarkStart w:id="5" w:name="_Toc201637979"/>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14090948"/>
      <w:bookmarkStart w:id="7" w:name="_Toc201637980"/>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01637981"/>
      <w:bookmarkStart w:id="9" w:name="_Toc214090949"/>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14090950"/>
      <w:bookmarkStart w:id="11" w:name="_Toc201637982"/>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14090951"/>
            <w:bookmarkStart w:id="13" w:name="_Toc201637983"/>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01637985"/>
            <w:bookmarkStart w:id="15" w:name="_Toc214090953"/>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14090955"/>
            <w:bookmarkStart w:id="17" w:name="_Toc201637987"/>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14090957"/>
            <w:bookmarkStart w:id="19" w:name="_Toc201637989"/>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6801"/>
      <w:bookmarkStart w:id="21" w:name="_Toc20013"/>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27592"/>
      <w:bookmarkStart w:id="23" w:name="_Toc19418"/>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（2）法定代表人授权委托书、被授权人身份证（法定代表人参加投标时,只需提供法定代表人身份证）；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（3）供应商须具备相关主管部门核发的公路工程或市政公用工程施工总承包三级以上（含三级）资质和有效的安全生产许可证；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（6）税收缴纳证明：提供2025年</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（7）社会保障资金缴纳证明：提供2025年</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（8）具备履行合同所必须的设备和专业技术能力的书面声明；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（11）本项目不接受联合体投标；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旬阳市金寨镇人民政府、陕西途恒工程管理服务有限公司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旬阳市金寨镇人民政府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旬阳市金寨镇人民政府、陕西途恒工程管理服务有限公司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403077652"/>
      <w:bookmarkStart w:id="25" w:name="_Toc396304714"/>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7013"/>
      <w:bookmarkStart w:id="27" w:name="_Toc1803"/>
      <w:bookmarkStart w:id="28" w:name="_Toc168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7570"/>
      <w:bookmarkStart w:id="30" w:name="_Toc1191"/>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742"/>
      <w:bookmarkStart w:id="32" w:name="_Toc28285"/>
      <w:bookmarkStart w:id="33" w:name="_Toc10667"/>
      <w:r>
        <w:rPr>
          <w:rFonts w:hint="eastAsia" w:ascii="宋体" w:hAnsi="宋体" w:eastAsia="宋体" w:cs="Times New Roman"/>
          <w:b/>
          <w:color w:val="auto"/>
          <w:kern w:val="2"/>
          <w:sz w:val="32"/>
          <w:szCs w:val="24"/>
        </w:rPr>
        <w:br w:type="page"/>
      </w:r>
    </w:p>
    <w:p w14:paraId="3358A3AC">
      <w:pPr>
        <w:numPr>
          <w:ilvl w:val="0"/>
          <w:numId w:val="6"/>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24141"/>
      <w:bookmarkStart w:id="35" w:name="_Toc2630"/>
      <w:bookmarkStart w:id="36" w:name="_Toc8177"/>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59264"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59264;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0288;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C89BDE19"/>
    <w:multiLevelType w:val="singleLevel"/>
    <w:tmpl w:val="C89BDE19"/>
    <w:lvl w:ilvl="0" w:tentative="0">
      <w:start w:val="1"/>
      <w:numFmt w:val="decimal"/>
      <w:lvlText w:val="%1."/>
      <w:lvlJc w:val="left"/>
      <w:pPr>
        <w:tabs>
          <w:tab w:val="left" w:pos="312"/>
        </w:tabs>
      </w:pPr>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550632D2"/>
    <w:multiLevelType w:val="singleLevel"/>
    <w:tmpl w:val="550632D2"/>
    <w:lvl w:ilvl="0" w:tentative="0">
      <w:start w:val="1"/>
      <w:numFmt w:val="decimal"/>
      <w:suff w:val="nothing"/>
      <w:lvlText w:val="%1、"/>
      <w:lvlJc w:val="left"/>
      <w:rPr>
        <w:rFonts w:cs="Times New Roman"/>
      </w:rPr>
    </w:lvl>
  </w:abstractNum>
  <w:abstractNum w:abstractNumId="5">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55C5E"/>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564C49"/>
    <w:rsid w:val="1E9B268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2C5BFF"/>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14770C"/>
    <w:rsid w:val="24154ED3"/>
    <w:rsid w:val="241E2177"/>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814589"/>
    <w:rsid w:val="50A71924"/>
    <w:rsid w:val="50F32112"/>
    <w:rsid w:val="51060A7A"/>
    <w:rsid w:val="51141780"/>
    <w:rsid w:val="51160B0A"/>
    <w:rsid w:val="511A15F6"/>
    <w:rsid w:val="51204E13"/>
    <w:rsid w:val="5129106B"/>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8C5F06"/>
    <w:rsid w:val="5390329E"/>
    <w:rsid w:val="53937294"/>
    <w:rsid w:val="539D70F4"/>
    <w:rsid w:val="53B229AC"/>
    <w:rsid w:val="53BF657E"/>
    <w:rsid w:val="53C6188C"/>
    <w:rsid w:val="53CC7F03"/>
    <w:rsid w:val="53D24D89"/>
    <w:rsid w:val="53E24AD6"/>
    <w:rsid w:val="54135C94"/>
    <w:rsid w:val="5416092C"/>
    <w:rsid w:val="541A2B2A"/>
    <w:rsid w:val="54615366"/>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6198F"/>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8E7250"/>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21187</Words>
  <Characters>22124</Characters>
  <Lines>196</Lines>
  <Paragraphs>55</Paragraphs>
  <TotalTime>14</TotalTime>
  <ScaleCrop>false</ScaleCrop>
  <LinksUpToDate>false</LinksUpToDate>
  <CharactersWithSpaces>23660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阿立</cp:lastModifiedBy>
  <cp:lastPrinted>2026-02-03T00:21:00Z</cp:lastPrinted>
  <dcterms:modified xsi:type="dcterms:W3CDTF">2026-09-30T01:48:32Z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B4D1C3CB95864E9987CE157CFE683593_13</vt:lpwstr>
  </property>
  <property fmtid="{D5CDD505-2E9C-101B-9397-08002B2CF9AE}" pid="4" name="KSOTemplateDocerSaveRecord">
    <vt:lpwstr>eyJoZGlkIjoiYzFjMDY1Y2U2YjBhOWI2YWIxZjZkMDZlNmE0ZTVjM2IiLCJ1c2VySWQiOiI4NzYxODI2MDgifQ==</vt:lpwstr>
  </property>
</Properties>
</file>