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版本号：SXZCZB2026-ZCCS-043420260515002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国家服务贸易创新发展示范区创建项目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SXZCZB2026-ZCCS-0434</w:t>
      </w:r>
      <w:r>
        <w:br/>
      </w:r>
      <w:r>
        <w:br/>
      </w:r>
      <w:r>
        <w:br/>
      </w:r>
    </w:p>
    <w:p>
      <w:pPr>
        <w:pStyle w:val="null3"/>
        <w:jc w:val="center"/>
        <w:outlineLvl w:val="2"/>
      </w:pPr>
      <w:r>
        <w:rPr>
          <w:rFonts w:ascii="仿宋_GB2312" w:hAnsi="仿宋_GB2312" w:cs="仿宋_GB2312" w:eastAsia="仿宋_GB2312"/>
          <w:sz w:val="28"/>
          <w:b/>
        </w:rPr>
        <w:t>西安市商务局（本级）</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西安市商务局（本级）</w:t>
      </w:r>
      <w:r>
        <w:rPr>
          <w:rFonts w:ascii="仿宋_GB2312" w:hAnsi="仿宋_GB2312" w:cs="仿宋_GB2312" w:eastAsia="仿宋_GB2312"/>
        </w:rPr>
        <w:t>委托，拟对</w:t>
      </w:r>
      <w:r>
        <w:rPr>
          <w:rFonts w:ascii="仿宋_GB2312" w:hAnsi="仿宋_GB2312" w:cs="仿宋_GB2312" w:eastAsia="仿宋_GB2312"/>
        </w:rPr>
        <w:t>国家服务贸易创新发展示范区创建项目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SXZCZB2026-ZCCS-0434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国家服务贸易创新发展示范区创建项目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商务部办公厅关于开展国家货物贸易、服务贸易和数字贸易创新发展示范有关项目创建工作的通知，委托第三方专业机构，依据西安市全面深化服务贸易创新发展试点成效和《国家服务贸易创新发展示范区综合评价指标体系》，编制《西安市创建国家服务贸易创新发展示范区建设方案》，确保方案符合商务部模板规范与申报要求，推动西安国家服务贸易创新发展示范区创建工作顺利推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4、税收缴纳证明：提供磋商截止日前近一年内任意一个月的纳税证明或完税证明（任意税种），依法免税的单位应提供相关证明材料；</w:t>
      </w:r>
    </w:p>
    <w:p>
      <w:pPr>
        <w:pStyle w:val="null3"/>
      </w:pPr>
      <w:r>
        <w:rPr>
          <w:rFonts w:ascii="仿宋_GB2312" w:hAnsi="仿宋_GB2312" w:cs="仿宋_GB2312" w:eastAsia="仿宋_GB2312"/>
        </w:rPr>
        <w:t>5、社会保障资金缴纳证明：提供磋商截止日前近一年内任意一个月的社会保障资金缴存单据或社保机构开具的社会保险参保缴费情况证明，依法不需要缴纳社会保障资金的单位应提供相关证明材料；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7、无重大违法声明：参加政府采购活动前3年内，在经营活动中没有重大违法记录的书面声明；</w:t>
      </w:r>
    </w:p>
    <w:p>
      <w:pPr>
        <w:pStyle w:val="null3"/>
      </w:pPr>
      <w:r>
        <w:rPr>
          <w:rFonts w:ascii="仿宋_GB2312" w:hAnsi="仿宋_GB2312" w:cs="仿宋_GB2312" w:eastAsia="仿宋_GB2312"/>
        </w:rPr>
        <w:t>8、专业技术能力承诺：提供具有履行合同所必需的设备和专业技术能力的承诺函；</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10、非联合体磋商：本项目不接受联合体磋商（需提供承诺书）。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西安市商务局（本级）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艾道林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颁发的《招标代理服务收费管理暂行办法》（计价格[2002]1980号）和国家发展和改革委员会办公厅颁发的《关于招标代理服务收费有关问题的通知》（发改办价格[2003]857号）的有关规定执行收取，不足3300.00元的，按3300.00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西安市商务局（本级）</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西安市商务局（本级）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西安市商务局（本级）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商务部办公厅关于开展国家货物贸易、服务贸易和数字贸易创新发展示范有关项目创建工作的通知，委托第三方专业机构，依据西安市全面深化服务贸易创新发展试点成效和《国家服务贸易创新发展示范区综合评价指标体系》，编制《西安市创建国家服务贸易创新发展示范区建设方案》，确保方案符合商务部模板规范与申报要求，推动西安国家服务贸易创新发展示范区创建工作顺利推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国家服务贸易创新发展示范区创建项目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标的名称：国家服务贸易创新发展示范区创建项目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根据商务部办公厅关于开展国家货物贸易、服务贸易和数字贸易创新发展示范有关项目创建工作的通知，委托第三方专业机构，依据西安市全面深化服务贸易创新发展试点成效和《国家服务贸易创新发展示范区综合评价指标体系》，编制《西安市创建国家服务贸易创新发展示范区建设方案》，确保方案符合商务部模板规范与申报要求，推动西安国家服务贸易创新发展示范区创建工作顺利推进。</w:t>
            </w:r>
          </w:p>
          <w:p>
            <w:pPr>
              <w:pStyle w:val="null3"/>
              <w:ind w:firstLine="400"/>
              <w:jc w:val="both"/>
            </w:pPr>
            <w:r>
              <w:rPr>
                <w:rFonts w:ascii="仿宋_GB2312" w:hAnsi="仿宋_GB2312" w:cs="仿宋_GB2312" w:eastAsia="仿宋_GB2312"/>
                <w:sz w:val="20"/>
              </w:rPr>
              <w:t>二、服务内容</w:t>
            </w:r>
          </w:p>
          <w:p>
            <w:pPr>
              <w:pStyle w:val="null3"/>
              <w:ind w:firstLine="400"/>
              <w:jc w:val="both"/>
            </w:pPr>
            <w:r>
              <w:rPr>
                <w:rFonts w:ascii="仿宋_GB2312" w:hAnsi="仿宋_GB2312" w:cs="仿宋_GB2312" w:eastAsia="仿宋_GB2312"/>
                <w:sz w:val="20"/>
              </w:rPr>
              <w:t>（一）建设方案编制</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严格对标商务部2026年4月印发的《国家服务贸易创新发展示范区建设总体方案》及最新《建设工作方案模板》，立足西安服务贸易创新发展试点基础，兼顾合规性与先进性，全面覆盖发展基础与现状、存在问题、创建思路与目标、重点任务、重大改革事宜、组织保障六大核心内容，确保框架规范、内容完整，突出西安特色，打造具有引领性的示范方案。</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立足前瞻性谋划，明确示范区建设总体思路、阶段性目标和长远目标，紧扣探索产业链供应链集成创新、培育经营主体竞争优势（建立服务出口重点企业库）、促进生产要素高效供给、引领高水平对外开放、构建境内外促进体系五大重点任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科学制定兼具可行性与引领性的时间表、路线图，细化试点任务责任清单与实施路径，确保各项试点工作落地落细、有据可依，助力形成可复制可推广的“西安实践”。</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同步编制《政策与创新清单》《实施方案及工作举措》等配套附件，其中《政策与创新清单》需明确每条任务的上位文件支撑、政策来源、现实基础、政策障碍、预期成效，构建完整方案体系。</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全面对接《国家服务贸易创新发展示范区综合评价指标体系》，聚焦发展基础、建设成效、创新动能、辐射能力、机制建设五大维度，确保方案符合申报评价要求。</w:t>
            </w:r>
          </w:p>
          <w:p>
            <w:pPr>
              <w:pStyle w:val="null3"/>
              <w:ind w:firstLine="400"/>
              <w:jc w:val="both"/>
            </w:pPr>
            <w:r>
              <w:rPr>
                <w:rFonts w:ascii="仿宋_GB2312" w:hAnsi="仿宋_GB2312" w:cs="仿宋_GB2312" w:eastAsia="仿宋_GB2312"/>
                <w:sz w:val="20"/>
              </w:rPr>
              <w:t>（二）企业走访调研：</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覆盖数字贸易、技术贸易、文化贸易、中医药服务、地理信息服务、人力资源服务等重点领域；</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实地走访不少于20家代表性企业，组织专题座谈会，形成《西安市服务贸易创新发展调研报告》《服务贸易核心诉求汇总清单》。</w:t>
            </w:r>
          </w:p>
          <w:p>
            <w:pPr>
              <w:pStyle w:val="null3"/>
              <w:ind w:firstLine="400"/>
              <w:jc w:val="both"/>
            </w:pPr>
            <w:r>
              <w:rPr>
                <w:rFonts w:ascii="仿宋_GB2312" w:hAnsi="仿宋_GB2312" w:cs="仿宋_GB2312" w:eastAsia="仿宋_GB2312"/>
                <w:sz w:val="20"/>
              </w:rPr>
              <w:t>（三）多轮论证与优化完善</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组织专家评审会，邀请专业机构、高校智库、重点企业代表参与；</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围绕任务可行性、目标合理性、指标匹配度开展研讨优化，结合专家意见反复打磨调整，直至文稿内容精准、表述规范、贴合要求；</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最终成果符合党政机关公文格式与商务部申报文本规范。</w:t>
            </w:r>
          </w:p>
          <w:p>
            <w:pPr>
              <w:pStyle w:val="null3"/>
              <w:ind w:firstLine="400"/>
              <w:jc w:val="both"/>
            </w:pPr>
            <w:r>
              <w:rPr>
                <w:rFonts w:ascii="仿宋_GB2312" w:hAnsi="仿宋_GB2312" w:cs="仿宋_GB2312" w:eastAsia="仿宋_GB2312"/>
                <w:sz w:val="20"/>
              </w:rPr>
              <w:t>（四）部委对接</w:t>
            </w:r>
          </w:p>
          <w:p>
            <w:pPr>
              <w:pStyle w:val="null3"/>
              <w:ind w:firstLine="400"/>
              <w:jc w:val="both"/>
            </w:pPr>
            <w:r>
              <w:rPr>
                <w:rFonts w:ascii="仿宋_GB2312" w:hAnsi="仿宋_GB2312" w:cs="仿宋_GB2312" w:eastAsia="仿宋_GB2312"/>
                <w:sz w:val="20"/>
              </w:rPr>
              <w:t>协助市商务局完成申报汇报、资料报送和相关沟通对接工作。</w:t>
            </w:r>
          </w:p>
          <w:p>
            <w:pPr>
              <w:pStyle w:val="null3"/>
              <w:ind w:firstLine="400"/>
              <w:jc w:val="both"/>
            </w:pPr>
            <w:r>
              <w:rPr>
                <w:rFonts w:ascii="仿宋_GB2312" w:hAnsi="仿宋_GB2312" w:cs="仿宋_GB2312" w:eastAsia="仿宋_GB2312"/>
                <w:sz w:val="20"/>
              </w:rPr>
              <w:t>三、技术要求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严格遵循商务部创建通知、综合评价指标体系、方案模板三大核心依据；</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所有数据、政策、案例真实有效，注明来源与统计口径，严禁虚构估算；</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示范区任务明确责任单位、实施路径、预期成效、风险评估，可考核、可落地；</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全面覆盖17 项综合评价指标，定量指标精准核算，定性指标详实规范。</w:t>
            </w:r>
          </w:p>
          <w:p>
            <w:pPr>
              <w:pStyle w:val="null3"/>
              <w:ind w:firstLine="400"/>
              <w:jc w:val="both"/>
            </w:pPr>
            <w:r>
              <w:rPr>
                <w:rFonts w:ascii="仿宋_GB2312" w:hAnsi="仿宋_GB2312" w:cs="仿宋_GB2312" w:eastAsia="仿宋_GB2312"/>
                <w:sz w:val="20"/>
              </w:rPr>
              <w:t>四、服务要求</w:t>
            </w:r>
          </w:p>
          <w:p>
            <w:pPr>
              <w:pStyle w:val="null3"/>
              <w:ind w:firstLine="400"/>
              <w:jc w:val="both"/>
            </w:pPr>
            <w:r>
              <w:rPr>
                <w:rFonts w:ascii="仿宋_GB2312" w:hAnsi="仿宋_GB2312" w:cs="仿宋_GB2312" w:eastAsia="仿宋_GB2312"/>
                <w:sz w:val="20"/>
              </w:rPr>
              <w:t>（一）团队配置：项目负责人须具有副高以上职称或5年以上国家级政策研究经验，团队中至少1人参与过国家部委级规划编制；</w:t>
            </w:r>
          </w:p>
          <w:p>
            <w:pPr>
              <w:pStyle w:val="null3"/>
              <w:ind w:firstLine="400"/>
              <w:jc w:val="both"/>
            </w:pPr>
            <w:r>
              <w:rPr>
                <w:rFonts w:ascii="仿宋_GB2312" w:hAnsi="仿宋_GB2312" w:cs="仿宋_GB2312" w:eastAsia="仿宋_GB2312"/>
                <w:sz w:val="20"/>
              </w:rPr>
              <w:t>（二）成果形式：</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主要成果：《西安国家服务贸易创新示范区建设方案》：全面阐述西安示范区建设的战略定位、发展目标、重点任务、重大改革举措及组织保障，是申报与后续建设的纲领性文件。</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附件成果：《政策与创新清单》：对方案中涉及的试点任务进行逐项拆解，明确每条任务的“上位文件支撑、政策来源、现实基础、政策障碍、政策诉求、预期成效”六大要素，形成清晰的政策改革诉求与突破路径清单；《西安国家服务贸易创新示范区建设实施方案及工作举措（获批后细化稿）》：在示范区获批后，将建设方案中的重点任务转化为具体项目，明确各项任务的责任单位、时间节点、推进路径与考核指标，确保建设工作有序推进。</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调研成果：《西安市服务贸易创新发展调研报告》；</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汇报材料：《建设方案汇报PPT》：用于向国家部委及市级领导汇报的方案精华版演示文稿，重点突出、逻辑清晰、视觉呈现专业；</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其他成果：《相关政策法规汇编》：系统梳理国家及地方层面与服务贸易、数字经济、对外开放相关的数百项政策法规，为方案编制提供坚实的法规依据。</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交付：纸质版5套，PDF、Word 电子版各1 套。</w:t>
            </w:r>
          </w:p>
          <w:p>
            <w:pPr>
              <w:pStyle w:val="null3"/>
              <w:ind w:firstLine="400"/>
            </w:pPr>
            <w:r>
              <w:rPr>
                <w:rFonts w:ascii="仿宋_GB2312" w:hAnsi="仿宋_GB2312" w:cs="仿宋_GB2312" w:eastAsia="仿宋_GB2312"/>
                <w:sz w:val="20"/>
              </w:rPr>
              <w:t>五、商务要求</w:t>
            </w:r>
          </w:p>
          <w:p>
            <w:pPr>
              <w:pStyle w:val="null3"/>
              <w:ind w:firstLine="400"/>
            </w:pPr>
            <w:r>
              <w:rPr>
                <w:rFonts w:ascii="仿宋_GB2312" w:hAnsi="仿宋_GB2312" w:cs="仿宋_GB2312" w:eastAsia="仿宋_GB2312"/>
                <w:sz w:val="20"/>
              </w:rPr>
              <w:t>（一）服务期限</w:t>
            </w:r>
          </w:p>
          <w:p>
            <w:pPr>
              <w:pStyle w:val="null3"/>
              <w:ind w:firstLine="400"/>
            </w:pPr>
            <w:r>
              <w:rPr>
                <w:rFonts w:ascii="仿宋_GB2312" w:hAnsi="仿宋_GB2312" w:cs="仿宋_GB2312" w:eastAsia="仿宋_GB2312"/>
                <w:sz w:val="20"/>
              </w:rPr>
              <w:t>自合同签订之日起至2027年6月30日止。</w:t>
            </w:r>
          </w:p>
          <w:p>
            <w:pPr>
              <w:pStyle w:val="null3"/>
              <w:ind w:firstLine="400"/>
            </w:pPr>
            <w:r>
              <w:rPr>
                <w:rFonts w:ascii="仿宋_GB2312" w:hAnsi="仿宋_GB2312" w:cs="仿宋_GB2312" w:eastAsia="仿宋_GB2312"/>
                <w:sz w:val="20"/>
              </w:rPr>
              <w:t>（二）款项结算</w:t>
            </w:r>
          </w:p>
          <w:p>
            <w:pPr>
              <w:pStyle w:val="null3"/>
              <w:ind w:firstLine="400"/>
            </w:pPr>
            <w:r>
              <w:rPr>
                <w:rFonts w:ascii="仿宋_GB2312" w:hAnsi="仿宋_GB2312" w:cs="仿宋_GB2312" w:eastAsia="仿宋_GB2312"/>
                <w:sz w:val="20"/>
              </w:rPr>
              <w:t>付款方式1：合同签订后，达到付款条件起30日内，支付合同总金额的50.00%；根据工作开展情况，在2026年12月支付合同总价款的45%；</w:t>
            </w:r>
            <w:r>
              <w:rPr>
                <w:rFonts w:ascii="仿宋_GB2312" w:hAnsi="仿宋_GB2312" w:cs="仿宋_GB2312" w:eastAsia="仿宋_GB2312"/>
                <w:sz w:val="20"/>
              </w:rPr>
              <w:t>验收合格后，达到付款条件起30日内，支付合同总金额的5.00%；</w:t>
            </w:r>
          </w:p>
          <w:p>
            <w:pPr>
              <w:pStyle w:val="null3"/>
              <w:ind w:firstLine="400"/>
            </w:pPr>
            <w:r>
              <w:rPr>
                <w:rFonts w:ascii="仿宋_GB2312" w:hAnsi="仿宋_GB2312" w:cs="仿宋_GB2312" w:eastAsia="仿宋_GB2312"/>
                <w:sz w:val="20"/>
              </w:rPr>
              <w:t>六、其他</w:t>
            </w:r>
          </w:p>
          <w:p>
            <w:pPr>
              <w:pStyle w:val="null3"/>
              <w:ind w:firstLine="400"/>
            </w:pPr>
            <w:r>
              <w:rPr>
                <w:rFonts w:ascii="仿宋_GB2312" w:hAnsi="仿宋_GB2312" w:cs="仿宋_GB2312" w:eastAsia="仿宋_GB2312"/>
                <w:sz w:val="20"/>
              </w:rPr>
              <w:t>（一）进度要求</w:t>
            </w:r>
          </w:p>
          <w:p>
            <w:pPr>
              <w:pStyle w:val="null3"/>
              <w:ind w:firstLine="400"/>
            </w:pPr>
            <w:r>
              <w:rPr>
                <w:rFonts w:ascii="仿宋_GB2312" w:hAnsi="仿宋_GB2312" w:cs="仿宋_GB2312" w:eastAsia="仿宋_GB2312"/>
                <w:sz w:val="20"/>
              </w:rPr>
              <w:t>2026</w:t>
            </w:r>
            <w:r>
              <w:rPr>
                <w:rFonts w:ascii="仿宋_GB2312" w:hAnsi="仿宋_GB2312" w:cs="仿宋_GB2312" w:eastAsia="仿宋_GB2312"/>
                <w:sz w:val="20"/>
              </w:rPr>
              <w:t>年5月30日前：完成国家服务贸易创新发展示范区创建工作方案，报商务部；</w:t>
            </w:r>
          </w:p>
          <w:p>
            <w:pPr>
              <w:pStyle w:val="null3"/>
              <w:ind w:firstLine="400"/>
            </w:pPr>
            <w:r>
              <w:rPr>
                <w:rFonts w:ascii="仿宋_GB2312" w:hAnsi="仿宋_GB2312" w:cs="仿宋_GB2312" w:eastAsia="仿宋_GB2312"/>
                <w:sz w:val="20"/>
              </w:rPr>
              <w:t>2026</w:t>
            </w:r>
            <w:r>
              <w:rPr>
                <w:rFonts w:ascii="仿宋_GB2312" w:hAnsi="仿宋_GB2312" w:cs="仿宋_GB2312" w:eastAsia="仿宋_GB2312"/>
                <w:sz w:val="20"/>
              </w:rPr>
              <w:t>年10月30日前：根据商务部通知时间要求，完成方案审核反馈意见整改，推进企业走访调研、对标分析等后续配套工作。</w:t>
            </w:r>
          </w:p>
          <w:p>
            <w:pPr>
              <w:pStyle w:val="null3"/>
              <w:ind w:firstLine="400"/>
            </w:pPr>
            <w:r>
              <w:rPr>
                <w:rFonts w:ascii="仿宋_GB2312" w:hAnsi="仿宋_GB2312" w:cs="仿宋_GB2312" w:eastAsia="仿宋_GB2312"/>
                <w:sz w:val="20"/>
              </w:rPr>
              <w:t>2027</w:t>
            </w:r>
            <w:r>
              <w:rPr>
                <w:rFonts w:ascii="仿宋_GB2312" w:hAnsi="仿宋_GB2312" w:cs="仿宋_GB2312" w:eastAsia="仿宋_GB2312"/>
                <w:sz w:val="20"/>
              </w:rPr>
              <w:t>年6月30日前：完成示范区建设重点任务落地实施情况自检评估工作</w:t>
            </w:r>
          </w:p>
          <w:p>
            <w:pPr>
              <w:pStyle w:val="null3"/>
              <w:ind w:firstLine="400"/>
            </w:pPr>
            <w:r>
              <w:rPr>
                <w:rFonts w:ascii="仿宋_GB2312" w:hAnsi="仿宋_GB2312" w:cs="仿宋_GB2312" w:eastAsia="仿宋_GB2312"/>
                <w:sz w:val="20"/>
              </w:rPr>
              <w:t>（二）成果交付要求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成果完全符合商务部创建要求、指标体系、方案模板；</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通过专家论证、部门审核，满足申报备案条件；</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数据真实、逻辑严谨、体例规范、任务可落地、目标可考核。</w:t>
            </w:r>
          </w:p>
          <w:p>
            <w:pPr>
              <w:pStyle w:val="null3"/>
              <w:ind w:firstLine="400"/>
            </w:pPr>
            <w:r>
              <w:rPr>
                <w:rFonts w:ascii="仿宋_GB2312" w:hAnsi="仿宋_GB2312" w:cs="仿宋_GB2312" w:eastAsia="仿宋_GB2312"/>
                <w:sz w:val="20"/>
              </w:rPr>
              <w:t>（三）质量验收标准或规范</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、服务期满后按照成交供应商所提供的资料及数据进行验收；</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、最终验收：自合同签订之日起至完成全部项目内容，需按照采购人确定的时间完成交付并验收合格，验收合格后，填写验收单。</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、验收和评价方式</w:t>
            </w:r>
          </w:p>
          <w:p>
            <w:pPr>
              <w:pStyle w:val="null3"/>
              <w:ind w:firstLine="400"/>
            </w:pPr>
            <w:r>
              <w:rPr>
                <w:rFonts w:ascii="仿宋_GB2312" w:hAnsi="仿宋_GB2312" w:cs="仿宋_GB2312" w:eastAsia="仿宋_GB2312"/>
                <w:sz w:val="20"/>
              </w:rPr>
              <w:t xml:space="preserve">3.1  </w:t>
            </w:r>
            <w:r>
              <w:rPr>
                <w:rFonts w:ascii="仿宋_GB2312" w:hAnsi="仿宋_GB2312" w:cs="仿宋_GB2312" w:eastAsia="仿宋_GB2312"/>
                <w:sz w:val="20"/>
              </w:rPr>
              <w:t>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pPr>
              <w:pStyle w:val="null3"/>
              <w:ind w:firstLine="400"/>
            </w:pPr>
            <w:r>
              <w:rPr>
                <w:rFonts w:ascii="仿宋_GB2312" w:hAnsi="仿宋_GB2312" w:cs="仿宋_GB2312" w:eastAsia="仿宋_GB2312"/>
                <w:sz w:val="20"/>
              </w:rPr>
              <w:t xml:space="preserve">3.2  </w:t>
            </w:r>
            <w:r>
              <w:rPr>
                <w:rFonts w:ascii="仿宋_GB2312" w:hAnsi="仿宋_GB2312" w:cs="仿宋_GB2312" w:eastAsia="仿宋_GB2312"/>
                <w:sz w:val="20"/>
              </w:rPr>
              <w:t>若发现乙方有弄虚作假的，及在项目实施阶段故意或随意夸大服务，本项目合同解除，乙方赔偿甲方相应的损失。</w:t>
            </w:r>
          </w:p>
          <w:p>
            <w:pPr>
              <w:pStyle w:val="null3"/>
              <w:ind w:firstLine="400"/>
            </w:pPr>
            <w:r>
              <w:rPr>
                <w:rFonts w:ascii="仿宋_GB2312" w:hAnsi="仿宋_GB2312" w:cs="仿宋_GB2312" w:eastAsia="仿宋_GB2312"/>
                <w:sz w:val="20"/>
              </w:rPr>
              <w:t xml:space="preserve">3.3  </w:t>
            </w:r>
            <w:r>
              <w:rPr>
                <w:rFonts w:ascii="仿宋_GB2312" w:hAnsi="仿宋_GB2312" w:cs="仿宋_GB2312" w:eastAsia="仿宋_GB2312"/>
                <w:sz w:val="20"/>
              </w:rPr>
              <w:t>验收标准：按磋商文件、磋商响应文件等服务指标进行逐项验收，各项指标均应符合验收标准及要求。</w:t>
            </w:r>
          </w:p>
          <w:p>
            <w:pPr>
              <w:pStyle w:val="null3"/>
              <w:ind w:firstLine="400"/>
            </w:pPr>
            <w:r>
              <w:rPr>
                <w:rFonts w:ascii="仿宋_GB2312" w:hAnsi="仿宋_GB2312" w:cs="仿宋_GB2312" w:eastAsia="仿宋_GB2312"/>
                <w:sz w:val="20"/>
              </w:rPr>
              <w:t xml:space="preserve">3.4  </w:t>
            </w:r>
            <w:r>
              <w:rPr>
                <w:rFonts w:ascii="仿宋_GB2312" w:hAnsi="仿宋_GB2312" w:cs="仿宋_GB2312" w:eastAsia="仿宋_GB2312"/>
                <w:sz w:val="20"/>
              </w:rPr>
              <w:t>验收合格后，填写验收单，双方盖章、签字生效。</w:t>
            </w:r>
          </w:p>
          <w:p>
            <w:pPr>
              <w:pStyle w:val="null3"/>
              <w:ind w:firstLine="400"/>
            </w:pPr>
            <w:r>
              <w:rPr>
                <w:rFonts w:ascii="仿宋_GB2312" w:hAnsi="仿宋_GB2312" w:cs="仿宋_GB2312" w:eastAsia="仿宋_GB2312"/>
                <w:sz w:val="20"/>
              </w:rPr>
              <w:t xml:space="preserve">3.5  </w:t>
            </w:r>
            <w:r>
              <w:rPr>
                <w:rFonts w:ascii="仿宋_GB2312" w:hAnsi="仿宋_GB2312" w:cs="仿宋_GB2312" w:eastAsia="仿宋_GB2312"/>
                <w:sz w:val="20"/>
              </w:rPr>
              <w:t>验收依据</w:t>
            </w:r>
          </w:p>
          <w:p>
            <w:pPr>
              <w:pStyle w:val="null3"/>
              <w:ind w:firstLine="400"/>
            </w:pPr>
            <w:r>
              <w:rPr>
                <w:rFonts w:ascii="仿宋_GB2312" w:hAnsi="仿宋_GB2312" w:cs="仿宋_GB2312" w:eastAsia="仿宋_GB2312"/>
                <w:sz w:val="20"/>
              </w:rPr>
              <w:t xml:space="preserve">3.5.1  </w:t>
            </w:r>
            <w:r>
              <w:rPr>
                <w:rFonts w:ascii="仿宋_GB2312" w:hAnsi="仿宋_GB2312" w:cs="仿宋_GB2312" w:eastAsia="仿宋_GB2312"/>
                <w:sz w:val="20"/>
              </w:rPr>
              <w:t>合同文本。</w:t>
            </w:r>
          </w:p>
          <w:p>
            <w:pPr>
              <w:pStyle w:val="null3"/>
              <w:ind w:firstLine="400"/>
            </w:pPr>
            <w:r>
              <w:rPr>
                <w:rFonts w:ascii="仿宋_GB2312" w:hAnsi="仿宋_GB2312" w:cs="仿宋_GB2312" w:eastAsia="仿宋_GB2312"/>
                <w:sz w:val="20"/>
              </w:rPr>
              <w:t xml:space="preserve">3.5.2  </w:t>
            </w:r>
            <w:r>
              <w:rPr>
                <w:rFonts w:ascii="仿宋_GB2312" w:hAnsi="仿宋_GB2312" w:cs="仿宋_GB2312" w:eastAsia="仿宋_GB2312"/>
                <w:sz w:val="20"/>
              </w:rPr>
              <w:t>磋商响应文件、磋商文件、澄清函。</w:t>
            </w:r>
          </w:p>
          <w:p>
            <w:pPr>
              <w:pStyle w:val="null3"/>
              <w:ind w:firstLine="400"/>
            </w:pPr>
            <w:r>
              <w:rPr>
                <w:rFonts w:ascii="仿宋_GB2312" w:hAnsi="仿宋_GB2312" w:cs="仿宋_GB2312" w:eastAsia="仿宋_GB2312"/>
                <w:sz w:val="20"/>
              </w:rPr>
              <w:t xml:space="preserve">3.5.3  </w:t>
            </w:r>
            <w:r>
              <w:rPr>
                <w:rFonts w:ascii="仿宋_GB2312" w:hAnsi="仿宋_GB2312" w:cs="仿宋_GB2312" w:eastAsia="仿宋_GB2312"/>
                <w:sz w:val="20"/>
              </w:rPr>
              <w:t>国家和行业制定的相应的标准和规范。</w:t>
            </w:r>
          </w:p>
          <w:p>
            <w:pPr>
              <w:pStyle w:val="null3"/>
              <w:ind w:firstLine="400"/>
            </w:pPr>
            <w:r>
              <w:rPr>
                <w:rFonts w:ascii="仿宋_GB2312" w:hAnsi="仿宋_GB2312" w:cs="仿宋_GB2312" w:eastAsia="仿宋_GB2312"/>
                <w:sz w:val="20"/>
              </w:rPr>
              <w:t>（四）违约责任</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、按《中华人民共和国民法典》中的相关条款执行。</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、因为不可抗力因素造成无法按照原计划提供服务，双方互不追究违约责任，供应商如未按照采购要求完成服务内容，除应赔偿采购人所受全部损失以外，还应承担本合同总额20%的违约金。</w:t>
            </w:r>
          </w:p>
          <w:p>
            <w:pPr>
              <w:pStyle w:val="null3"/>
              <w:ind w:firstLine="400"/>
              <w:jc w:val="both"/>
            </w:pPr>
            <w:r>
              <w:rPr>
                <w:rFonts w:ascii="仿宋_GB2312" w:hAnsi="仿宋_GB2312" w:cs="仿宋_GB2312" w:eastAsia="仿宋_GB2312"/>
                <w:sz w:val="21"/>
              </w:rPr>
              <w:t>4</w:t>
            </w:r>
            <w:r>
              <w:rPr>
                <w:rFonts w:ascii="仿宋_GB2312" w:hAnsi="仿宋_GB2312" w:cs="仿宋_GB2312" w:eastAsia="仿宋_GB2312"/>
                <w:sz w:val="21"/>
              </w:rPr>
              <w:t>、如有异议另行协商。</w:t>
            </w:r>
          </w:p>
          <w:p>
            <w:pPr>
              <w:pStyle w:val="null3"/>
              <w:ind w:firstLine="40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自合同签订之日起至2027年6月30日止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1、服务期满后按照成交供应商所提供的资料及数据进行验收； 2、最终验收：自合同签订之日起至完成全部项目内容，需按照采购人确定的时间完成交付并验收合格，验收合格后，填写验收单。 3、验收和评价方式 3.1 乙方提供的服务最终验收达不到磋商文件要求和磋商响应文件承诺及国家或行业标准，或在使用中发现甲方不能容忍的缺陷等，将视为验收不合格，乙方应在甲方要求的时间内无条件完善或要求赔付采购人损失。 3.2 若发现乙方有弄虚作假的，及在项目实施阶段故意或随意夸大服务，本项目合同解除，乙方赔偿甲方相应的损失。 3.3 验收标准：按磋商文件、磋商响应文件等服务指标进行逐项验收，各项指标均应符合验收标准及要求。 3.4 验收合格后，填写验收单，双方盖章、签字生效。 3.5 验收依据 3.5.1 合同文本。 3.5.2 磋商响应文件、磋商文件、澄清函。 3.5.3 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根据工作开展情况，在2026年12月</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3、因为不可抗力因素造成无法按照原计划提供服务，双方互不追究违约责任，供应商如未按照采购要求完成服务内容，除应赔偿采购人所受全部损失以外，还应承担本合同总额20%的违约金。</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详见采购需求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1特定资格证明文件.docx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2024年度和2025年度）任意一个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出现下列情形之一的，评审委员会应当启动异常低价投标（响应）审查程序：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磋商有效期是否符合竞争性磋商文件要求；是否满足本次磋商的特殊要求；磋商方案是否有重大缺漏项；磋商商务响应条款是否有重大偏离；</w:t>
            </w:r>
          </w:p>
        </w:tc>
        <w:tc>
          <w:tcPr>
            <w:tcW w:type="dxa" w:w="1661"/>
          </w:tcPr>
          <w:p>
            <w:pPr>
              <w:pStyle w:val="null3"/>
            </w:pPr>
            <w:r>
              <w:rPr>
                <w:rFonts w:ascii="仿宋_GB2312" w:hAnsi="仿宋_GB2312" w:cs="仿宋_GB2312" w:eastAsia="仿宋_GB2312"/>
              </w:rPr>
              <w:t>响应文件封面 中小企业声明函 残疾人福利性单位声明函 2陕西省政府采购供应商拒绝政府采购领域商业贿赂承诺书.docx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详细评审88.00分</w:t>
            </w:r>
          </w:p>
          <w:p>
            <w:pPr>
              <w:pStyle w:val="null3"/>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根据项目实际需求，供应商针对本项目提供项目实施方案，内容包含： ①建设方案编制； ②企业走访调研； ③对标分析研究； ④论证优化。 ⑤部委对接与评估验收； 二、评审标准 1、完整性：方案必须全面，对评审内容中的各项要求有详细描述； 2、可实施性：切合本项目实际情况，提出步骤清晰、合理的方案； 3、针对性：方案能够紧扣项目实际情况，内容科学合理。 三、赋分依据（满分15分） ①建设方案编制：每完全满足一个评审标准得1分，满分3分； ②企业走访调研：每完全满足一个评审标准得1分，满分3分； ③对标分析研究：每完全满足一个评审标准得1分，满分3分； ④论证优化：每完全满足一个评审标准得1分，满分3分； ⑤部委对接与评估验收：每完全满足一个评审标准得1分，满分3分；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项目人员配置情况</w:t>
            </w:r>
          </w:p>
        </w:tc>
        <w:tc>
          <w:tcPr>
            <w:tcW w:type="dxa" w:w="2492"/>
          </w:tcPr>
          <w:p>
            <w:pPr>
              <w:pStyle w:val="null3"/>
            </w:pPr>
            <w:r>
              <w:rPr>
                <w:rFonts w:ascii="仿宋_GB2312" w:hAnsi="仿宋_GB2312" w:cs="仿宋_GB2312" w:eastAsia="仿宋_GB2312"/>
              </w:rPr>
              <w:t>一、评审内容 根据项目实际需求，供应商针对本项目提供项目人员配置情况，内容包含： ①项目团队整体配置； ②团队人员管理制度； ③团队人员考核机制。 二、评审标准 1、完整性：方案必须全面，对评审内容中的各项要求有详细描述； 2、可实施性：切合本项目实际情况，提出步骤清晰、合理的方案； 3、针对性：方案能够紧扣项目实际情况，内容科学合理。 三、赋分依据（满分9分） ①项目团队整体配置：每完全满足一个评审标准得1分，满分3分； ②团队人员管理制度：每完全满足一个评审标准得1分，满分3分； ③团队人员考核机制：每完全满足一个评审标准得1分，满分3分；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一、评审内容 根据项目实际需求，供应商针对本项目提供进度计划方案，内容包含： ①关键节点控制； ②阶段任务分解； ③时间保障措施； ④风险应急调整。 二、评审标准 1.完整性：方案必须全面，对评审内容中的各项要求有详细描述； 2.可实施性：切合本项目实际情况，提出步骤清晰、合理的方案； 3.针对性：方案能够紧扣项目实际情况，内容科学合理。 三、赋分依据（满分12分） ①关键节点控制：每完全满足一个评审标准得1分，满分3分； ②阶段任务分解：每完全满足一个评审标准得1分，满分3分； ③时间保障措施：每完全满足一个评审标准得1分，满分3分； ④风险应急调整：每完全满足一个评审标准得1分，满分3分。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根据项目实际需求，供应商针对本项目提供质量保证方案，内容包含： ①成果质量标准； ②数据审核机制； ③专家论证流程； ④合规性审查措施。 二、评审标准 1.完整性：方案必须全面，对评审内容中的各项要求有详细描述； 2.可实施性：切合本项目实际情况，提出步骤清晰、合理的方案； 3.针对性：方案能够紧扣项目实际情况，内容科学合理。 三、赋分依据（满分12分） ①成果质量标准：每完全满足一个评审标准得1分，满分3分； ②数据审核机制：每完全满足一个评审标准得1分，满分3分； ③专家论证流程：每完全满足一个评审标准得1分，满分3分； ④合规性审查措施：每完全满足一个评审标准得1分，满分3分。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 根据项目实际需求，供应商针对本项目提供管理措施方案，内容包含： ①组织管理； ②沟通协调； ③过程管控； ④档案管理。 二、评审标准 1、完整性：切合本项目实际情况，方案内容齐全，对招标文件中 各项要求有详细描述； 2、可实施性：切合本项目实际情况，提出步骤清晰、合理的方案。 3、针对性：方案能够紧扣项目实际情况，内容科学合理。 三、赋分标准（满分12分） ①组织管理：每完全满足一个评审标准得1分，满分3分； ②沟通协调：每完全满足一个评审标准得1分，满分3分； ③过程管控：每完全满足一个评审标准得1分，满分3分； ④档案管理：每完全满足一个评审标准得1分，满分3分；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根据项目实际需求，供应商针对本项目提供售后服务方案，内容包含： ①后期咨询指导； ②材料修改完善； ③评估验收配合； ④长效技术支持。 二、评审标准 1、完整性：切合本项目实际情况，方案内容齐全，对招标文件中 各项要求有详细描述； 2、可实施性：切合本项目实际情况，提出步骤清晰、合理的方案。 3、针对性：方案能够紧扣项目实际情况，内容科学合理。 三、赋分标准（满分12分） ①后期咨询指导：每完全满足一个评审标准得1分，满分3分； ②材料修改完善：每完全满足一个评审标准得1分，满分3分； ③评估验收配合：每完全满足一个评审标准得1分，满分3分； ④长效技术支持：每完全满足一个评审标准得1分，满分3分。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根据项目实际需求，供应商针对本项目提供合理化建议，内容包含： ①创建申报优化； ②政策创新建议； ③落地实施建议； ④长效运营建议。 二、赋分标准 供应商每提供以上内容1条合理化建议得0-2分，满分8分。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供应商提2023年4月至今的类似项目业绩，每提供一份得2分，最多得8分。注：提供合同复印件。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满足磋商文件要求且最后报价最低的供应商的价格为磋商基准价得12分，其他各供应商的最后磋商报价得分按下列公式计算：（磋商基准价/最后磋商报价）×12%×100。</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