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版本号：南采NC【2026】14号20260729002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南郑区大河坎中学学生宿舍空调采购项目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南采NC【2026】14号</w:t>
      </w:r>
      <w:r>
        <w:br/>
      </w:r>
      <w:r>
        <w:br/>
      </w:r>
      <w:r>
        <w:br/>
      </w:r>
    </w:p>
    <w:p>
      <w:pPr>
        <w:pStyle w:val="null3"/>
        <w:jc w:val="center"/>
        <w:outlineLvl w:val="2"/>
      </w:pPr>
      <w:r>
        <w:rPr>
          <w:rFonts w:ascii="仿宋_GB2312" w:hAnsi="仿宋_GB2312" w:cs="仿宋_GB2312" w:eastAsia="仿宋_GB2312"/>
          <w:sz w:val="28"/>
          <w:b/>
        </w:rPr>
        <w:t>汉中市南郑区大河坎中学</w:t>
      </w:r>
    </w:p>
    <w:p>
      <w:pPr>
        <w:pStyle w:val="null3"/>
        <w:jc w:val="center"/>
        <w:outlineLvl w:val="2"/>
      </w:pPr>
      <w:r>
        <w:rPr>
          <w:rFonts w:ascii="仿宋_GB2312" w:hAnsi="仿宋_GB2312" w:cs="仿宋_GB2312" w:eastAsia="仿宋_GB2312"/>
          <w:sz w:val="28"/>
          <w:b/>
        </w:rPr>
        <w:t>南郑区政府采购中心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南郑区政府采购中心</w:t>
      </w:r>
      <w:r>
        <w:rPr>
          <w:rFonts w:ascii="仿宋_GB2312" w:hAnsi="仿宋_GB2312" w:cs="仿宋_GB2312" w:eastAsia="仿宋_GB2312"/>
        </w:rPr>
        <w:t>（以下简称“代理机构”）受</w:t>
      </w:r>
      <w:r>
        <w:rPr>
          <w:rFonts w:ascii="仿宋_GB2312" w:hAnsi="仿宋_GB2312" w:cs="仿宋_GB2312" w:eastAsia="仿宋_GB2312"/>
        </w:rPr>
        <w:t>汉中市南郑区大河坎中学</w:t>
      </w:r>
      <w:r>
        <w:rPr>
          <w:rFonts w:ascii="仿宋_GB2312" w:hAnsi="仿宋_GB2312" w:cs="仿宋_GB2312" w:eastAsia="仿宋_GB2312"/>
        </w:rPr>
        <w:t>委托，拟对</w:t>
      </w:r>
      <w:r>
        <w:rPr>
          <w:rFonts w:ascii="仿宋_GB2312" w:hAnsi="仿宋_GB2312" w:cs="仿宋_GB2312" w:eastAsia="仿宋_GB2312"/>
        </w:rPr>
        <w:t>南郑区大河坎中学学生宿舍空调采购项目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南采NC【2026】14号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南郑区大河坎中学学生宿舍空调采购项目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为改善办学条件，解决学生宿舍夏季降温、冬季取暖的问题，学校争取上级资金39万元，为221间学生宿舍安装1.5匹冷暖空调，为学生提供舒适的住宿环境。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3、法定代表人证明书及授权书：法定代表人证明书及授权书法定代表人（负责人）委托授权书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p>
    <w:p>
      <w:pPr>
        <w:pStyle w:val="null3"/>
      </w:pPr>
      <w:r>
        <w:rPr>
          <w:rFonts w:ascii="仿宋_GB2312" w:hAnsi="仿宋_GB2312" w:cs="仿宋_GB2312" w:eastAsia="仿宋_GB2312"/>
        </w:rPr>
        <w:t>4、 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汉中市南郑区大河坎中学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陕西省汉中市南郑区大河坎镇南大街122号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汉中市南郑区大河坎中学经办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13309160821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南郑区政府采购中心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汉中市南郑区县城南大街区绩效评价中心五楼区政府采购中心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南郑区政府采购中心业务股经办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0916-2995592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是</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汉中市南郑区大河坎中学</w:t>
      </w:r>
      <w:r>
        <w:rPr>
          <w:rFonts w:ascii="仿宋_GB2312" w:hAnsi="仿宋_GB2312" w:cs="仿宋_GB2312" w:eastAsia="仿宋_GB2312"/>
        </w:rPr>
        <w:t>和</w:t>
      </w:r>
      <w:r>
        <w:rPr>
          <w:rFonts w:ascii="仿宋_GB2312" w:hAnsi="仿宋_GB2312" w:cs="仿宋_GB2312" w:eastAsia="仿宋_GB2312"/>
        </w:rPr>
        <w:t>南郑区政府采购中心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汉中市南郑区大河坎中学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南郑区政府采购中心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汉中市南郑区大河坎中学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南郑区政府采购中心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四、构成本谈判文件的各组成部分，未经采购人书面同意，供应商不得擅自复印或用于非本谈判项目所需的其他目的。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按照谈判文件及采购合同约定的技术参数、商务条款验收交付。</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汉中市南郑区大河坎中学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南郑区政府采购中心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南郑区政府采购中心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联系人：南郑区政府采购中心</w:t>
      </w:r>
    </w:p>
    <w:p>
      <w:pPr>
        <w:pStyle w:val="null3"/>
      </w:pPr>
      <w:r>
        <w:rPr>
          <w:rFonts w:ascii="仿宋_GB2312" w:hAnsi="仿宋_GB2312" w:cs="仿宋_GB2312" w:eastAsia="仿宋_GB2312"/>
        </w:rPr>
        <w:t>联系电话：0916-2995594</w:t>
      </w:r>
    </w:p>
    <w:p>
      <w:pPr>
        <w:pStyle w:val="null3"/>
      </w:pPr>
      <w:r>
        <w:rPr>
          <w:rFonts w:ascii="仿宋_GB2312" w:hAnsi="仿宋_GB2312" w:cs="仿宋_GB2312" w:eastAsia="仿宋_GB2312"/>
        </w:rPr>
        <w:t>地址：汉中市南郑区县城南大街绩效评价中心五楼区政府采购中心</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为改善办学条件，解决学生宿舍夏季降温、冬季取暖的问题，学校争取上级资金39万元，为221间学生宿舍安装1.5匹冷暖空调，为学生提供舒适的住宿环境。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390,000.00</w:t>
      </w:r>
    </w:p>
    <w:p>
      <w:pPr>
        <w:pStyle w:val="null3"/>
      </w:pPr>
      <w:r>
        <w:rPr>
          <w:rFonts w:ascii="仿宋_GB2312" w:hAnsi="仿宋_GB2312" w:cs="仿宋_GB2312" w:eastAsia="仿宋_GB2312"/>
        </w:rPr>
        <w:t>采购包最高限价（元）: 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采购1.5匹冷暖壁挂式一级能效分体空调</w:t>
            </w:r>
          </w:p>
        </w:tc>
        <w:tc>
          <w:tcPr>
            <w:tcW w:type="dxa" w:w="755"/>
          </w:tcPr>
          <w:p>
            <w:pPr>
              <w:pStyle w:val="null3"/>
              <w:jc w:val="right"/>
            </w:pPr>
            <w:r>
              <w:rPr>
                <w:rFonts w:ascii="仿宋_GB2312" w:hAnsi="仿宋_GB2312" w:cs="仿宋_GB2312" w:eastAsia="仿宋_GB2312"/>
              </w:rPr>
              <w:t>221.00</w:t>
            </w:r>
          </w:p>
        </w:tc>
        <w:tc>
          <w:tcPr>
            <w:tcW w:type="dxa" w:w="755"/>
          </w:tcPr>
          <w:p>
            <w:pPr>
              <w:pStyle w:val="null3"/>
              <w:jc w:val="right"/>
            </w:pPr>
            <w:r>
              <w:rPr>
                <w:rFonts w:ascii="仿宋_GB2312" w:hAnsi="仿宋_GB2312" w:cs="仿宋_GB2312" w:eastAsia="仿宋_GB2312"/>
              </w:rPr>
              <w:t>390,000.00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标的名称：采购1.5匹冷暖壁挂式一级能效分体空调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整机基础信息</w:t>
            </w:r>
            <w:r>
              <w:rPr>
                <w:rFonts w:ascii="仿宋_GB2312" w:hAnsi="仿宋_GB2312" w:cs="仿宋_GB2312" w:eastAsia="仿宋_GB2312"/>
                <w:sz w:val="18"/>
              </w:rPr>
              <w:t>:</w:t>
            </w:r>
            <w:r>
              <w:rPr>
                <w:rFonts w:ascii="仿宋_GB2312" w:hAnsi="仿宋_GB2312" w:cs="仿宋_GB2312" w:eastAsia="仿宋_GB2312"/>
                <w:sz w:val="18"/>
              </w:rPr>
              <w:t>变频冷暖空调</w:t>
            </w:r>
          </w:p>
          <w:p>
            <w:pPr>
              <w:pStyle w:val="null3"/>
              <w:jc w:val="both"/>
            </w:pPr>
            <w:r>
              <w:rPr>
                <w:rFonts w:ascii="仿宋_GB2312" w:hAnsi="仿宋_GB2312" w:cs="仿宋_GB2312" w:eastAsia="仿宋_GB2312"/>
                <w:sz w:val="18"/>
              </w:rPr>
              <w:t>整机基础信息</w:t>
            </w:r>
            <w:r>
              <w:rPr>
                <w:rFonts w:ascii="仿宋_GB2312" w:hAnsi="仿宋_GB2312" w:cs="仿宋_GB2312" w:eastAsia="仿宋_GB2312"/>
                <w:sz w:val="18"/>
              </w:rPr>
              <w:t>匹数</w:t>
            </w:r>
            <w:r>
              <w:rPr>
                <w:rFonts w:ascii="仿宋_GB2312" w:hAnsi="仿宋_GB2312" w:cs="仿宋_GB2312" w:eastAsia="仿宋_GB2312"/>
                <w:sz w:val="18"/>
              </w:rPr>
              <w:t>大</w:t>
            </w:r>
            <w:r>
              <w:rPr>
                <w:rFonts w:ascii="仿宋_GB2312" w:hAnsi="仿宋_GB2312" w:cs="仿宋_GB2312" w:eastAsia="仿宋_GB2312"/>
                <w:sz w:val="18"/>
              </w:rPr>
              <w:t>1.5</w:t>
            </w:r>
            <w:r>
              <w:rPr>
                <w:rFonts w:ascii="仿宋_GB2312" w:hAnsi="仿宋_GB2312" w:cs="仿宋_GB2312" w:eastAsia="仿宋_GB2312"/>
                <w:sz w:val="18"/>
              </w:rPr>
              <w:t>匹</w:t>
            </w:r>
          </w:p>
          <w:p>
            <w:pPr>
              <w:pStyle w:val="null3"/>
              <w:jc w:val="both"/>
            </w:pPr>
            <w:r>
              <w:rPr>
                <w:rFonts w:ascii="仿宋_GB2312" w:hAnsi="仿宋_GB2312" w:cs="仿宋_GB2312" w:eastAsia="仿宋_GB2312"/>
                <w:sz w:val="18"/>
              </w:rPr>
              <w:t>整机基础信息能效等级</w:t>
            </w:r>
            <w:r>
              <w:rPr>
                <w:rFonts w:ascii="仿宋_GB2312" w:hAnsi="仿宋_GB2312" w:cs="仿宋_GB2312" w:eastAsia="仿宋_GB2312"/>
                <w:sz w:val="18"/>
              </w:rPr>
              <w:t>新国标一级能效、国家</w:t>
            </w:r>
            <w:r>
              <w:rPr>
                <w:rFonts w:ascii="仿宋_GB2312" w:hAnsi="仿宋_GB2312" w:cs="仿宋_GB2312" w:eastAsia="仿宋_GB2312"/>
                <w:sz w:val="18"/>
              </w:rPr>
              <w:t>3C</w:t>
            </w:r>
            <w:r>
              <w:rPr>
                <w:rFonts w:ascii="仿宋_GB2312" w:hAnsi="仿宋_GB2312" w:cs="仿宋_GB2312" w:eastAsia="仿宋_GB2312"/>
                <w:sz w:val="18"/>
              </w:rPr>
              <w:t>认证、能效标识、节能认证、厂家授权书、产品检测报告</w:t>
            </w:r>
          </w:p>
          <w:p>
            <w:pPr>
              <w:pStyle w:val="null3"/>
              <w:jc w:val="both"/>
            </w:pPr>
            <w:r>
              <w:rPr>
                <w:rFonts w:ascii="仿宋_GB2312" w:hAnsi="仿宋_GB2312" w:cs="仿宋_GB2312" w:eastAsia="仿宋_GB2312"/>
                <w:sz w:val="18"/>
              </w:rPr>
              <w:t>特色功能</w:t>
            </w:r>
            <w:r>
              <w:rPr>
                <w:rFonts w:ascii="仿宋_GB2312" w:hAnsi="仿宋_GB2312" w:cs="仿宋_GB2312" w:eastAsia="仿宋_GB2312"/>
                <w:sz w:val="18"/>
              </w:rPr>
              <w:t>:</w:t>
            </w:r>
            <w:r>
              <w:rPr>
                <w:rFonts w:ascii="仿宋_GB2312" w:hAnsi="仿宋_GB2312" w:cs="仿宋_GB2312" w:eastAsia="仿宋_GB2312"/>
                <w:sz w:val="18"/>
              </w:rPr>
              <w:t>自清洁、可拆洗、电辅加热</w:t>
            </w:r>
          </w:p>
          <w:p>
            <w:pPr>
              <w:pStyle w:val="null3"/>
              <w:jc w:val="both"/>
            </w:pPr>
            <w:r>
              <w:rPr>
                <w:rFonts w:ascii="仿宋_GB2312" w:hAnsi="仿宋_GB2312" w:cs="仿宋_GB2312" w:eastAsia="仿宋_GB2312"/>
                <w:sz w:val="18"/>
              </w:rPr>
              <w:t>★制冷制热能力 制冷量 ≥</w:t>
            </w:r>
            <w:r>
              <w:rPr>
                <w:rFonts w:ascii="仿宋_GB2312" w:hAnsi="仿宋_GB2312" w:cs="仿宋_GB2312" w:eastAsia="仿宋_GB2312"/>
                <w:sz w:val="18"/>
              </w:rPr>
              <w:t>3520W</w:t>
            </w:r>
          </w:p>
          <w:p>
            <w:pPr>
              <w:pStyle w:val="null3"/>
              <w:jc w:val="both"/>
            </w:pPr>
            <w:r>
              <w:rPr>
                <w:rFonts w:ascii="仿宋_GB2312" w:hAnsi="仿宋_GB2312" w:cs="仿宋_GB2312" w:eastAsia="仿宋_GB2312"/>
                <w:sz w:val="18"/>
              </w:rPr>
              <w:t>★制冷制热能力 制热量 ≥</w:t>
            </w:r>
            <w:r>
              <w:rPr>
                <w:rFonts w:ascii="仿宋_GB2312" w:hAnsi="仿宋_GB2312" w:cs="仿宋_GB2312" w:eastAsia="仿宋_GB2312"/>
                <w:sz w:val="18"/>
              </w:rPr>
              <w:t>4500W</w:t>
            </w:r>
          </w:p>
          <w:p>
            <w:pPr>
              <w:pStyle w:val="null3"/>
              <w:jc w:val="both"/>
            </w:pPr>
            <w:r>
              <w:rPr>
                <w:rFonts w:ascii="仿宋_GB2312" w:hAnsi="仿宋_GB2312" w:cs="仿宋_GB2312" w:eastAsia="仿宋_GB2312"/>
                <w:sz w:val="18"/>
              </w:rPr>
              <w:t>制冷制热能力 制冷功率≤860</w:t>
            </w:r>
            <w:r>
              <w:rPr>
                <w:rFonts w:ascii="仿宋_GB2312" w:hAnsi="仿宋_GB2312" w:cs="仿宋_GB2312" w:eastAsia="仿宋_GB2312"/>
                <w:sz w:val="18"/>
              </w:rPr>
              <w:t>W</w:t>
            </w:r>
          </w:p>
          <w:p>
            <w:pPr>
              <w:pStyle w:val="null3"/>
              <w:jc w:val="both"/>
            </w:pPr>
            <w:r>
              <w:rPr>
                <w:rFonts w:ascii="仿宋_GB2312" w:hAnsi="仿宋_GB2312" w:cs="仿宋_GB2312" w:eastAsia="仿宋_GB2312"/>
                <w:sz w:val="18"/>
              </w:rPr>
              <w:t>制冷制热能力</w:t>
            </w:r>
            <w:r>
              <w:rPr>
                <w:rFonts w:ascii="仿宋_GB2312" w:hAnsi="仿宋_GB2312" w:cs="仿宋_GB2312" w:eastAsia="仿宋_GB2312"/>
                <w:sz w:val="18"/>
              </w:rPr>
              <w:t>制热功率</w:t>
            </w:r>
            <w:r>
              <w:rPr>
                <w:rFonts w:ascii="仿宋_GB2312" w:hAnsi="仿宋_GB2312" w:cs="仿宋_GB2312" w:eastAsia="仿宋_GB2312"/>
                <w:sz w:val="18"/>
              </w:rPr>
              <w:t>≤</w:t>
            </w:r>
            <w:r>
              <w:rPr>
                <w:rFonts w:ascii="仿宋_GB2312" w:hAnsi="仿宋_GB2312" w:cs="仿宋_GB2312" w:eastAsia="仿宋_GB2312"/>
                <w:sz w:val="18"/>
              </w:rPr>
              <w:t>960W</w:t>
            </w:r>
          </w:p>
          <w:p>
            <w:pPr>
              <w:pStyle w:val="null3"/>
              <w:jc w:val="both"/>
            </w:pPr>
            <w:r>
              <w:rPr>
                <w:rFonts w:ascii="仿宋_GB2312" w:hAnsi="仿宋_GB2312" w:cs="仿宋_GB2312" w:eastAsia="仿宋_GB2312"/>
                <w:sz w:val="18"/>
              </w:rPr>
              <w:t>电辅热功率</w:t>
            </w:r>
            <w:r>
              <w:rPr>
                <w:rFonts w:ascii="仿宋_GB2312" w:hAnsi="仿宋_GB2312" w:cs="仿宋_GB2312" w:eastAsia="仿宋_GB2312"/>
                <w:sz w:val="18"/>
              </w:rPr>
              <w:t>≥</w:t>
            </w:r>
            <w:r>
              <w:rPr>
                <w:rFonts w:ascii="仿宋_GB2312" w:hAnsi="仿宋_GB2312" w:cs="仿宋_GB2312" w:eastAsia="仿宋_GB2312"/>
                <w:sz w:val="18"/>
              </w:rPr>
              <w:t>800W</w:t>
            </w:r>
          </w:p>
          <w:p>
            <w:pPr>
              <w:pStyle w:val="null3"/>
              <w:jc w:val="both"/>
            </w:pPr>
            <w:r>
              <w:rPr>
                <w:rFonts w:ascii="仿宋_GB2312" w:hAnsi="仿宋_GB2312" w:cs="仿宋_GB2312" w:eastAsia="仿宋_GB2312"/>
                <w:sz w:val="18"/>
              </w:rPr>
              <w:t>制冷制热能力</w:t>
            </w:r>
            <w:r>
              <w:rPr>
                <w:rFonts w:ascii="仿宋_GB2312" w:hAnsi="仿宋_GB2312" w:cs="仿宋_GB2312" w:eastAsia="仿宋_GB2312"/>
                <w:sz w:val="18"/>
              </w:rPr>
              <w:t>循环风量</w:t>
            </w:r>
            <w:r>
              <w:rPr>
                <w:rFonts w:ascii="仿宋_GB2312" w:hAnsi="仿宋_GB2312" w:cs="仿宋_GB2312" w:eastAsia="仿宋_GB2312"/>
                <w:sz w:val="18"/>
              </w:rPr>
              <w:t>≥</w:t>
            </w:r>
            <w:r>
              <w:rPr>
                <w:rFonts w:ascii="仿宋_GB2312" w:hAnsi="仿宋_GB2312" w:cs="仿宋_GB2312" w:eastAsia="仿宋_GB2312"/>
                <w:sz w:val="18"/>
              </w:rPr>
              <w:t>750</w:t>
            </w:r>
            <w:r>
              <w:rPr>
                <w:rFonts w:ascii="仿宋_GB2312" w:hAnsi="仿宋_GB2312" w:cs="仿宋_GB2312" w:eastAsia="仿宋_GB2312"/>
                <w:sz w:val="18"/>
              </w:rPr>
              <w:t>m3/h</w:t>
            </w:r>
          </w:p>
          <w:p>
            <w:pPr>
              <w:pStyle w:val="null3"/>
              <w:jc w:val="both"/>
            </w:pPr>
            <w:r>
              <w:rPr>
                <w:rFonts w:ascii="仿宋_GB2312" w:hAnsi="仿宋_GB2312" w:cs="仿宋_GB2312" w:eastAsia="仿宋_GB2312"/>
                <w:sz w:val="18"/>
              </w:rPr>
              <w:t>室内机噪音（睡眠模式）</w:t>
            </w:r>
            <w:r>
              <w:rPr>
                <w:rFonts w:ascii="仿宋_GB2312" w:hAnsi="仿宋_GB2312" w:cs="仿宋_GB2312" w:eastAsia="仿宋_GB2312"/>
                <w:sz w:val="18"/>
              </w:rPr>
              <w:t>≤</w:t>
            </w:r>
            <w:r>
              <w:rPr>
                <w:rFonts w:ascii="仿宋_GB2312" w:hAnsi="仿宋_GB2312" w:cs="仿宋_GB2312" w:eastAsia="仿宋_GB2312"/>
                <w:sz w:val="18"/>
              </w:rPr>
              <w:t>22</w:t>
            </w:r>
            <w:r>
              <w:rPr>
                <w:rFonts w:ascii="仿宋_GB2312" w:hAnsi="仿宋_GB2312" w:cs="仿宋_GB2312" w:eastAsia="仿宋_GB2312"/>
                <w:sz w:val="18"/>
              </w:rPr>
              <w:t>分贝</w:t>
            </w:r>
          </w:p>
          <w:p>
            <w:pPr>
              <w:pStyle w:val="null3"/>
              <w:jc w:val="both"/>
            </w:pPr>
            <w:r>
              <w:rPr>
                <w:rFonts w:ascii="仿宋_GB2312" w:hAnsi="仿宋_GB2312" w:cs="仿宋_GB2312" w:eastAsia="仿宋_GB2312"/>
                <w:sz w:val="18"/>
              </w:rPr>
              <w:t>室外机噪音</w:t>
            </w:r>
            <w:r>
              <w:rPr>
                <w:rFonts w:ascii="仿宋_GB2312" w:hAnsi="仿宋_GB2312" w:cs="仿宋_GB2312" w:eastAsia="仿宋_GB2312"/>
                <w:sz w:val="18"/>
              </w:rPr>
              <w:t>≤</w:t>
            </w:r>
            <w:r>
              <w:rPr>
                <w:rFonts w:ascii="仿宋_GB2312" w:hAnsi="仿宋_GB2312" w:cs="仿宋_GB2312" w:eastAsia="仿宋_GB2312"/>
                <w:sz w:val="18"/>
              </w:rPr>
              <w:t>50</w:t>
            </w:r>
            <w:r>
              <w:rPr>
                <w:rFonts w:ascii="仿宋_GB2312" w:hAnsi="仿宋_GB2312" w:cs="仿宋_GB2312" w:eastAsia="仿宋_GB2312"/>
                <w:sz w:val="18"/>
              </w:rPr>
              <w:t>分贝</w:t>
            </w:r>
          </w:p>
          <w:p>
            <w:pPr>
              <w:pStyle w:val="null3"/>
              <w:jc w:val="both"/>
            </w:pPr>
            <w:r>
              <w:rPr>
                <w:rFonts w:ascii="仿宋_GB2312" w:hAnsi="仿宋_GB2312" w:cs="仿宋_GB2312" w:eastAsia="仿宋_GB2312"/>
                <w:sz w:val="18"/>
              </w:rPr>
              <w:t>换热器配置蒸发器材质</w:t>
            </w:r>
            <w:r>
              <w:rPr>
                <w:rFonts w:ascii="仿宋_GB2312" w:hAnsi="仿宋_GB2312" w:cs="仿宋_GB2312" w:eastAsia="仿宋_GB2312"/>
                <w:sz w:val="18"/>
              </w:rPr>
              <w:t>:</w:t>
            </w:r>
            <w:r>
              <w:rPr>
                <w:rFonts w:ascii="仿宋_GB2312" w:hAnsi="仿宋_GB2312" w:cs="仿宋_GB2312" w:eastAsia="仿宋_GB2312"/>
                <w:sz w:val="18"/>
              </w:rPr>
              <w:t>纯铜</w:t>
            </w:r>
          </w:p>
          <w:p>
            <w:pPr>
              <w:pStyle w:val="null3"/>
              <w:jc w:val="both"/>
            </w:pPr>
            <w:r>
              <w:rPr>
                <w:rFonts w:ascii="仿宋_GB2312" w:hAnsi="仿宋_GB2312" w:cs="仿宋_GB2312" w:eastAsia="仿宋_GB2312"/>
                <w:sz w:val="18"/>
              </w:rPr>
              <w:t>其他功能</w:t>
            </w:r>
            <w:r>
              <w:rPr>
                <w:rFonts w:ascii="仿宋_GB2312" w:hAnsi="仿宋_GB2312" w:cs="仿宋_GB2312" w:eastAsia="仿宋_GB2312"/>
                <w:sz w:val="18"/>
              </w:rPr>
              <w:t>:</w:t>
            </w:r>
            <w:r>
              <w:rPr>
                <w:rFonts w:ascii="仿宋_GB2312" w:hAnsi="仿宋_GB2312" w:cs="仿宋_GB2312" w:eastAsia="仿宋_GB2312"/>
                <w:sz w:val="18"/>
              </w:rPr>
              <w:t>睡眠模式</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根据采购方要求，在60天之内完成送货上门及安装相关事宜。</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汉中市南郑区大河坎中学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其他，工程完工验收合格，达到付款条件起30个工作日内，支付合同总金额的100.0%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按照谈判文件及采购合同约定的技术参数、商务条款验收交付。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1.整机质保6年，核心压缩机≥6～10年 2. 保修期内非人为损坏：一般故障24小时响应、紧急故障优先处理、质保期内免费上门、检测、换件、人工全免。 3、安装打孔:含打孔；加长铜管:含加长铜管 外机支架:含支架；高空作业费:含高空；送货:含送货上门。以上内容包含在总费用中，不额外收费。 4.施工方案：高空作业人员需购买人身意外险，施工期间安全由施工方负全责。</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1.按《按中华人民共和国合同法》中的相关条款执行。 2.成交供应商未按合同要求提供服务或不能满足技术要求，虚假应标造成业务流程数据紊乱、业务中断等情形，采购人有权终止合同，并对其违约行为进行追究。</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中涉及到的相关保密数据、资料、文档等按照相应相关保密规定执行，成交人有对资料保密的义务。不得以商业目的使用该资料或者开发和生产其他产品。成交人可根据需要对资料内容进行必要的修改和对数据格式进行转换，但未经许可，不得将修改、转换后的数据对外发布和提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控股管理关系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营业执照等主体资格证明文件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p>
        </w:tc>
        <w:tc>
          <w:tcPr>
            <w:tcW w:type="dxa" w:w="1661"/>
          </w:tcPr>
          <w:p>
            <w:pPr>
              <w:pStyle w:val="null3"/>
            </w:pPr>
            <w:r>
              <w:rPr>
                <w:rFonts w:ascii="仿宋_GB2312" w:hAnsi="仿宋_GB2312" w:cs="仿宋_GB2312" w:eastAsia="仿宋_GB2312"/>
              </w:rPr>
              <w:t>法定代表人证明书及法定代表人授权书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非联合体谈判书面声明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技术条款及商务条款响应偏离表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响应文件是否按竞争性谈判文件要求签署、盖章的</w:t>
            </w:r>
          </w:p>
        </w:tc>
        <w:tc>
          <w:tcPr>
            <w:tcW w:type="dxa" w:w="3322"/>
          </w:tcPr>
          <w:p>
            <w:pPr>
              <w:pStyle w:val="null3"/>
            </w:pPr>
            <w:r>
              <w:rPr>
                <w:rFonts w:ascii="仿宋_GB2312" w:hAnsi="仿宋_GB2312" w:cs="仿宋_GB2312" w:eastAsia="仿宋_GB2312"/>
              </w:rPr>
              <w:t>响应文件应按照竞争性谈判文件要求签署、盖章</w:t>
            </w:r>
          </w:p>
        </w:tc>
        <w:tc>
          <w:tcPr>
            <w:tcW w:type="dxa" w:w="1661"/>
          </w:tcPr>
          <w:p>
            <w:pPr>
              <w:pStyle w:val="null3"/>
            </w:pPr>
            <w:r>
              <w:rPr>
                <w:rFonts w:ascii="仿宋_GB2312" w:hAnsi="仿宋_GB2312" w:cs="仿宋_GB2312" w:eastAsia="仿宋_GB2312"/>
              </w:rPr>
              <w:t>营业执照等主体资格证明文件 中小企业声明函 报价表 非联合体谈判书面声明 拒绝政府采购领域商业贿赂承诺书 控股管理关系 法定代表人证明书及法定代表人授权书 响应文件封面 残疾人福利性单位声明函 标的清单 关于符合本国产品标准的声明函 技术条款及商务条款响应偏离表 响应函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报价是否超过竞争性谈判文件中规定的预算金额或者最高限价</w:t>
            </w:r>
          </w:p>
        </w:tc>
        <w:tc>
          <w:tcPr>
            <w:tcW w:type="dxa" w:w="3322"/>
          </w:tcPr>
          <w:p>
            <w:pPr>
              <w:pStyle w:val="null3"/>
            </w:pPr>
            <w:r>
              <w:rPr>
                <w:rFonts w:ascii="仿宋_GB2312" w:hAnsi="仿宋_GB2312" w:cs="仿宋_GB2312" w:eastAsia="仿宋_GB2312"/>
              </w:rPr>
              <w:t>报价未超过竞争性谈判文件中规定的最高限价的</w:t>
            </w:r>
          </w:p>
        </w:tc>
        <w:tc>
          <w:tcPr>
            <w:tcW w:type="dxa" w:w="1661"/>
          </w:tcPr>
          <w:p>
            <w:pPr>
              <w:pStyle w:val="null3"/>
            </w:pPr>
            <w:r>
              <w:rPr>
                <w:rFonts w:ascii="仿宋_GB2312" w:hAnsi="仿宋_GB2312" w:cs="仿宋_GB2312" w:eastAsia="仿宋_GB2312"/>
              </w:rPr>
              <w:t>标的清单 报价表 技术条款及商务条款响应偏离表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营业执照等主体资格证明文件 中小企业声明函 报价表 非联合体谈判书面声明 控股管理关系 拒绝政府采购领域商业贿赂承诺书 法定代表人证明书及法定代表人授权书 响应文件封面 残疾人福利性单位声明函 标的清单 关于符合本国产品标准的声明函 技术条款及商务条款响应偏离表 响应函 汉中市政府采购供应商资格承诺函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是否发现法律、法规和竞争性谈判文件规定的其他无效情形</w:t>
            </w:r>
          </w:p>
        </w:tc>
        <w:tc>
          <w:tcPr>
            <w:tcW w:type="dxa" w:w="3322"/>
          </w:tcPr>
          <w:p>
            <w:pPr>
              <w:pStyle w:val="null3"/>
            </w:pPr>
            <w:r>
              <w:rPr>
                <w:rFonts w:ascii="仿宋_GB2312" w:hAnsi="仿宋_GB2312" w:cs="仿宋_GB2312" w:eastAsia="仿宋_GB2312"/>
              </w:rPr>
              <w:t>响应文件不存在法律、法规和竞争性谈判文件规定的其他无效情形</w:t>
            </w:r>
          </w:p>
        </w:tc>
        <w:tc>
          <w:tcPr>
            <w:tcW w:type="dxa" w:w="1661"/>
          </w:tcPr>
          <w:p>
            <w:pPr>
              <w:pStyle w:val="null3"/>
            </w:pPr>
            <w:r>
              <w:rPr>
                <w:rFonts w:ascii="仿宋_GB2312" w:hAnsi="仿宋_GB2312" w:cs="仿宋_GB2312" w:eastAsia="仿宋_GB2312"/>
              </w:rPr>
              <w:t>营业执照等主体资格证明文件 中小企业声明函 报价表 非联合体谈判书面声明 控股管理关系 拒绝政府采购领域商业贿赂承诺书 法定代表人证明书及法定代表人授权书 响应文件封面 残疾人福利性单位声明函 标的清单 关于符合本国产品标准的声明函 技术条款及商务条款响应偏离表 响应函 汉中市政府采购供应商资格承诺函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注：本项目不接受联合体投标，不享受中小企业优惠政策）</w:t>
            </w:r>
          </w:p>
        </w:tc>
        <w:tc>
          <w:tcPr>
            <w:tcW w:type="dxa" w:w="1910"/>
          </w:tcPr>
          <w:p>
            <w:pPr>
              <w:pStyle w:val="null3"/>
            </w:pPr>
            <w:r>
              <w:rPr>
                <w:rFonts w:ascii="仿宋_GB2312" w:hAnsi="仿宋_GB2312" w:cs="仿宋_GB2312" w:eastAsia="仿宋_GB2312"/>
              </w:rPr>
              <w:t>中小企业声明函 残疾人福利性单位声明函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响应文件满足谈判文件全部实质性要求,按照由低到高的报价进行排序。</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详见附件：法定代表人证明书及法定代表人授权书</w:t>
      </w:r>
    </w:p>
    <w:p>
      <w:pPr>
        <w:pStyle w:val="null3"/>
        <w:ind w:firstLine="960"/>
      </w:pPr>
      <w:r>
        <w:rPr>
          <w:rFonts w:ascii="仿宋_GB2312" w:hAnsi="仿宋_GB2312" w:cs="仿宋_GB2312" w:eastAsia="仿宋_GB2312"/>
        </w:rPr>
        <w:t>详见附件：非联合体谈判书面声明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详见附件：技术条款及商务条款响应偏离表</w:t>
      </w:r>
    </w:p>
    <w:p>
      <w:pPr>
        <w:pStyle w:val="null3"/>
        <w:ind w:firstLine="960"/>
      </w:pPr>
      <w:r>
        <w:rPr>
          <w:rFonts w:ascii="仿宋_GB2312" w:hAnsi="仿宋_GB2312" w:cs="仿宋_GB2312" w:eastAsia="仿宋_GB2312"/>
        </w:rPr>
        <w:t>详见附件：营业执照等主体资格证明文件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详见附件：竞争性谈判合同文本.docx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