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版本号：ZHZB-2026(FW)02220260518001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医保网络安全检查服务采购项目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ZHZB-2026(FW)022</w:t>
      </w:r>
      <w:r>
        <w:br/>
      </w:r>
      <w:r>
        <w:br/>
      </w:r>
      <w:r>
        <w:br/>
      </w:r>
    </w:p>
    <w:p>
      <w:pPr>
        <w:pStyle w:val="null3"/>
        <w:jc w:val="center"/>
        <w:outlineLvl w:val="2"/>
      </w:pPr>
      <w:r>
        <w:rPr>
          <w:rFonts w:ascii="仿宋_GB2312" w:hAnsi="仿宋_GB2312" w:cs="仿宋_GB2312" w:eastAsia="仿宋_GB2312"/>
          <w:sz w:val="28"/>
          <w:b/>
        </w:rPr>
        <w:t>西安市医疗保险基金管理中心</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西安市医疗保险基金管理中心</w:t>
      </w:r>
      <w:r>
        <w:rPr>
          <w:rFonts w:ascii="仿宋_GB2312" w:hAnsi="仿宋_GB2312" w:cs="仿宋_GB2312" w:eastAsia="仿宋_GB2312"/>
        </w:rPr>
        <w:t>委托，拟对</w:t>
      </w:r>
      <w:r>
        <w:rPr>
          <w:rFonts w:ascii="仿宋_GB2312" w:hAnsi="仿宋_GB2312" w:cs="仿宋_GB2312" w:eastAsia="仿宋_GB2312"/>
        </w:rPr>
        <w:t>医保网络安全检查服务采购项目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ZHZB-2026(FW)022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医保网络安全检查服务采购项目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（一）项目背景 根据《网络安全法》《数据安全法》《个人信息保护法》《国家医疗保障局关于印发加强网络安全和数据保护工作指导意见的通知》《国家医疗保障局关于进一步深化推进医保信息化标准化工作的通知》等相关法律法规与文件要求，为切实保障全市医保网络安全稳定运行，全面排查网络安全风险隐患，促进行业安全防护能力和水平提升，预防和减少重大网络安全事件的发生，并为中心构建多层次、动态化的安全防护体系。同时通过完善、实施有效的网络安全管理和防范措施，实现网络安全从预防到响应的全流程覆盖。 （二）工作目的 为有效落实国家相关法律法规要求，履行网络安全工作管理职责，有效提升我市医保网络安全防护水平和应急响应能力，对全市19家医保经办机构及市医疗保险基金管理中心进行医保网络安全合规检查，网络安全检查服务要结合系统性、专业性，通过管理和技术全方位的对医保网络安全进行评估和检测，为全市医保经办机构全面识别现有安全管理措施不足、评估网络安全风险隐患，并对排查中发现的问题提出整改意见，通过问题整改，进一步提高整体网络安全防护能力和管理水平。同时完善医保网络安全防护体系，及时发现、防范、化解网络安全风险隐患，提高人员医保网络安全意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采购包1（医保网络安全检查及安全运维服务）：属于专门面向中小企业采购。</w:t>
      </w:r>
    </w:p>
    <w:p>
      <w:pPr>
        <w:pStyle w:val="null3"/>
      </w:pPr>
      <w:r>
        <w:rPr>
          <w:rFonts w:ascii="仿宋_GB2312" w:hAnsi="仿宋_GB2312" w:cs="仿宋_GB2312" w:eastAsia="仿宋_GB2312"/>
        </w:rPr>
        <w:t>采购包2（医保网络安全检查服务）：属于专门面向中小企业采购。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良好的商业信誉和健全的财务会计制度：2024年度或2025年度经审计的财务报告或在2025年10月01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提供时间在2025年10月01日至今任意一个月的缴纳证明；供应商需在项目电子化交易系统中按要求上传相应证明文件并进行电子签章。</w:t>
      </w:r>
    </w:p>
    <w:p>
      <w:pPr>
        <w:pStyle w:val="null3"/>
      </w:pPr>
      <w:r>
        <w:rPr>
          <w:rFonts w:ascii="仿宋_GB2312" w:hAnsi="仿宋_GB2312" w:cs="仿宋_GB2312" w:eastAsia="仿宋_GB2312"/>
        </w:rPr>
        <w:t>4、书面声明：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法律、行政法规规定的其他条件：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6、供应商企业关系关联及联合体说明：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7、备注：备注：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独立承担民事责任的能力：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良好的商业信誉和健全的财务会计制度：2024年度或2025年度经审计的财务报告或在2025年10月01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提供时间在2025年10月01日至今任意一个月的缴纳证明；供应商需在项目电子化交易系统中按要求上传相应证明文件并进行电子签章。</w:t>
      </w:r>
    </w:p>
    <w:p>
      <w:pPr>
        <w:pStyle w:val="null3"/>
      </w:pPr>
      <w:r>
        <w:rPr>
          <w:rFonts w:ascii="仿宋_GB2312" w:hAnsi="仿宋_GB2312" w:cs="仿宋_GB2312" w:eastAsia="仿宋_GB2312"/>
        </w:rPr>
        <w:t>4、书面声明：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法律、行政法规规定的其他条件：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6、供应商企业关系关联及联合体说明：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7、备注：备注：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西安市医疗保险基金管理中心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凯瑞大厦I座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029-87222552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 魏露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13289892509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采购包1：140,000.00元</w:t>
            </w:r>
          </w:p>
          <w:p>
            <w:pPr>
              <w:pStyle w:val="null3"/>
            </w:pPr>
            <w:r>
              <w:rPr>
                <w:rFonts w:ascii="仿宋_GB2312" w:hAnsi="仿宋_GB2312" w:cs="仿宋_GB2312" w:eastAsia="仿宋_GB2312"/>
              </w:rPr>
              <w:t>采购包2：110,000.00元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否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服务收费标准计取招标服务费。 2、招标服务费应采用转账、现金形式缴纳。 招标代理服务费汇款账户： 开户行名称：陕西致恒招标代理有限公司 开 户 行：中国民生银行股份有限公司西安高新开发区支行 帐 号：159322825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西安市医疗保险基金管理中心</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西安市医疗保险基金管理中心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西安市医疗保险基金管理中心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详见采购文件、采购合同及采购人要求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w:t>
      </w:r>
    </w:p>
    <w:p>
      <w:pPr>
        <w:pStyle w:val="null3"/>
      </w:pPr>
      <w:r>
        <w:rPr>
          <w:rFonts w:ascii="仿宋_GB2312" w:hAnsi="仿宋_GB2312" w:cs="仿宋_GB2312" w:eastAsia="仿宋_GB2312"/>
        </w:rPr>
        <w:t>联系电话：13289892509</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（一）项目背景 根据《网络安全法》《数据安全法》《个人信息保护法》《国家医疗保障局关于印发加强网络安全和数据保护工作指导意见的通知》《国家医疗保障局关于进一步深化推进医保信息化标准化工作的通知》等相关法律法规与文件要求，为切实保障全市医保网络安全稳定运行，全面排查网络安全风险隐患，促进行业安全防护能力和水平提升，预防和减少重大网络安全事件的发生，并为中心构建多层次、动态化的安全防护体系。同时通过完善、实施有效的网络安全管理和防范措施，实现网络安全从预防到响应的全流程覆盖。 （二）工作目的 为有效落实国家相关法律法规要求，履行网络安全工作管理职责，有效提升我市医保网络安全防护水平和应急响应能力，对全市19家医保经办机构及市医疗保险基金管理中心进行医保网络安全合规检查，网络安全检查服务要结合系统性、专业性，通过管理和技术全方位的对医保网络安全进行评估和检测，为全市医保经办机构全面识别现有安全管理措施不足、评估网络安全风险隐患，并对排查中发现的问题提出整改意见，通过问题整改，进一步提高整体网络安全防护能力和管理水平。同时完善医保网络安全防护体系，及时发现、防范、化解网络安全风险隐患，提高人员医保网络安全意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医保网络安全检查及安全运维服务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医保网络安全检查服务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标的名称：医保网络安全检查及安全运维服务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一）对全市9家医保经办机构、市医疗保险基金管理中心进行医保网络安全合规检查，检查内容包括但不限于：网络基本情况、网络安全管理机构情况、网络安全工作责任制、网络安全管理制度及运行情况、网络安全管理措施情况、安全物理环境情况、网络安全技术防护措施情况、网络安全应急管理情况、数据安全和个人信息保护法规落实情况、网络安全风险评估情况、漏洞风险管理情况、医保数据检查、数字证书检查，要求对每家被检测机构出具专项网络安全检查报告和整改建议书，能针对检查数据进行有效分析，形成行业主管单位网络安全管理工作建议。针对网络安全合规检查中发现的问题及各医保经办机构提交的整改报告，逐一开展现场复核，对照整改清单逐项核实整改措施落实情况，复核完毕后提交复核报告；</w:t>
            </w:r>
          </w:p>
          <w:p>
            <w:pPr>
              <w:pStyle w:val="null3"/>
            </w:pPr>
            <w:r>
              <w:rPr>
                <w:rFonts w:ascii="仿宋_GB2312" w:hAnsi="仿宋_GB2312" w:cs="仿宋_GB2312" w:eastAsia="仿宋_GB2312"/>
              </w:rPr>
              <w:t>（二）提供网络安全运维服务，包括但不限于：网络安全管理规范建设服务、网络安全培训服务、网络安全巡检服务、设备数据备份及恢复演练服务、应急预案及演练服务、网络安全应急响应服务、网络安全风险评估服务、漏洞管理服务、系统加固服务、配合检查服务、资料输出服务等；提供网络安全综合治理服务，建立并完善全市医保网络安全管理体系，提高西安市医保网络的安全防护水平。</w:t>
            </w:r>
          </w:p>
          <w:p>
            <w:pPr>
              <w:pStyle w:val="null3"/>
            </w:pPr>
            <w:r>
              <w:rPr>
                <w:rFonts w:ascii="仿宋_GB2312" w:hAnsi="仿宋_GB2312" w:cs="仿宋_GB2312" w:eastAsia="仿宋_GB2312"/>
              </w:rPr>
              <w:t>二、人员配置与检测工具</w:t>
            </w:r>
          </w:p>
          <w:p>
            <w:pPr>
              <w:pStyle w:val="null3"/>
            </w:pPr>
            <w:r>
              <w:rPr>
                <w:rFonts w:ascii="仿宋_GB2312" w:hAnsi="仿宋_GB2312" w:cs="仿宋_GB2312" w:eastAsia="仿宋_GB2312"/>
              </w:rPr>
              <w:t>（一）网络安全检查服务</w:t>
            </w:r>
          </w:p>
          <w:p>
            <w:pPr>
              <w:pStyle w:val="null3"/>
            </w:pPr>
            <w:r>
              <w:rPr>
                <w:rFonts w:ascii="仿宋_GB2312" w:hAnsi="仿宋_GB2312" w:cs="仿宋_GB2312" w:eastAsia="仿宋_GB2312"/>
              </w:rPr>
              <w:t>服务商提供服务人员检查人员不得少于4人，服务商应配备专业的硬件检测工具；检查完毕后提供被检查单位检查报告（每单位一份）、检查总结报告（应包括检查数据分析）及复核报告（每单位一份），交付物应包括纸质版2份、电子版1份；供应商根据统一安排，自行前往被检单位。</w:t>
            </w:r>
          </w:p>
          <w:p>
            <w:pPr>
              <w:pStyle w:val="null3"/>
            </w:pPr>
            <w:r>
              <w:rPr>
                <w:rFonts w:ascii="仿宋_GB2312" w:hAnsi="仿宋_GB2312" w:cs="仿宋_GB2312" w:eastAsia="仿宋_GB2312"/>
              </w:rPr>
              <w:t>（二）网络安全运维服务</w:t>
            </w:r>
          </w:p>
          <w:p>
            <w:pPr>
              <w:pStyle w:val="null3"/>
            </w:pPr>
            <w:r>
              <w:rPr>
                <w:rFonts w:ascii="仿宋_GB2312" w:hAnsi="仿宋_GB2312" w:cs="仿宋_GB2312" w:eastAsia="仿宋_GB2312"/>
              </w:rPr>
              <w:t>提供网络安全运维服务，包括但不限于：网络安全管理规范建设服务、网络安全培训服务、网络安全巡检服务、设备数据备份及恢复演练服务、应急预案及演练服务、网络安全应急响应服务、网络安全风险评估服务、漏洞管理服务、系统加固服务、配合检查服务、资料输出服务等；提供网络安全综合治理服务，建立并完善全市医保网络安全管理体系，提高西安市医保网络的安全防护水平。服务整体不少于40人天/年；相关交付物在该项服务提供完毕后交付，应包括纸质版2份、电子版1份，所有服务交付完毕后，提供胶装版纸质资料2份。</w:t>
            </w:r>
          </w:p>
          <w:p>
            <w:pPr>
              <w:pStyle w:val="null3"/>
            </w:pPr>
            <w:r>
              <w:rPr>
                <w:rFonts w:ascii="仿宋_GB2312" w:hAnsi="仿宋_GB2312" w:cs="仿宋_GB2312" w:eastAsia="仿宋_GB2312"/>
              </w:rPr>
              <w:t>三、服务规范标准</w:t>
            </w:r>
          </w:p>
          <w:p>
            <w:pPr>
              <w:pStyle w:val="null3"/>
            </w:pPr>
            <w:r>
              <w:rPr>
                <w:rFonts w:ascii="仿宋_GB2312" w:hAnsi="仿宋_GB2312" w:cs="仿宋_GB2312" w:eastAsia="仿宋_GB2312"/>
              </w:rPr>
              <w:t>（一）法律法规</w:t>
            </w:r>
          </w:p>
          <w:p>
            <w:pPr>
              <w:pStyle w:val="null3"/>
            </w:pPr>
            <w:r>
              <w:rPr>
                <w:rFonts w:ascii="仿宋_GB2312" w:hAnsi="仿宋_GB2312" w:cs="仿宋_GB2312" w:eastAsia="仿宋_GB2312"/>
              </w:rPr>
              <w:t>Ø《中华人民共和国网络安全法》</w:t>
            </w:r>
          </w:p>
          <w:p>
            <w:pPr>
              <w:pStyle w:val="null3"/>
            </w:pPr>
            <w:r>
              <w:rPr>
                <w:rFonts w:ascii="仿宋_GB2312" w:hAnsi="仿宋_GB2312" w:cs="仿宋_GB2312" w:eastAsia="仿宋_GB2312"/>
              </w:rPr>
              <w:t>Ø《中华人民共和国数据安全法》</w:t>
            </w:r>
          </w:p>
          <w:p>
            <w:pPr>
              <w:pStyle w:val="null3"/>
            </w:pPr>
            <w:r>
              <w:rPr>
                <w:rFonts w:ascii="仿宋_GB2312" w:hAnsi="仿宋_GB2312" w:cs="仿宋_GB2312" w:eastAsia="仿宋_GB2312"/>
              </w:rPr>
              <w:t>Ø《中华人民共和国个人信息保护法》</w:t>
            </w:r>
          </w:p>
          <w:p>
            <w:pPr>
              <w:pStyle w:val="null3"/>
            </w:pPr>
            <w:r>
              <w:rPr>
                <w:rFonts w:ascii="仿宋_GB2312" w:hAnsi="仿宋_GB2312" w:cs="仿宋_GB2312" w:eastAsia="仿宋_GB2312"/>
              </w:rPr>
              <w:t>Ø《网络数据安全管理条例》</w:t>
            </w:r>
          </w:p>
          <w:p>
            <w:pPr>
              <w:pStyle w:val="null3"/>
            </w:pPr>
            <w:r>
              <w:rPr>
                <w:rFonts w:ascii="仿宋_GB2312" w:hAnsi="仿宋_GB2312" w:cs="仿宋_GB2312" w:eastAsia="仿宋_GB2312"/>
              </w:rPr>
              <w:t>Ø《关键信息基础设施安全保护条例》</w:t>
            </w:r>
          </w:p>
          <w:p>
            <w:pPr>
              <w:pStyle w:val="null3"/>
            </w:pPr>
            <w:r>
              <w:rPr>
                <w:rFonts w:ascii="仿宋_GB2312" w:hAnsi="仿宋_GB2312" w:cs="仿宋_GB2312" w:eastAsia="仿宋_GB2312"/>
              </w:rPr>
              <w:t>（二）参照标准</w:t>
            </w:r>
          </w:p>
          <w:p>
            <w:pPr>
              <w:pStyle w:val="null3"/>
            </w:pPr>
            <w:r>
              <w:rPr>
                <w:rFonts w:ascii="仿宋_GB2312" w:hAnsi="仿宋_GB2312" w:cs="仿宋_GB2312" w:eastAsia="仿宋_GB2312"/>
              </w:rPr>
              <w:t>Ø《信息安全技术信息安全风险评估方法》（GB/T20984-2022）</w:t>
            </w:r>
          </w:p>
          <w:p>
            <w:pPr>
              <w:pStyle w:val="null3"/>
            </w:pPr>
            <w:r>
              <w:rPr>
                <w:rFonts w:ascii="仿宋_GB2312" w:hAnsi="仿宋_GB2312" w:cs="仿宋_GB2312" w:eastAsia="仿宋_GB2312"/>
              </w:rPr>
              <w:t>Ø《信息技术安全技术信息安全管理监视、测量、分析和评价》（GB/T31497-2024）</w:t>
            </w:r>
          </w:p>
          <w:p>
            <w:pPr>
              <w:pStyle w:val="null3"/>
            </w:pPr>
            <w:r>
              <w:rPr>
                <w:rFonts w:ascii="仿宋_GB2312" w:hAnsi="仿宋_GB2312" w:cs="仿宋_GB2312" w:eastAsia="仿宋_GB2312"/>
              </w:rPr>
              <w:t>Ø《信息安全技术安全漏洞分类》（GB/T33561-2017）</w:t>
            </w:r>
          </w:p>
          <w:p>
            <w:pPr>
              <w:pStyle w:val="null3"/>
            </w:pPr>
            <w:r>
              <w:rPr>
                <w:rFonts w:ascii="仿宋_GB2312" w:hAnsi="仿宋_GB2312" w:cs="仿宋_GB2312" w:eastAsia="仿宋_GB2312"/>
              </w:rPr>
              <w:t>Ø《信息安全技术网络安全漏洞管理规范》（GB/T30276-2020）</w:t>
            </w:r>
          </w:p>
          <w:p>
            <w:pPr>
              <w:pStyle w:val="null3"/>
            </w:pPr>
            <w:r>
              <w:rPr>
                <w:rFonts w:ascii="仿宋_GB2312" w:hAnsi="仿宋_GB2312" w:cs="仿宋_GB2312" w:eastAsia="仿宋_GB2312"/>
              </w:rPr>
              <w:t>Ø《信息安全技术网络攻击定义及描述规范》（GB/T37027-2018）</w:t>
            </w:r>
          </w:p>
          <w:p>
            <w:pPr>
              <w:pStyle w:val="null3"/>
            </w:pPr>
            <w:r>
              <w:rPr>
                <w:rFonts w:ascii="仿宋_GB2312" w:hAnsi="仿宋_GB2312" w:cs="仿宋_GB2312" w:eastAsia="仿宋_GB2312"/>
              </w:rPr>
              <w:t>Ø《信息安全技术网络安全漏洞分类分级指南》（GB/T 30279-2020）</w:t>
            </w:r>
          </w:p>
          <w:p>
            <w:pPr>
              <w:pStyle w:val="null3"/>
            </w:pPr>
            <w:r>
              <w:rPr>
                <w:rFonts w:ascii="仿宋_GB2312" w:hAnsi="仿宋_GB2312" w:cs="仿宋_GB2312" w:eastAsia="仿宋_GB2312"/>
              </w:rPr>
              <w:t>Ø《信息安全技术网络安全漏洞标识与描述规范》（GB/T28458-2020）</w:t>
            </w:r>
          </w:p>
          <w:p>
            <w:pPr>
              <w:pStyle w:val="null3"/>
            </w:pPr>
            <w:r>
              <w:rPr>
                <w:rFonts w:ascii="仿宋_GB2312" w:hAnsi="仿宋_GB2312" w:cs="仿宋_GB2312" w:eastAsia="仿宋_GB2312"/>
              </w:rPr>
              <w:t>Ø《信息安全技术个人信息安全规范》（GB/T35273-2020）</w:t>
            </w:r>
          </w:p>
          <w:p>
            <w:pPr>
              <w:pStyle w:val="null3"/>
            </w:pPr>
            <w:r>
              <w:rPr>
                <w:rFonts w:ascii="仿宋_GB2312" w:hAnsi="仿宋_GB2312" w:cs="仿宋_GB2312" w:eastAsia="仿宋_GB2312"/>
              </w:rPr>
              <w:t>Ø《信息安全技术办公设备安全测试方法》（GB/T38558-2020）</w:t>
            </w:r>
          </w:p>
          <w:p>
            <w:pPr>
              <w:pStyle w:val="null3"/>
            </w:pPr>
            <w:r>
              <w:rPr>
                <w:rFonts w:ascii="仿宋_GB2312" w:hAnsi="仿宋_GB2312" w:cs="仿宋_GB2312" w:eastAsia="仿宋_GB2312"/>
              </w:rPr>
              <w:t>《信息安全技术信息安全应急响应计划规范》（GB/T24363-2009）</w:t>
            </w:r>
          </w:p>
          <w:p>
            <w:pPr>
              <w:pStyle w:val="null3"/>
            </w:pPr>
            <w:r>
              <w:rPr>
                <w:rFonts w:ascii="仿宋_GB2312" w:hAnsi="仿宋_GB2312" w:cs="仿宋_GB2312" w:eastAsia="仿宋_GB2312"/>
              </w:rPr>
              <w:t>★四、服务（商务）要求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合同签订，接到通知后90天内完成所有检查任务，并提交相关报告。</w:t>
            </w:r>
          </w:p>
          <w:p>
            <w:pPr>
              <w:pStyle w:val="null3"/>
            </w:pPr>
            <w:r>
              <w:rPr>
                <w:rFonts w:ascii="仿宋_GB2312" w:hAnsi="仿宋_GB2312" w:cs="仿宋_GB2312" w:eastAsia="仿宋_GB2312"/>
              </w:rPr>
              <w:t>（二）验收标准</w:t>
            </w:r>
          </w:p>
          <w:p>
            <w:pPr>
              <w:pStyle w:val="null3"/>
            </w:pPr>
            <w:r>
              <w:rPr>
                <w:rFonts w:ascii="仿宋_GB2312" w:hAnsi="仿宋_GB2312" w:cs="仿宋_GB2312" w:eastAsia="仿宋_GB2312"/>
              </w:rPr>
              <w:t>项目完成后，供应商提出验收申请，采购人组织对供应商的服务及报告进行验收，验收合格出具验收合格单。</w:t>
            </w:r>
          </w:p>
          <w:p>
            <w:pPr>
              <w:pStyle w:val="null3"/>
            </w:pPr>
            <w:r>
              <w:rPr>
                <w:rFonts w:ascii="仿宋_GB2312" w:hAnsi="仿宋_GB2312" w:cs="仿宋_GB2312" w:eastAsia="仿宋_GB2312"/>
              </w:rPr>
              <w:t>验收依据：1.采购文件；2.响应文件；3.相关法规、规范。</w:t>
            </w:r>
          </w:p>
          <w:p>
            <w:pPr>
              <w:pStyle w:val="null3"/>
            </w:pPr>
            <w:r>
              <w:rPr>
                <w:rFonts w:ascii="仿宋_GB2312" w:hAnsi="仿宋_GB2312" w:cs="仿宋_GB2312" w:eastAsia="仿宋_GB2312"/>
              </w:rPr>
              <w:t>（三）款项结算</w:t>
            </w:r>
          </w:p>
          <w:p>
            <w:pPr>
              <w:pStyle w:val="null3"/>
            </w:pPr>
            <w:r>
              <w:rPr>
                <w:rFonts w:ascii="仿宋_GB2312" w:hAnsi="仿宋_GB2312" w:cs="仿宋_GB2312" w:eastAsia="仿宋_GB2312"/>
              </w:rPr>
              <w:t>在合同签订后10日内，支付合同总额的50%；网络安全检查服务验收完成后，支付合同金额的50%。</w:t>
            </w:r>
          </w:p>
          <w:p>
            <w:pPr>
              <w:pStyle w:val="null3"/>
            </w:pPr>
            <w:r>
              <w:rPr>
                <w:rFonts w:ascii="仿宋_GB2312" w:hAnsi="仿宋_GB2312" w:cs="仿宋_GB2312" w:eastAsia="仿宋_GB2312"/>
              </w:rPr>
              <w:t>（四）违约责任</w:t>
            </w:r>
          </w:p>
          <w:p>
            <w:pPr>
              <w:pStyle w:val="null3"/>
            </w:pPr>
            <w:r>
              <w:rPr>
                <w:rFonts w:ascii="仿宋_GB2312" w:hAnsi="仿宋_GB2312" w:cs="仿宋_GB2312" w:eastAsia="仿宋_GB2312"/>
              </w:rPr>
              <w:t>按照《中华人民共和国民法典》相关规定执行。</w:t>
            </w:r>
          </w:p>
          <w:p>
            <w:pPr>
              <w:pStyle w:val="null3"/>
            </w:pPr>
            <w:r>
              <w:rPr>
                <w:rFonts w:ascii="仿宋_GB2312" w:hAnsi="仿宋_GB2312" w:cs="仿宋_GB2312" w:eastAsia="仿宋_GB2312"/>
              </w:rPr>
              <w:t>注：★项为实质性要求，不得负偏离。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标的名称：医保网络安全检查服务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r>
              <w:br/>
            </w:r>
            <w:r>
              <w:rPr>
                <w:rFonts w:ascii="仿宋_GB2312" w:hAnsi="仿宋_GB2312" w:cs="仿宋_GB2312" w:eastAsia="仿宋_GB2312"/>
              </w:rPr>
              <w:t xml:space="preserve"> 对全市10家医保经办机构进行医保网络安全管理检查，检查内容包括但不限于：网络基本情况、网络安全管理机构情况、网络安全工作责任制、网络安全管理制度及运行情况、网络安全管理措施情况、安全物理环境情况、网络安全技术防护措施情况、网络安全应急管理情况、数据安全和个人信息保护法规落实情况、网络安全风险评估情况、漏洞风险管理情况、医保数据检查、数字证书检查，要求对每家被检测机构出具专项网络安全检查报告和整改建议书，能针对检查数据进行有效分析。针对网络安全合规检查中发现的问题及各医保经办机构提交的整改报告，逐一开展现场复核，对照整改清单逐项核实整改措施落实情况，复核完毕后提交复核报告；</w:t>
            </w:r>
            <w:r>
              <w:br/>
            </w:r>
            <w:r>
              <w:rPr>
                <w:rFonts w:ascii="仿宋_GB2312" w:hAnsi="仿宋_GB2312" w:cs="仿宋_GB2312" w:eastAsia="仿宋_GB2312"/>
              </w:rPr>
              <w:t xml:space="preserve"> 二、人员配置与检测工具</w:t>
            </w:r>
            <w:r>
              <w:br/>
            </w:r>
            <w:r>
              <w:rPr>
                <w:rFonts w:ascii="仿宋_GB2312" w:hAnsi="仿宋_GB2312" w:cs="仿宋_GB2312" w:eastAsia="仿宋_GB2312"/>
              </w:rPr>
              <w:t xml:space="preserve"> 服务商提供服务人员检查人员不得少于4人，服务商应配备专业的硬件检测工具；检查完毕后提供被检查单位检查报告（每单位一份）、检查总结报告（应包括检查数据分析）及复核报告（每单位一份），交付物应包括纸质版2份、电子版1份；供应商根据统一安排，自行前往被检查单位。</w:t>
            </w:r>
            <w:r>
              <w:br/>
            </w:r>
            <w:r>
              <w:rPr>
                <w:rFonts w:ascii="仿宋_GB2312" w:hAnsi="仿宋_GB2312" w:cs="仿宋_GB2312" w:eastAsia="仿宋_GB2312"/>
              </w:rPr>
              <w:t xml:space="preserve"> 三、服务规范标准</w:t>
            </w:r>
            <w:r>
              <w:br/>
            </w:r>
            <w:r>
              <w:rPr>
                <w:rFonts w:ascii="仿宋_GB2312" w:hAnsi="仿宋_GB2312" w:cs="仿宋_GB2312" w:eastAsia="仿宋_GB2312"/>
              </w:rPr>
              <w:t xml:space="preserve"> （一）法律法规</w:t>
            </w:r>
            <w:r>
              <w:br/>
            </w:r>
            <w:r>
              <w:rPr>
                <w:rFonts w:ascii="仿宋_GB2312" w:hAnsi="仿宋_GB2312" w:cs="仿宋_GB2312" w:eastAsia="仿宋_GB2312"/>
              </w:rPr>
              <w:t xml:space="preserve"> 《中华人民共和国网络安全法》</w:t>
            </w:r>
            <w:r>
              <w:br/>
            </w:r>
            <w:r>
              <w:rPr>
                <w:rFonts w:ascii="仿宋_GB2312" w:hAnsi="仿宋_GB2312" w:cs="仿宋_GB2312" w:eastAsia="仿宋_GB2312"/>
              </w:rPr>
              <w:t xml:space="preserve"> 《中华人民共和国数据安全法》</w:t>
            </w:r>
            <w:r>
              <w:br/>
            </w:r>
            <w:r>
              <w:rPr>
                <w:rFonts w:ascii="仿宋_GB2312" w:hAnsi="仿宋_GB2312" w:cs="仿宋_GB2312" w:eastAsia="仿宋_GB2312"/>
              </w:rPr>
              <w:t xml:space="preserve"> 《中华人民共和国个人信息保护法》</w:t>
            </w:r>
            <w:r>
              <w:br/>
            </w:r>
            <w:r>
              <w:rPr>
                <w:rFonts w:ascii="仿宋_GB2312" w:hAnsi="仿宋_GB2312" w:cs="仿宋_GB2312" w:eastAsia="仿宋_GB2312"/>
              </w:rPr>
              <w:t xml:space="preserve"> 《网络数据安全管理条例》</w:t>
            </w:r>
            <w:r>
              <w:br/>
            </w:r>
            <w:r>
              <w:rPr>
                <w:rFonts w:ascii="仿宋_GB2312" w:hAnsi="仿宋_GB2312" w:cs="仿宋_GB2312" w:eastAsia="仿宋_GB2312"/>
              </w:rPr>
              <w:t xml:space="preserve"> 《关键信息基础设施安全保护条例》</w:t>
            </w:r>
            <w:r>
              <w:br/>
            </w:r>
            <w:r>
              <w:rPr>
                <w:rFonts w:ascii="仿宋_GB2312" w:hAnsi="仿宋_GB2312" w:cs="仿宋_GB2312" w:eastAsia="仿宋_GB2312"/>
              </w:rPr>
              <w:t xml:space="preserve"> （二）参照标准</w:t>
            </w:r>
            <w:r>
              <w:br/>
            </w:r>
            <w:r>
              <w:rPr>
                <w:rFonts w:ascii="仿宋_GB2312" w:hAnsi="仿宋_GB2312" w:cs="仿宋_GB2312" w:eastAsia="仿宋_GB2312"/>
              </w:rPr>
              <w:t xml:space="preserve"> 《信息安全技术信息安全风险评估方法》（GB/T20984-2022）</w:t>
            </w:r>
            <w:r>
              <w:br/>
            </w:r>
            <w:r>
              <w:rPr>
                <w:rFonts w:ascii="仿宋_GB2312" w:hAnsi="仿宋_GB2312" w:cs="仿宋_GB2312" w:eastAsia="仿宋_GB2312"/>
              </w:rPr>
              <w:t xml:space="preserve"> 《信息技术安全技术信息安全管理监视、测量、分析和评价》（GB/T31497-2024）</w:t>
            </w:r>
            <w:r>
              <w:br/>
            </w:r>
            <w:r>
              <w:rPr>
                <w:rFonts w:ascii="仿宋_GB2312" w:hAnsi="仿宋_GB2312" w:cs="仿宋_GB2312" w:eastAsia="仿宋_GB2312"/>
              </w:rPr>
              <w:t xml:space="preserve"> 《信息安全技术安全漏洞分类》（GB/T33561-2017）</w:t>
            </w:r>
            <w:r>
              <w:br/>
            </w:r>
            <w:r>
              <w:rPr>
                <w:rFonts w:ascii="仿宋_GB2312" w:hAnsi="仿宋_GB2312" w:cs="仿宋_GB2312" w:eastAsia="仿宋_GB2312"/>
              </w:rPr>
              <w:t xml:space="preserve"> 《信息安全技术网络安全漏洞管理规范》（GB/T30276-2020）</w:t>
            </w:r>
            <w:r>
              <w:br/>
            </w:r>
            <w:r>
              <w:rPr>
                <w:rFonts w:ascii="仿宋_GB2312" w:hAnsi="仿宋_GB2312" w:cs="仿宋_GB2312" w:eastAsia="仿宋_GB2312"/>
              </w:rPr>
              <w:t xml:space="preserve"> 《信息安全技术网络攻击定义及描述规范》（GB/T37027-2018）</w:t>
            </w:r>
            <w:r>
              <w:br/>
            </w:r>
            <w:r>
              <w:rPr>
                <w:rFonts w:ascii="仿宋_GB2312" w:hAnsi="仿宋_GB2312" w:cs="仿宋_GB2312" w:eastAsia="仿宋_GB2312"/>
              </w:rPr>
              <w:t xml:space="preserve"> 《信息安全技术网络安全漏洞分类分级指南》（GB/T 30279-2020）</w:t>
            </w:r>
            <w:r>
              <w:br/>
            </w:r>
            <w:r>
              <w:rPr>
                <w:rFonts w:ascii="仿宋_GB2312" w:hAnsi="仿宋_GB2312" w:cs="仿宋_GB2312" w:eastAsia="仿宋_GB2312"/>
              </w:rPr>
              <w:t xml:space="preserve"> 《信息安全技术网络安全漏洞标识与描述规范》（GB/T28458-2020）</w:t>
            </w:r>
            <w:r>
              <w:br/>
            </w:r>
            <w:r>
              <w:rPr>
                <w:rFonts w:ascii="仿宋_GB2312" w:hAnsi="仿宋_GB2312" w:cs="仿宋_GB2312" w:eastAsia="仿宋_GB2312"/>
              </w:rPr>
              <w:t xml:space="preserve"> 《信息安全技术个人信息安全规范》（GB/T35273-2020）</w:t>
            </w:r>
            <w:r>
              <w:br/>
            </w:r>
            <w:r>
              <w:rPr>
                <w:rFonts w:ascii="仿宋_GB2312" w:hAnsi="仿宋_GB2312" w:cs="仿宋_GB2312" w:eastAsia="仿宋_GB2312"/>
              </w:rPr>
              <w:t xml:space="preserve"> 《信息安全技术办公设备安全测试方法》（GB/T38558-2020）</w:t>
            </w:r>
            <w:r>
              <w:br/>
            </w:r>
            <w:r>
              <w:rPr>
                <w:rFonts w:ascii="仿宋_GB2312" w:hAnsi="仿宋_GB2312" w:cs="仿宋_GB2312" w:eastAsia="仿宋_GB2312"/>
              </w:rPr>
              <w:t xml:space="preserve"> 《信息安全技术信息安全应急响应计划规范》（GB/T24363-2009）</w:t>
            </w:r>
            <w:r>
              <w:br/>
            </w:r>
            <w:r>
              <w:rPr>
                <w:rFonts w:ascii="仿宋_GB2312" w:hAnsi="仿宋_GB2312" w:cs="仿宋_GB2312" w:eastAsia="仿宋_GB2312"/>
              </w:rPr>
              <w:t xml:space="preserve"> ★四、服务（商务）要求</w:t>
            </w:r>
            <w:r>
              <w:br/>
            </w:r>
            <w:r>
              <w:rPr>
                <w:rFonts w:ascii="仿宋_GB2312" w:hAnsi="仿宋_GB2312" w:cs="仿宋_GB2312" w:eastAsia="仿宋_GB2312"/>
              </w:rPr>
              <w:t xml:space="preserve"> （一）服务期限</w:t>
            </w:r>
            <w:r>
              <w:br/>
            </w:r>
            <w:r>
              <w:rPr>
                <w:rFonts w:ascii="仿宋_GB2312" w:hAnsi="仿宋_GB2312" w:cs="仿宋_GB2312" w:eastAsia="仿宋_GB2312"/>
              </w:rPr>
              <w:t xml:space="preserve"> 合同签订，接到通知后90天内完成所有检查任务，并提交相关报告。</w:t>
            </w:r>
            <w:r>
              <w:br/>
            </w:r>
            <w:r>
              <w:rPr>
                <w:rFonts w:ascii="仿宋_GB2312" w:hAnsi="仿宋_GB2312" w:cs="仿宋_GB2312" w:eastAsia="仿宋_GB2312"/>
              </w:rPr>
              <w:t xml:space="preserve"> （二）验收标准</w:t>
            </w:r>
            <w:r>
              <w:br/>
            </w:r>
            <w:r>
              <w:rPr>
                <w:rFonts w:ascii="仿宋_GB2312" w:hAnsi="仿宋_GB2312" w:cs="仿宋_GB2312" w:eastAsia="仿宋_GB2312"/>
              </w:rPr>
              <w:t xml:space="preserve"> 项目完成后，供应商提出验收申请，采购人组织对供应商的服务及报告进行验收，验收合格出具验收合格单。</w:t>
            </w:r>
            <w:r>
              <w:br/>
            </w:r>
            <w:r>
              <w:rPr>
                <w:rFonts w:ascii="仿宋_GB2312" w:hAnsi="仿宋_GB2312" w:cs="仿宋_GB2312" w:eastAsia="仿宋_GB2312"/>
              </w:rPr>
              <w:t xml:space="preserve"> 验收依据：1.采购文件；2.响应文件；3.相关法规、规范。</w:t>
            </w:r>
            <w:r>
              <w:br/>
            </w:r>
            <w:r>
              <w:rPr>
                <w:rFonts w:ascii="仿宋_GB2312" w:hAnsi="仿宋_GB2312" w:cs="仿宋_GB2312" w:eastAsia="仿宋_GB2312"/>
              </w:rPr>
              <w:t xml:space="preserve"> （三）款项结算</w:t>
            </w:r>
            <w:r>
              <w:br/>
            </w:r>
            <w:r>
              <w:rPr>
                <w:rFonts w:ascii="仿宋_GB2312" w:hAnsi="仿宋_GB2312" w:cs="仿宋_GB2312" w:eastAsia="仿宋_GB2312"/>
              </w:rPr>
              <w:t xml:space="preserve"> 在合同签订后10日内，支付合同总额的50%；网络安全检查服务验收完成后，支付合同金额的50%。</w:t>
            </w:r>
            <w:r>
              <w:br/>
            </w:r>
            <w:r>
              <w:rPr>
                <w:rFonts w:ascii="仿宋_GB2312" w:hAnsi="仿宋_GB2312" w:cs="仿宋_GB2312" w:eastAsia="仿宋_GB2312"/>
              </w:rPr>
              <w:t xml:space="preserve"> （四）违约责任</w:t>
            </w:r>
            <w:r>
              <w:br/>
            </w:r>
            <w:r>
              <w:rPr>
                <w:rFonts w:ascii="仿宋_GB2312" w:hAnsi="仿宋_GB2312" w:cs="仿宋_GB2312" w:eastAsia="仿宋_GB2312"/>
              </w:rPr>
              <w:t xml:space="preserve"> 按照《中华人民共和国民法典》相关规定执行。</w:t>
            </w:r>
            <w:r>
              <w:br/>
            </w:r>
            <w:r>
              <w:rPr>
                <w:rFonts w:ascii="仿宋_GB2312" w:hAnsi="仿宋_GB2312" w:cs="仿宋_GB2312" w:eastAsia="仿宋_GB2312"/>
              </w:rPr>
              <w:t xml:space="preserve"> 注：★项为实质性要求，不得负偏离。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详见采购文件、采购合同及采购人要求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详见采购文件、采购合同及采购人要求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详见采购文件、采购合同及采购人要求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合同签订，接到通知后90天内完成所有检查任务，并提交相关报告。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合同签订，接到通知后90天内完成所有检查任务，并提交相关报告。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西安市医疗保险基金管理中心，采购人指定地点。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西安市医疗保险基金管理中心，采购人指定地点。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项目完成后，供应商提出验收申请，采购人组织对供应商的服务及报告进行验收，验收合格出具验收合格单。验收依据：1.采购文件；2.响应文件；3.相关法规、规范。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项目完成后，供应商提出验收申请，采购人组织对供应商的服务及报告进行验收，验收合格出具验收合格单。验收依据：1.采购文件；2.响应文件；3.相关法规、规范。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在合同签订后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网络安全检查服务验收完成后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在合同签订后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网络安全检查服务验收完成后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详见采购文件、采购合同及采购人要求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详见采购文件、采购合同及采购人要求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2、为顺利推进政府采购电子化交易平台应用工作，中标供应商需要在领取成交通知书时向代理机构提供纸质版投标文件正本壹份、副本贰份。 若电子投标文件与纸质版投标文件不一致的，以电子投标文件为准。纸质版文件提交地址为：西安市未央区北二环大明宫立交桥百寰国际2705室。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2024年度或2025年度经审计的财务报告或在2025年10月01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2024年度或2025年度经审计的财务报告或在2025年10月01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2024年度或2025年度经审计的财务报告或在2025年10月01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有依法缴纳税收和社会保障资金的良好记录：提供时间在2025年10月01日至今任意一个月的缴纳证明；供应商需在项目电子化交易系统中按要求上传相应证明文件并进行电子签章。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2024年度或2025年度经审计的财务报告或在2025年10月01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有依法缴纳税收和社会保障资金的良好记录：提供时间在2025年10月01日至今任意一个月的缴纳证明；供应商需在项目电子化交易系统中按要求上传相应证明文件并进行电子签章。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①参加政府采购活动前三年内，在经营活动中没有重大违法记录的书面声明；②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①以上为供应商的必备资格要求，资格证明文件无效或缺项的响应文件按无效文件处理；②分支机构参与投标时，须提供分支机构符合资格要求的证明文件；③书面声明、法定代表人身份证明和法定代表人授权委托书应按竞争性磋商文件的要求填写，响应文件中必须附原件，其他资格证明文件提供复印件并加盖供应商公章；④依法免税或不需要缴纳社会保障资金的供应商须提供相应证明文件；事业单位法人可不提供财务状况报告、缴纳税收证明及社会保障资金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响应文件有效期是否符合竞争性磋商文件要求</w:t>
            </w:r>
          </w:p>
        </w:tc>
        <w:tc>
          <w:tcPr>
            <w:tcW w:type="dxa" w:w="1661"/>
          </w:tcPr>
          <w:p>
            <w:pPr>
              <w:pStyle w:val="null3"/>
            </w:pPr>
            <w:r>
              <w:rPr>
                <w:rFonts w:ascii="仿宋_GB2312" w:hAnsi="仿宋_GB2312" w:cs="仿宋_GB2312" w:eastAsia="仿宋_GB2312"/>
              </w:rPr>
              <w:t>响应函 磋商函.docx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响应文件是否符合竞争性磋商文件签字、盖章要求</w:t>
            </w:r>
          </w:p>
        </w:tc>
        <w:tc>
          <w:tcPr>
            <w:tcW w:type="dxa" w:w="1661"/>
          </w:tcPr>
          <w:p>
            <w:pPr>
              <w:pStyle w:val="null3"/>
            </w:pPr>
            <w:r>
              <w:rPr>
                <w:rFonts w:ascii="仿宋_GB2312" w:hAnsi="仿宋_GB2312" w:cs="仿宋_GB2312" w:eastAsia="仿宋_GB2312"/>
              </w:rPr>
              <w:t>响应文件封面 供应商参加政府采购活动承诺书.docx 第一次磋商报价表.docx 供应商认为需要提供的其他资料.docx 中小企业声明函 技术、商务条款响应偏离表.docx 标的清单 响应函 资格证明文件.docx 磋商函.docx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报价要求</w:t>
            </w:r>
          </w:p>
        </w:tc>
        <w:tc>
          <w:tcPr>
            <w:tcW w:type="dxa" w:w="3322"/>
          </w:tcPr>
          <w:p>
            <w:pPr>
              <w:pStyle w:val="null3"/>
            </w:pPr>
            <w:r>
              <w:rPr>
                <w:rFonts w:ascii="仿宋_GB2312" w:hAnsi="仿宋_GB2312" w:cs="仿宋_GB2312" w:eastAsia="仿宋_GB2312"/>
              </w:rPr>
              <w:t>（1）磋商报价是否符合唯一性要求； （2）磋商一览表填写是否符合要求； （3）计量单位、报价货币均是否符合磋商文件要求； （4）未超出采购预算或竞争性磋商文件规定的最高限价。</w:t>
            </w:r>
          </w:p>
        </w:tc>
        <w:tc>
          <w:tcPr>
            <w:tcW w:type="dxa" w:w="1661"/>
          </w:tcPr>
          <w:p>
            <w:pPr>
              <w:pStyle w:val="null3"/>
            </w:pPr>
            <w:r>
              <w:rPr>
                <w:rFonts w:ascii="仿宋_GB2312" w:hAnsi="仿宋_GB2312" w:cs="仿宋_GB2312" w:eastAsia="仿宋_GB2312"/>
              </w:rPr>
              <w:t>第一次磋商报价表.docx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响应文件是否符合竞争性磋商文件相关要求；不能有任何采购人不能接受的附加条件。</w:t>
            </w:r>
          </w:p>
        </w:tc>
        <w:tc>
          <w:tcPr>
            <w:tcW w:type="dxa" w:w="1661"/>
          </w:tcPr>
          <w:p>
            <w:pPr>
              <w:pStyle w:val="null3"/>
            </w:pPr>
            <w:r>
              <w:rPr>
                <w:rFonts w:ascii="仿宋_GB2312" w:hAnsi="仿宋_GB2312" w:cs="仿宋_GB2312" w:eastAsia="仿宋_GB2312"/>
              </w:rPr>
              <w:t>技术、商务条款响应偏离表.docx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技术、商务条款响应偏离表.docx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响应文件有效期是否符合竞争性磋商文件要求</w:t>
            </w:r>
          </w:p>
        </w:tc>
        <w:tc>
          <w:tcPr>
            <w:tcW w:type="dxa" w:w="1661"/>
          </w:tcPr>
          <w:p>
            <w:pPr>
              <w:pStyle w:val="null3"/>
            </w:pPr>
            <w:r>
              <w:rPr>
                <w:rFonts w:ascii="仿宋_GB2312" w:hAnsi="仿宋_GB2312" w:cs="仿宋_GB2312" w:eastAsia="仿宋_GB2312"/>
              </w:rPr>
              <w:t>响应函 磋商函.docx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响应文件是否符合竞争性磋商文件签字、盖章要求</w:t>
            </w:r>
          </w:p>
        </w:tc>
        <w:tc>
          <w:tcPr>
            <w:tcW w:type="dxa" w:w="1661"/>
          </w:tcPr>
          <w:p>
            <w:pPr>
              <w:pStyle w:val="null3"/>
            </w:pPr>
            <w:r>
              <w:rPr>
                <w:rFonts w:ascii="仿宋_GB2312" w:hAnsi="仿宋_GB2312" w:cs="仿宋_GB2312" w:eastAsia="仿宋_GB2312"/>
              </w:rPr>
              <w:t>响应文件封面 供应商参加政府采购活动承诺书.docx 第一次磋商报价表.docx 供应商认为需要提供的其他资料.docx 中小企业声明函 技术、商务条款响应偏离表.docx 标的清单 响应函 资格证明文件.docx 磋商函.docx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报价要求</w:t>
            </w:r>
          </w:p>
        </w:tc>
        <w:tc>
          <w:tcPr>
            <w:tcW w:type="dxa" w:w="3322"/>
          </w:tcPr>
          <w:p>
            <w:pPr>
              <w:pStyle w:val="null3"/>
            </w:pPr>
            <w:r>
              <w:rPr>
                <w:rFonts w:ascii="仿宋_GB2312" w:hAnsi="仿宋_GB2312" w:cs="仿宋_GB2312" w:eastAsia="仿宋_GB2312"/>
              </w:rPr>
              <w:t>（1）磋商报价是否符合唯一性要求； （2）磋商一览表填写是否符合要求； （3）计量单位、报价货币均是否符合磋商文件要求； （4）未超出采购预算或竞争性磋商文件规定的最高限价。</w:t>
            </w:r>
          </w:p>
        </w:tc>
        <w:tc>
          <w:tcPr>
            <w:tcW w:type="dxa" w:w="1661"/>
          </w:tcPr>
          <w:p>
            <w:pPr>
              <w:pStyle w:val="null3"/>
            </w:pPr>
            <w:r>
              <w:rPr>
                <w:rFonts w:ascii="仿宋_GB2312" w:hAnsi="仿宋_GB2312" w:cs="仿宋_GB2312" w:eastAsia="仿宋_GB2312"/>
              </w:rPr>
              <w:t>第一次磋商报价表.docx 标的清单 磋商函.docx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响应文件是否符合竞争性磋商文件相关要求；不能有任何采购人不能接受的附加条件。</w:t>
            </w:r>
          </w:p>
        </w:tc>
        <w:tc>
          <w:tcPr>
            <w:tcW w:type="dxa" w:w="1661"/>
          </w:tcPr>
          <w:p>
            <w:pPr>
              <w:pStyle w:val="null3"/>
            </w:pPr>
            <w:r>
              <w:rPr>
                <w:rFonts w:ascii="仿宋_GB2312" w:hAnsi="仿宋_GB2312" w:cs="仿宋_GB2312" w:eastAsia="仿宋_GB2312"/>
              </w:rPr>
              <w:t>技术、商务条款响应偏离表.docx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技术、商务条款响应偏离表.docx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制定专门的医保网络安全检查服务方案，包括①项目背景和工作内容理解、②医保网络安全检查方案、③网络安全运维服务方案、④合规性检查及运维成果（含检查报告、建议书、复核报告等）交付方案 二、评审标准 1、完整性：方案必须全面，对评审内容中的各项要求有详细描述； 2、可实施性：切合本项目实际情况，提出步骤清晰、合理的方案。 3、针对性：方案能够紧扣项目实际情况，内容科学合理。 三、赋分标准（满分24分） 每小项：每完全满足一个评审标准得2分，每小项满分6分；共4小项，满分24分。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1.服务方案.docx</w:t>
            </w:r>
          </w:p>
        </w:tc>
      </w:tr>
      <w:tr>
        <w:tc>
          <w:tcPr>
            <w:tcW w:type="dxa" w:w="831"/>
            <w:vMerge/>
          </w:tcPr>
          <w:p/>
        </w:tc>
        <w:tc>
          <w:tcPr>
            <w:tcW w:type="dxa" w:w="1661"/>
          </w:tcPr>
          <w:p>
            <w:pPr>
              <w:pStyle w:val="null3"/>
            </w:pPr>
            <w:r>
              <w:rPr>
                <w:rFonts w:ascii="仿宋_GB2312" w:hAnsi="仿宋_GB2312" w:cs="仿宋_GB2312" w:eastAsia="仿宋_GB2312"/>
              </w:rPr>
              <w:t>拟投入人员及设备</w:t>
            </w:r>
          </w:p>
        </w:tc>
        <w:tc>
          <w:tcPr>
            <w:tcW w:type="dxa" w:w="2492"/>
          </w:tcPr>
          <w:p>
            <w:pPr>
              <w:pStyle w:val="null3"/>
            </w:pPr>
            <w:r>
              <w:rPr>
                <w:rFonts w:ascii="仿宋_GB2312" w:hAnsi="仿宋_GB2312" w:cs="仿宋_GB2312" w:eastAsia="仿宋_GB2312"/>
              </w:rPr>
              <w:t>一、评审内容 供应商针对本项目制定专门的医保网络安全检查服务能力保障方案，包括①项目团队配置（人员数量不得少于4人，并具备相关专业资格证书）、②各岗位拟派专业人员责任制度及职责划分、③检测工具（须详细列明工具名称、型号及用途，能够满足医保网络安全检查全部需求） 二、评审标准 1、完整性：方案必须全面，对评审内容中的各项要求有详细描述； 2、可实施性：切合本项目实际情况，提出步骤清晰、合理的方案。 3、针对性：方案能够紧扣项目实际情况，内容科学合理。 三、赋分标准（满分18分） 每小项：每完全满足一个评审标准得2分，每小项满分6分；共3小项，满分18分。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3.拟投入人员及设备.docx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供应商针对本项目制定专门的保密措施，包括①检查过程中接触的电子数据、数据库信息等的保密措施、②项目人员现场管理、行为规范及防止违规操作的应对措施； 二、评审标准 1、完整性：方案必须全面，对评审内容中的各项要求有详细描述； 2、可实施性：切合本项目实际情况，提出步骤清晰、合理的方案。 3、针对性：方案能够紧扣项目实际情况，内容科学合理。 三、赋分标准（满分6分） 每小项：每完全满足一个评审标准得1分，每小项满分3分；共2小项，满分6分。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2.保密措施.docx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制定专门的应急方案，包括①对运维内容进行应急情况的识别，②对各类应急情况的方案（如系统数据库故障、业务中断等突发情况的响应、排查与处置应急方案及临时性任务的资源保障应急方案，针对非工作时间的系统支持应急方案等），③应急情况的处置流程。 二、评审标准 1、完整性：方案必须全面，对评审内容中的各项要求有详细描述。 2、可实施性：切合本项目实际情况，提出步骤清晰、合理的方案。 3、针对性：方案能够紧扣医院业务连续性和紧急任务保障的实际需求，内容科学合理。 三、赋分标准（满分12分） ①对运维内容进行应急情况的识别：每完全满足一个评审标准得1.5分，满分4.5分。 ②对各类应急情况的方案：每完全满足一个评审标准得1.5分，满分4.5分。 ③应急情况的处置流程：每完全满足一个评审标准得1分，满分3分。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6.应急方案.docx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 供应商针对本项目制定专门的服务质量保障方案，包括①服务周期及响应机制、②服务质量保障承诺（承诺服务响应及时、服务质量达标）、③培训服务（提供医保网络安全相关培训服务，培训内容、培训次数、培训人数等）、④现场服务能力（承诺自行前往被检单位，提供本地化现场服务）。 二、评审标准 1、完整性：方案必须全面，对评审内容中的各项要求有详细描述； 2、可实施性：切合本项目实际情况，提出步骤清晰、合理的方案。 3、针对性：方案能够紧扣项目实际情况，内容科学合理。 三、赋分标准（满分24分） 每小项：每完全满足一个评审标准得2分，每小项满分6分；共4小项，满分24分。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4.服务质量保障方案.docx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2023年1月1日至今（以合同签订时间为准）类似业绩合同，每提供一份得1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磋商函.docx</w:t>
            </w:r>
          </w:p>
          <w:p>
            <w:pPr>
              <w:pStyle w:val="null3"/>
            </w:pPr>
            <w:r>
              <w:rPr>
                <w:rFonts w:ascii="仿宋_GB2312" w:hAnsi="仿宋_GB2312" w:cs="仿宋_GB2312" w:eastAsia="仿宋_GB2312"/>
              </w:rPr>
              <w:t>第一次磋商报价表.docx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4、磋商报价不完整的，不进入磋商基准价的计算，本项得0分。5、其他要求详见采购文件。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供应商针对本项目制定专门的医保网络安全检查服务方案，包括①项目背景和工作内容理解、②医保网络安全检查方案、③进度计划安排和保障措施、④合规性检查成果交付方案。 二、评审标准 1、完整性：方案必须全面，对评审内容中的各项要求有详细描述； 2、可实施性：切合本项目实际情况，提出步骤清晰、合理的方案。 3、针对性：方案能够紧扣项目实际情况，内容科学合理。 三、赋分标准（满分24分） 每小项：每完全满足一个评审标准得2分，每小项满分6分；共4小项，满分24分。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1.服务方案.docx</w:t>
            </w:r>
          </w:p>
        </w:tc>
      </w:tr>
      <w:tr>
        <w:tc>
          <w:tcPr>
            <w:tcW w:type="dxa" w:w="831"/>
            <w:vMerge/>
          </w:tcPr>
          <w:p/>
        </w:tc>
        <w:tc>
          <w:tcPr>
            <w:tcW w:type="dxa" w:w="1661"/>
          </w:tcPr>
          <w:p>
            <w:pPr>
              <w:pStyle w:val="null3"/>
            </w:pPr>
            <w:r>
              <w:rPr>
                <w:rFonts w:ascii="仿宋_GB2312" w:hAnsi="仿宋_GB2312" w:cs="仿宋_GB2312" w:eastAsia="仿宋_GB2312"/>
              </w:rPr>
              <w:t>拟投入人员及设备</w:t>
            </w:r>
          </w:p>
        </w:tc>
        <w:tc>
          <w:tcPr>
            <w:tcW w:type="dxa" w:w="2492"/>
          </w:tcPr>
          <w:p>
            <w:pPr>
              <w:pStyle w:val="null3"/>
            </w:pPr>
            <w:r>
              <w:rPr>
                <w:rFonts w:ascii="仿宋_GB2312" w:hAnsi="仿宋_GB2312" w:cs="仿宋_GB2312" w:eastAsia="仿宋_GB2312"/>
              </w:rPr>
              <w:t>一、评审内容 供应商针对本项目制定专门的医保网络安全检查服务能力保障方案，包括①项目团队配置（人员数量不得少于4人，并具备相关专业资格证书）、②各岗位拟派专业人员责任制度及职责划分、③检测工具（须详细列明工具名称、型号及用途，能够满足医保网络安全检查全部需求） 二、评审标准 1、完整性：方案必须全面，对评审内容中的各项要求有详细描述； 2、可实施性：切合本项目实际情况，提出步骤清晰、合理的方案。 3、针对性：方案能够紧扣项目实际情况，内容科学合理。 三、赋分标准（满分18分） 每小项：每完全满足一个评审标准得2分，每小项满分6分；共3小项，满分18分。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3.拟投入人员及设备.docx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供应商针对本项目制定专门的保密措施，包括①检查过程中接触的电子数据、数据库信息等的保密措施、②项目人员现场管理、行为规范及防止违规操作的应对措施； 二、评审标准 1、完整性：方案必须全面，对评审内容中的各项要求有详细描述； 2、可实施性：切合本项目实际情况，提出步骤清晰、合理的方案。 3、针对性：方案能够紧扣项目实际情况，内容科学合理。 三、赋分标准（满分6分） 每小项：每完全满足一个评审标准得1分，每小项满分3分；共2小项，满分6分。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2.保密措施.docx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制定专门的应急方案，包括①对运维内容进行应急情况的识别，②对各类应急情况的方案（如系统数据库故障、业务中断等突发情况的响应、排查与处置应急方案及临时性任务的资源保障应急方案，针对非工作时间的系统支持应急方案等），③应急情况的处置流程。 二、评审标准 1、完整性：方案必须全面，对评审内容中的各项要求有详细描述。 2、可实施性：切合本项目实际情况，提出步骤清晰、合理的方案。 3、针对性：方案能够紧扣医院业务连续性和紧急任务保障的实际需求，内容科学合理。 三、赋分标准（满分18分） 每小项：每完全满足一个评审标准得2分，每小项满分6分；共3小项，满分18分。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6.应急方案.docx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 供应商针对本项目制定专门的服务质量保障方案，包括①服务周期及响应机制、②服务质量保障承诺（承诺服务响应及时、服务质量达标、③现场服务能力（承诺自行前往被检单位，提供本地化现场服务）。 二、评审标准 1、完整性：方案必须全面，对评审内容中的各项要求有详细描述； 2、可实施性：切合本项目实际情况，提出步骤清晰、合理的方案。 3、针对性：方案能够紧扣项目实际情况，内容科学合理。 三、赋分标准（满分18分） 每小项：每完全满足一个评审标准得2分，每小项满分6分；共3小项，满分18分。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4.服务质量保障方案.docx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2023年1月1日至今（以合同签订时间为准）类似业绩合同，每提供一份得1 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磋商函.docx</w:t>
            </w:r>
          </w:p>
          <w:p>
            <w:pPr>
              <w:pStyle w:val="null3"/>
            </w:pPr>
            <w:r>
              <w:rPr>
                <w:rFonts w:ascii="仿宋_GB2312" w:hAnsi="仿宋_GB2312" w:cs="仿宋_GB2312" w:eastAsia="仿宋_GB2312"/>
              </w:rPr>
              <w:t>第一次磋商报价表.docx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4、磋商报价不完整的，不进入磋商基准价的计算，本项得0分。5、其他要求详见采购文件。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详见附件：技术、商务条款响应偏离表.docx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详见附件：1.服务方案.docx</w:t>
      </w:r>
    </w:p>
    <w:p>
      <w:pPr>
        <w:pStyle w:val="null3"/>
        <w:ind w:firstLine="960"/>
      </w:pPr>
      <w:r>
        <w:rPr>
          <w:rFonts w:ascii="仿宋_GB2312" w:hAnsi="仿宋_GB2312" w:cs="仿宋_GB2312" w:eastAsia="仿宋_GB2312"/>
        </w:rPr>
        <w:t>详见附件：2.保密措施.docx</w:t>
      </w:r>
    </w:p>
    <w:p>
      <w:pPr>
        <w:pStyle w:val="null3"/>
        <w:ind w:firstLine="960"/>
      </w:pPr>
      <w:r>
        <w:rPr>
          <w:rFonts w:ascii="仿宋_GB2312" w:hAnsi="仿宋_GB2312" w:cs="仿宋_GB2312" w:eastAsia="仿宋_GB2312"/>
        </w:rPr>
        <w:t>详见附件：3.拟投入人员及设备.docx</w:t>
      </w:r>
    </w:p>
    <w:p>
      <w:pPr>
        <w:pStyle w:val="null3"/>
        <w:ind w:firstLine="960"/>
      </w:pPr>
      <w:r>
        <w:rPr>
          <w:rFonts w:ascii="仿宋_GB2312" w:hAnsi="仿宋_GB2312" w:cs="仿宋_GB2312" w:eastAsia="仿宋_GB2312"/>
        </w:rPr>
        <w:t>详见附件：4.服务质量保障方案.docx</w:t>
      </w:r>
    </w:p>
    <w:p>
      <w:pPr>
        <w:pStyle w:val="null3"/>
        <w:ind w:firstLine="960"/>
      </w:pPr>
      <w:r>
        <w:rPr>
          <w:rFonts w:ascii="仿宋_GB2312" w:hAnsi="仿宋_GB2312" w:cs="仿宋_GB2312" w:eastAsia="仿宋_GB2312"/>
        </w:rPr>
        <w:t>详见附件：5.业绩.docx</w:t>
      </w:r>
    </w:p>
    <w:p>
      <w:pPr>
        <w:pStyle w:val="null3"/>
        <w:ind w:firstLine="960"/>
      </w:pPr>
      <w:r>
        <w:rPr>
          <w:rFonts w:ascii="仿宋_GB2312" w:hAnsi="仿宋_GB2312" w:cs="仿宋_GB2312" w:eastAsia="仿宋_GB2312"/>
        </w:rPr>
        <w:t>详见附件：6.应急方案.docx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详见附件：技术、商务条款响应偏离表.docx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详见附件：1.服务方案.docx</w:t>
      </w:r>
    </w:p>
    <w:p>
      <w:pPr>
        <w:pStyle w:val="null3"/>
        <w:ind w:firstLine="960"/>
      </w:pPr>
      <w:r>
        <w:rPr>
          <w:rFonts w:ascii="仿宋_GB2312" w:hAnsi="仿宋_GB2312" w:cs="仿宋_GB2312" w:eastAsia="仿宋_GB2312"/>
        </w:rPr>
        <w:t>详见附件：2.保密措施.docx</w:t>
      </w:r>
    </w:p>
    <w:p>
      <w:pPr>
        <w:pStyle w:val="null3"/>
        <w:ind w:firstLine="960"/>
      </w:pPr>
      <w:r>
        <w:rPr>
          <w:rFonts w:ascii="仿宋_GB2312" w:hAnsi="仿宋_GB2312" w:cs="仿宋_GB2312" w:eastAsia="仿宋_GB2312"/>
        </w:rPr>
        <w:t>详见附件：3.拟投入人员及设备.docx</w:t>
      </w:r>
    </w:p>
    <w:p>
      <w:pPr>
        <w:pStyle w:val="null3"/>
        <w:ind w:firstLine="960"/>
      </w:pPr>
      <w:r>
        <w:rPr>
          <w:rFonts w:ascii="仿宋_GB2312" w:hAnsi="仿宋_GB2312" w:cs="仿宋_GB2312" w:eastAsia="仿宋_GB2312"/>
        </w:rPr>
        <w:t>详见附件：4.服务质量保障方案.docx</w:t>
      </w:r>
    </w:p>
    <w:p>
      <w:pPr>
        <w:pStyle w:val="null3"/>
        <w:ind w:firstLine="960"/>
      </w:pPr>
      <w:r>
        <w:rPr>
          <w:rFonts w:ascii="仿宋_GB2312" w:hAnsi="仿宋_GB2312" w:cs="仿宋_GB2312" w:eastAsia="仿宋_GB2312"/>
        </w:rPr>
        <w:t>详见附件：5.业绩.docx</w:t>
      </w:r>
    </w:p>
    <w:p>
      <w:pPr>
        <w:pStyle w:val="null3"/>
        <w:ind w:firstLine="960"/>
      </w:pPr>
      <w:r>
        <w:rPr>
          <w:rFonts w:ascii="仿宋_GB2312" w:hAnsi="仿宋_GB2312" w:cs="仿宋_GB2312" w:eastAsia="仿宋_GB2312"/>
        </w:rPr>
        <w:t>详见附件：6.应急方案.docx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