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EE4A4">
      <w:pPr>
        <w:spacing w:line="360" w:lineRule="auto"/>
        <w:jc w:val="center"/>
        <w:rPr>
          <w:rFonts w:hint="eastAsia" w:ascii="Times New Roman" w:hAnsi="Times New Roman" w:eastAsia="宋体" w:cs="Times New Roman"/>
          <w:b/>
          <w:bCs w:val="0"/>
          <w:kern w:val="44"/>
          <w:sz w:val="28"/>
          <w:szCs w:val="28"/>
          <w:highlight w:val="none"/>
          <w:lang w:val="en-US" w:eastAsia="zh-CN" w:bidi="ar-SA"/>
        </w:rPr>
      </w:pPr>
      <w:r>
        <w:rPr>
          <w:rFonts w:hint="eastAsia" w:ascii="Times New Roman" w:hAnsi="Times New Roman" w:cs="Times New Roman"/>
          <w:b/>
          <w:bCs w:val="0"/>
          <w:kern w:val="44"/>
          <w:sz w:val="28"/>
          <w:szCs w:val="28"/>
          <w:highlight w:val="none"/>
          <w:lang w:val="en-US" w:eastAsia="zh-CN" w:bidi="ar-SA"/>
        </w:rPr>
        <w:t>（一包）</w:t>
      </w:r>
      <w:r>
        <w:rPr>
          <w:rFonts w:hint="eastAsia" w:ascii="Times New Roman" w:hAnsi="Times New Roman" w:eastAsia="宋体" w:cs="Times New Roman"/>
          <w:b/>
          <w:bCs w:val="0"/>
          <w:kern w:val="44"/>
          <w:sz w:val="28"/>
          <w:szCs w:val="28"/>
          <w:highlight w:val="none"/>
          <w:lang w:val="en-US" w:eastAsia="zh-CN" w:bidi="ar-SA"/>
        </w:rPr>
        <w:t>拟签订合同条款及格式</w:t>
      </w:r>
    </w:p>
    <w:p w14:paraId="44571735">
      <w:pPr>
        <w:spacing w:line="360" w:lineRule="auto"/>
        <w:jc w:val="center"/>
        <w:rPr>
          <w:rFonts w:hint="eastAsia" w:ascii="宋体" w:hAnsi="宋体" w:cs="宋体"/>
          <w:b/>
          <w:color w:val="000000" w:themeColor="text1"/>
          <w:sz w:val="36"/>
          <w:szCs w:val="36"/>
          <w14:textFill>
            <w14:solidFill>
              <w14:schemeClr w14:val="tx1"/>
            </w14:solidFill>
          </w14:textFill>
        </w:rPr>
      </w:pPr>
      <w:r>
        <w:rPr>
          <w:rFonts w:hint="eastAsia" w:ascii="Times New Roman" w:hAnsi="Times New Roman" w:eastAsia="宋体" w:cs="Times New Roman"/>
          <w:b/>
          <w:bCs w:val="0"/>
          <w:kern w:val="44"/>
          <w:sz w:val="28"/>
          <w:szCs w:val="28"/>
          <w:highlight w:val="none"/>
          <w:lang w:val="en-US" w:eastAsia="zh-CN" w:bidi="ar-SA"/>
        </w:rPr>
        <w:t>（此合同为参考合同，具体以甲乙双方协商为准）</w:t>
      </w:r>
    </w:p>
    <w:p w14:paraId="0680DCD5">
      <w:pPr>
        <w:rPr>
          <w:rFonts w:hint="eastAsia" w:ascii="宋体" w:hAnsi="宋体" w:eastAsia="宋体" w:cs="宋体"/>
          <w:bCs/>
          <w:sz w:val="24"/>
          <w:szCs w:val="24"/>
        </w:rPr>
      </w:pPr>
    </w:p>
    <w:p w14:paraId="0A98A5B5">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甲方（采购人）： </w:t>
      </w:r>
    </w:p>
    <w:p w14:paraId="5A80176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乙方（中标人）： </w:t>
      </w:r>
    </w:p>
    <w:p w14:paraId="3134117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项目名称</w:t>
      </w: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包号</w:t>
      </w: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项目编号</w:t>
      </w:r>
      <w:r>
        <w:rPr>
          <w:rFonts w:hint="eastAsia" w:ascii="宋体" w:hAnsi="宋体" w:cs="宋体"/>
          <w:bCs/>
          <w:sz w:val="24"/>
          <w:szCs w:val="24"/>
          <w:u w:val="single"/>
          <w:lang w:eastAsia="zh-CN"/>
        </w:rPr>
        <w:t>）</w:t>
      </w:r>
      <w:r>
        <w:rPr>
          <w:rFonts w:hint="eastAsia" w:ascii="宋体" w:hAnsi="宋体" w:eastAsia="宋体" w:cs="宋体"/>
          <w:bCs/>
          <w:sz w:val="24"/>
          <w:szCs w:val="24"/>
        </w:rPr>
        <w:t>，由</w:t>
      </w:r>
      <w:r>
        <w:rPr>
          <w:rFonts w:hint="eastAsia" w:ascii="宋体" w:hAnsi="宋体" w:cs="宋体"/>
          <w:bCs/>
          <w:sz w:val="24"/>
          <w:szCs w:val="24"/>
          <w:lang w:val="en-US" w:eastAsia="zh-CN"/>
        </w:rPr>
        <w:t>陕西致恒招标代理有限公司</w:t>
      </w:r>
      <w:r>
        <w:rPr>
          <w:rFonts w:hint="eastAsia" w:ascii="宋体" w:hAnsi="宋体" w:eastAsia="宋体" w:cs="宋体"/>
          <w:bCs/>
          <w:sz w:val="24"/>
          <w:szCs w:val="24"/>
        </w:rPr>
        <w:t>组织</w:t>
      </w:r>
      <w:r>
        <w:rPr>
          <w:rFonts w:hint="eastAsia" w:ascii="宋体" w:hAnsi="宋体" w:eastAsia="宋体" w:cs="宋体"/>
          <w:bCs/>
          <w:sz w:val="24"/>
          <w:szCs w:val="24"/>
          <w:lang w:val="en-US" w:eastAsia="zh-CN"/>
        </w:rPr>
        <w:t>竞争性磋商</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(以下简称“甲方”)确定</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（以下简称“乙方”）为该项目的中标人。</w:t>
      </w:r>
    </w:p>
    <w:p w14:paraId="6A810562">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依据《中华人民共和国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》和《中华人民共和国政府采购法》之规定，经双方在平等、自愿、互利的基础上，签订本合同，共同信守。</w:t>
      </w:r>
    </w:p>
    <w:p w14:paraId="54335E7B">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一、合同价款</w:t>
      </w:r>
    </w:p>
    <w:p w14:paraId="427BB255">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（一）合同总价款为</w:t>
      </w:r>
      <w:r>
        <w:rPr>
          <w:rFonts w:hint="eastAsia" w:ascii="宋体" w:hAnsi="宋体" w:cs="宋体"/>
          <w:bCs/>
          <w:sz w:val="24"/>
          <w:szCs w:val="24"/>
          <w:lang w:eastAsia="zh-CN"/>
        </w:rPr>
        <w:t>：</w:t>
      </w:r>
      <w:r>
        <w:rPr>
          <w:rFonts w:hint="eastAsia" w:ascii="宋体" w:hAnsi="宋体" w:eastAsia="宋体" w:cs="宋体"/>
          <w:bCs/>
          <w:sz w:val="24"/>
          <w:szCs w:val="24"/>
        </w:rPr>
        <w:t>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EBF9493">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（二）合同总价是供应商响应磋商项目要求的全部工作内容的价格体现，包括供应商完成本项目所需的一切费用。</w:t>
      </w:r>
    </w:p>
    <w:p w14:paraId="471F1AC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（三）合同总价一次性包死，不受市场价格变化因素的影响。</w:t>
      </w:r>
    </w:p>
    <w:p w14:paraId="732911DB">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二、款项结算</w:t>
      </w:r>
    </w:p>
    <w:p w14:paraId="5B297BBB">
      <w:pPr>
        <w:widowControl/>
        <w:autoSpaceDE w:val="0"/>
        <w:autoSpaceDN w:val="0"/>
        <w:adjustRightInd w:val="0"/>
        <w:spacing w:line="360" w:lineRule="auto"/>
        <w:ind w:firstLine="480" w:firstLineChars="200"/>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rPr>
        <w:t>（一）合同</w:t>
      </w:r>
      <w:r>
        <w:rPr>
          <w:rFonts w:hint="eastAsia" w:ascii="宋体" w:hAnsi="宋体" w:eastAsia="宋体" w:cs="宋体"/>
          <w:bCs/>
          <w:kern w:val="2"/>
          <w:sz w:val="24"/>
          <w:szCs w:val="24"/>
          <w:lang w:val="en-US" w:eastAsia="zh-CN" w:bidi="ar-SA"/>
        </w:rPr>
        <w:t>款的支付：在合同签订后10日内，支付合同总额的50%；网络安全检查服务验收完成后，支付合同金额的50%。</w:t>
      </w:r>
    </w:p>
    <w:p w14:paraId="5C062A0F">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（二）结算方式：银行转账。</w:t>
      </w:r>
    </w:p>
    <w:p w14:paraId="390D87AD">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（三）支付方式：</w:t>
      </w:r>
      <w:r>
        <w:rPr>
          <w:rFonts w:hint="eastAsia" w:ascii="宋体" w:hAnsi="宋体" w:eastAsia="宋体" w:cs="宋体"/>
          <w:sz w:val="24"/>
          <w:szCs w:val="24"/>
          <w:lang w:val="zh-CN"/>
        </w:rPr>
        <w:t>由</w:t>
      </w:r>
      <w:r>
        <w:rPr>
          <w:rFonts w:hint="eastAsia" w:ascii="宋体" w:hAnsi="宋体" w:eastAsia="宋体" w:cs="宋体"/>
          <w:sz w:val="24"/>
          <w:szCs w:val="24"/>
        </w:rPr>
        <w:t>甲方</w:t>
      </w:r>
      <w:r>
        <w:rPr>
          <w:rFonts w:hint="eastAsia" w:ascii="宋体" w:hAnsi="宋体" w:eastAsia="宋体" w:cs="宋体"/>
          <w:sz w:val="24"/>
          <w:szCs w:val="24"/>
          <w:lang w:val="zh-CN"/>
        </w:rPr>
        <w:t>负责结算，合同签订后，乙方在接受付款前，开具全额发票给甲方。</w:t>
      </w:r>
    </w:p>
    <w:p w14:paraId="36DEC24D">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三、服务地点及服务期</w:t>
      </w:r>
    </w:p>
    <w:p w14:paraId="16B42450">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w:t>
      </w:r>
      <w:r>
        <w:rPr>
          <w:rFonts w:hint="eastAsia" w:ascii="宋体" w:hAnsi="宋体" w:eastAsia="宋体" w:cs="宋体"/>
          <w:bCs/>
          <w:sz w:val="24"/>
          <w:szCs w:val="24"/>
          <w:lang w:val="en-US" w:eastAsia="zh-CN"/>
        </w:rPr>
        <w:t>服务地点：西安市医疗保险基金管理中心</w:t>
      </w:r>
      <w:r>
        <w:rPr>
          <w:rFonts w:hint="eastAsia" w:ascii="宋体" w:hAnsi="宋体" w:cs="宋体"/>
          <w:bCs/>
          <w:sz w:val="24"/>
          <w:szCs w:val="24"/>
          <w:lang w:val="en-US" w:eastAsia="zh-CN"/>
        </w:rPr>
        <w:t>，采购人指定地点</w:t>
      </w:r>
      <w:r>
        <w:rPr>
          <w:rFonts w:hint="eastAsia" w:ascii="宋体" w:hAnsi="宋体" w:eastAsia="宋体" w:cs="宋体"/>
          <w:bCs/>
          <w:sz w:val="24"/>
          <w:szCs w:val="24"/>
        </w:rPr>
        <w:t>。</w:t>
      </w:r>
    </w:p>
    <w:p w14:paraId="1F04E7CE">
      <w:pPr>
        <w:tabs>
          <w:tab w:val="center" w:pos="4153"/>
          <w:tab w:val="right" w:pos="8306"/>
        </w:tabs>
        <w:snapToGrid w:val="0"/>
        <w:spacing w:line="360" w:lineRule="auto"/>
        <w:ind w:firstLine="480" w:firstLineChars="200"/>
        <w:jc w:val="left"/>
        <w:textAlignment w:val="baseline"/>
        <w:rPr>
          <w:rFonts w:hint="eastAsia" w:ascii="宋体" w:hAnsi="宋体" w:eastAsia="宋体" w:cs="宋体"/>
          <w:b/>
          <w:bCs/>
          <w:kern w:val="2"/>
          <w:sz w:val="24"/>
          <w:szCs w:val="24"/>
          <w:highlight w:val="red"/>
          <w:lang w:val="en-US" w:eastAsia="zh-CN" w:bidi="ar-SA"/>
        </w:rPr>
      </w:pPr>
      <w:r>
        <w:rPr>
          <w:rFonts w:hint="eastAsia" w:ascii="宋体" w:hAnsi="宋体" w:eastAsia="宋体" w:cs="宋体"/>
          <w:bCs/>
          <w:kern w:val="2"/>
          <w:sz w:val="24"/>
          <w:szCs w:val="24"/>
          <w:lang w:val="en-US" w:eastAsia="zh-CN" w:bidi="ar-SA"/>
        </w:rPr>
        <w:t>（二）服务期限：合同签订，接采购人通知后90天内完成所有检查任务，并提交相关报告。</w:t>
      </w:r>
      <w:r>
        <w:rPr>
          <w:rFonts w:hint="eastAsia" w:ascii="宋体" w:hAnsi="宋体" w:eastAsia="宋体" w:cs="宋体"/>
          <w:color w:val="000000"/>
          <w:kern w:val="15"/>
          <w:sz w:val="24"/>
          <w:szCs w:val="24"/>
          <w:highlight w:val="none"/>
          <w:lang w:val="en-US" w:eastAsia="zh-CN" w:bidi="ar-SA"/>
        </w:rPr>
        <w:t xml:space="preserve"> </w:t>
      </w:r>
    </w:p>
    <w:p w14:paraId="44E90A33">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四、服务承诺</w:t>
      </w:r>
    </w:p>
    <w:p w14:paraId="35E162BF">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（一）服务期内，乙方需派项目经理，直接与甲方沟通，项目经理接收甲方提出的问题与要求，并及时向公司申请调动资源，解决甲方在</w:t>
      </w:r>
      <w:r>
        <w:rPr>
          <w:rFonts w:hint="eastAsia" w:ascii="宋体" w:hAnsi="宋体" w:eastAsia="宋体" w:cs="宋体"/>
          <w:bCs/>
          <w:sz w:val="24"/>
          <w:szCs w:val="24"/>
          <w:lang w:eastAsia="zh-CN"/>
        </w:rPr>
        <w:t>呼叫外包</w:t>
      </w:r>
      <w:r>
        <w:rPr>
          <w:rFonts w:hint="eastAsia" w:ascii="宋体" w:hAnsi="宋体" w:eastAsia="宋体" w:cs="宋体"/>
          <w:bCs/>
          <w:sz w:val="24"/>
          <w:szCs w:val="24"/>
        </w:rPr>
        <w:t>中遇到的问题。</w:t>
      </w:r>
    </w:p>
    <w:p w14:paraId="2E3D5629">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FF0000"/>
          <w:sz w:val="24"/>
          <w:szCs w:val="24"/>
        </w:rPr>
      </w:pPr>
      <w:r>
        <w:rPr>
          <w:rFonts w:hint="eastAsia" w:ascii="宋体" w:hAnsi="宋体" w:eastAsia="宋体" w:cs="宋体"/>
          <w:bCs/>
          <w:sz w:val="24"/>
          <w:szCs w:val="24"/>
        </w:rPr>
        <w:t>（二）服务过程中会出现不可预料的需求变更，乙方需积极配合甲方的需求变更，并按照变更后的需求执行。</w:t>
      </w:r>
    </w:p>
    <w:p w14:paraId="5227CFE0">
      <w:pPr>
        <w:spacing w:line="360" w:lineRule="auto"/>
        <w:ind w:firstLine="480" w:firstLineChars="20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（三）乙方需设有详细的技术资料档案和服务档案，将保存项目的详细资料以便于更好地提供服务。</w:t>
      </w:r>
    </w:p>
    <w:p w14:paraId="33239CCA">
      <w:pPr>
        <w:widowControl/>
        <w:snapToGrid w:val="0"/>
        <w:spacing w:line="360" w:lineRule="auto"/>
        <w:ind w:firstLine="482" w:firstLineChars="200"/>
        <w:textAlignment w:val="baseline"/>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w:t>
      </w:r>
      <w:r>
        <w:rPr>
          <w:rFonts w:hint="eastAsia" w:ascii="宋体" w:hAnsi="宋体" w:eastAsia="宋体" w:cs="宋体"/>
          <w:b/>
          <w:sz w:val="24"/>
          <w:szCs w:val="24"/>
          <w:lang w:val="en-US" w:eastAsia="zh-CN"/>
        </w:rPr>
        <w:t>服务内容</w:t>
      </w:r>
    </w:p>
    <w:p w14:paraId="7427840B">
      <w:pPr>
        <w:widowControl/>
        <w:snapToGrid w:val="0"/>
        <w:spacing w:line="360" w:lineRule="auto"/>
        <w:ind w:firstLine="480" w:firstLineChars="200"/>
        <w:textAlignment w:val="baseline"/>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一）对全市9家医保经办机构、市医疗保险基金管理中心进行医保网络安全合规检查，检查内容包括但不限于：网络基本情况、网络安全管理机构情况、网络安全工作责任制、网络安全管理制度及运行情况、网络安全管理措施情况、安全物理环境情况、网络安全技术防护措施情况、网络安全应急管理情况、数据安全和个人信息保护法规落实情况、网络安全风险评估情况、漏洞风险管理情况、医保数据检查、数字证书检查，要求对每家被检测机构出具专项网络安全检查报告和整改建议书，能针对检查数据进行有效分析，形成行业主管单位网络安全管理工作建议。针对网络安全合规检查中发现的问题及各医保经办机构提交的整改报告，逐一开展现场复核，对照整改清单逐项核实整改措施落实情况，复核完毕后提交复核报告；</w:t>
      </w:r>
    </w:p>
    <w:p w14:paraId="50E248BF">
      <w:pPr>
        <w:widowControl/>
        <w:snapToGrid w:val="0"/>
        <w:spacing w:line="360" w:lineRule="auto"/>
        <w:ind w:firstLine="480" w:firstLineChars="200"/>
        <w:textAlignment w:val="baseline"/>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二）提供网络安全运维服务，包括但不限于：网络安全管理规范建设服务、网络安全培训服务、网络安全巡检服务、设备数据备份及恢复演练服务、应急预案及演练服务、网络安全应急响应服务、网络安全风险评估服务、漏洞管理服务、系统加固服务、配合检查服务、资料输出服务等；提供网络安全综合治理服务，建立并完善全市医保网络安全管理体系，提高西安市医保网络的安全防护水平。</w:t>
      </w:r>
    </w:p>
    <w:p w14:paraId="3519BC65">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六</w:t>
      </w:r>
      <w:r>
        <w:rPr>
          <w:rFonts w:hint="eastAsia" w:ascii="宋体" w:hAnsi="宋体" w:eastAsia="宋体" w:cs="宋体"/>
          <w:b/>
          <w:sz w:val="24"/>
          <w:szCs w:val="24"/>
          <w:lang w:val="en-US" w:eastAsia="zh-CN"/>
        </w:rPr>
        <w:t>、服务规范标准</w:t>
      </w:r>
    </w:p>
    <w:p w14:paraId="2FDEA05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（一）法律法规</w:t>
      </w:r>
    </w:p>
    <w:p w14:paraId="7EABDA0B">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《中华人民共和国网络安全法》</w:t>
      </w:r>
    </w:p>
    <w:p w14:paraId="60F82252">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《中华人民共和国数据安全法》</w:t>
      </w:r>
    </w:p>
    <w:p w14:paraId="509DB04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《中华人民共和国个人信息保护法》</w:t>
      </w:r>
    </w:p>
    <w:p w14:paraId="2835734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《网络数据安全管理条例》</w:t>
      </w:r>
    </w:p>
    <w:p w14:paraId="77762CAB">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《关键信息基础设施安全保护条例》</w:t>
      </w:r>
    </w:p>
    <w:p w14:paraId="446CE872">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（二）参照标准</w:t>
      </w:r>
    </w:p>
    <w:p w14:paraId="0A7F84DB">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《信息安全技术信息安全风险评估方法》（GB/T20984-2022）</w:t>
      </w:r>
    </w:p>
    <w:p w14:paraId="31E91154">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《信息技术安全技术信息安全管理监视、测量、分析和评价》（GB/T31497-2024）</w:t>
      </w:r>
    </w:p>
    <w:p w14:paraId="66372783">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《信息安全技术安全漏洞分类》（GB/T33561-2017）</w:t>
      </w:r>
      <w:bookmarkStart w:id="0" w:name="_GoBack"/>
      <w:bookmarkEnd w:id="0"/>
    </w:p>
    <w:p w14:paraId="04E18346">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《信息安全技术网络安全漏洞管理规范》（GB/T30276-2020）</w:t>
      </w:r>
    </w:p>
    <w:p w14:paraId="1E94C4F9">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《信息安全技术网络攻击定义及描述规范》（GB/T37027-2018）</w:t>
      </w:r>
    </w:p>
    <w:p w14:paraId="6823BDA3">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《信息安全技术网络安全漏洞分类分级指南》（GB/T 30279-2020）</w:t>
      </w:r>
    </w:p>
    <w:p w14:paraId="7D6AEF80">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《信息安全技术网络安全漏洞标识与描述规范》（GB/T28458-2020）</w:t>
      </w:r>
    </w:p>
    <w:p w14:paraId="6B79B604">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《信息安全技术个人信息安全规范》（GB/T35273-2020）</w:t>
      </w:r>
    </w:p>
    <w:p w14:paraId="4EA6169E">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《信息安全技术办公设备安全测试方法》（GB/T38558-2020）</w:t>
      </w:r>
    </w:p>
    <w:p w14:paraId="2324981C">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《信息安全技术信息安全应急响应计划规范》（GB/T24363-2009）</w:t>
      </w:r>
    </w:p>
    <w:p w14:paraId="6FA3562E">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七</w:t>
      </w:r>
      <w:r>
        <w:rPr>
          <w:rFonts w:hint="eastAsia" w:ascii="宋体" w:hAnsi="宋体" w:eastAsia="宋体" w:cs="宋体"/>
          <w:b/>
          <w:sz w:val="24"/>
          <w:szCs w:val="24"/>
        </w:rPr>
        <w:t>、</w:t>
      </w:r>
      <w:r>
        <w:rPr>
          <w:rFonts w:hint="eastAsia" w:ascii="宋体" w:hAnsi="宋体" w:eastAsia="宋体" w:cs="宋体"/>
          <w:b/>
          <w:sz w:val="24"/>
          <w:szCs w:val="24"/>
          <w:lang w:val="en-US" w:eastAsia="zh-CN"/>
        </w:rPr>
        <w:t>保密条款</w:t>
      </w:r>
    </w:p>
    <w:p w14:paraId="520249EE">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合同双方中的任何一方在合作过程中了解或接触到的对方的商业秘密及其他秘密资料和信息（简称“保密信息”） 均应保守秘密；未经对方书面同意，任何一方不得向媒介公开或向第三方透露、给予或转让保密信息。泄密的一方将对另一方因此而受到的损失负完全赔偿责任并承担相应的法律责任。</w:t>
      </w:r>
    </w:p>
    <w:p w14:paraId="04790FD9">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八</w:t>
      </w:r>
      <w:r>
        <w:rPr>
          <w:rFonts w:hint="eastAsia" w:ascii="宋体" w:hAnsi="宋体" w:eastAsia="宋体" w:cs="宋体"/>
          <w:b/>
          <w:sz w:val="24"/>
          <w:szCs w:val="24"/>
          <w:lang w:val="en-US" w:eastAsia="zh-CN"/>
        </w:rPr>
        <w:t>、验收</w:t>
      </w:r>
    </w:p>
    <w:p w14:paraId="0E0F4284">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项目完成后，供应商提出验收申请，采购人组织对供应商的服务及报告进行验收，验收合格出具验收合格单。</w:t>
      </w:r>
    </w:p>
    <w:p w14:paraId="5C47AC31">
      <w:pPr>
        <w:widowControl/>
        <w:snapToGrid w:val="0"/>
        <w:spacing w:line="360" w:lineRule="auto"/>
        <w:ind w:firstLine="480" w:firstLineChars="200"/>
        <w:textAlignment w:val="baseline"/>
        <w:rPr>
          <w:rFonts w:hint="default"/>
          <w:lang w:val="en-US" w:eastAsia="zh-CN"/>
        </w:rPr>
      </w:pPr>
      <w:r>
        <w:rPr>
          <w:rFonts w:hint="eastAsia" w:ascii="宋体" w:hAnsi="宋体" w:eastAsia="宋体" w:cs="宋体"/>
          <w:b w:val="0"/>
          <w:bCs/>
          <w:sz w:val="24"/>
          <w:szCs w:val="24"/>
          <w:lang w:val="en-US" w:eastAsia="zh-CN"/>
        </w:rPr>
        <w:t>验收依据：1.采购文件；2.响应文件；3.相关法规、规范。</w:t>
      </w:r>
    </w:p>
    <w:p w14:paraId="5615ABBE">
      <w:pPr>
        <w:widowControl/>
        <w:snapToGrid w:val="0"/>
        <w:spacing w:line="360" w:lineRule="auto"/>
        <w:ind w:firstLine="482" w:firstLineChars="200"/>
        <w:textAlignment w:val="baseline"/>
        <w:rPr>
          <w:rFonts w:hint="eastAsia" w:ascii="宋体" w:hAnsi="宋体" w:eastAsia="宋体" w:cs="宋体"/>
          <w:b/>
          <w:sz w:val="24"/>
          <w:szCs w:val="24"/>
        </w:rPr>
      </w:pPr>
      <w:r>
        <w:rPr>
          <w:rFonts w:hint="eastAsia" w:ascii="宋体" w:hAnsi="宋体" w:cs="宋体"/>
          <w:b/>
          <w:sz w:val="24"/>
          <w:szCs w:val="24"/>
          <w:lang w:val="en-US" w:eastAsia="zh-CN"/>
        </w:rPr>
        <w:t>九</w:t>
      </w:r>
      <w:r>
        <w:rPr>
          <w:rFonts w:hint="eastAsia" w:ascii="宋体" w:hAnsi="宋体" w:eastAsia="宋体" w:cs="宋体"/>
          <w:b/>
          <w:sz w:val="24"/>
          <w:szCs w:val="24"/>
          <w:lang w:val="en-US" w:eastAsia="zh-CN"/>
        </w:rPr>
        <w:t>、</w:t>
      </w:r>
      <w:r>
        <w:rPr>
          <w:rFonts w:hint="eastAsia" w:ascii="宋体" w:hAnsi="宋体" w:eastAsia="宋体" w:cs="宋体"/>
          <w:b/>
          <w:sz w:val="24"/>
          <w:szCs w:val="24"/>
        </w:rPr>
        <w:t>其它事项</w:t>
      </w:r>
    </w:p>
    <w:p w14:paraId="75817B82">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（一）乙方不得将项目转让、分包给其它单位或个人。</w:t>
      </w:r>
    </w:p>
    <w:p w14:paraId="49EB13E8">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（二）乙方的</w:t>
      </w:r>
      <w:r>
        <w:rPr>
          <w:rFonts w:hint="eastAsia" w:ascii="宋体" w:hAnsi="宋体" w:eastAsia="宋体" w:cs="宋体"/>
          <w:sz w:val="24"/>
          <w:szCs w:val="24"/>
          <w:lang w:eastAsia="zh-CN"/>
        </w:rPr>
        <w:t>投标</w:t>
      </w:r>
      <w:r>
        <w:rPr>
          <w:rFonts w:hint="eastAsia" w:ascii="宋体" w:hAnsi="宋体" w:eastAsia="宋体" w:cs="宋体"/>
          <w:sz w:val="24"/>
          <w:szCs w:val="24"/>
        </w:rPr>
        <w:t>文件和承诺等内容将列入合同。</w:t>
      </w:r>
    </w:p>
    <w:p w14:paraId="7934C618">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、违约责任</w:t>
      </w:r>
    </w:p>
    <w:p w14:paraId="3EC962E1">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（一）按照《中华人民共和国民法典》相关规定执行。</w:t>
      </w:r>
    </w:p>
    <w:p w14:paraId="0E92B792">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（二）按合同要求提供服务或服务质量不能满足采购</w:t>
      </w:r>
      <w:r>
        <w:rPr>
          <w:rFonts w:hint="eastAsia" w:ascii="宋体" w:hAnsi="宋体" w:eastAsia="宋体" w:cs="宋体"/>
          <w:bCs/>
          <w:sz w:val="24"/>
          <w:szCs w:val="24"/>
          <w:lang w:val="en-US" w:eastAsia="zh-CN"/>
        </w:rPr>
        <w:t>方</w:t>
      </w:r>
      <w:r>
        <w:rPr>
          <w:rFonts w:hint="eastAsia" w:ascii="宋体" w:hAnsi="宋体" w:eastAsia="宋体" w:cs="宋体"/>
          <w:bCs/>
          <w:sz w:val="24"/>
          <w:szCs w:val="24"/>
        </w:rPr>
        <w:t>要求，乙方必须无条件提高技术，完善服务质量，否则，甲方会同监督机构、采购代理机构有权终止合同并对乙方违约行为进行追究，同时按政府采购投标人管理办法进行相应的处罚。</w:t>
      </w:r>
    </w:p>
    <w:p w14:paraId="602B4039">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（三）任何一方因不可抗力原因不能履行协议时，应尽快通知对方，双方均设法补偿。如仍无法履约协议，可协商延缓或撤销协议，双方责任免除。</w:t>
      </w:r>
    </w:p>
    <w:p w14:paraId="2F3DE55D">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一</w:t>
      </w:r>
      <w:r>
        <w:rPr>
          <w:rFonts w:hint="eastAsia" w:ascii="宋体" w:hAnsi="宋体" w:eastAsia="宋体" w:cs="宋体"/>
          <w:b/>
          <w:bCs/>
          <w:sz w:val="24"/>
          <w:szCs w:val="24"/>
        </w:rPr>
        <w:t>、合同争议解决的方式</w:t>
      </w:r>
    </w:p>
    <w:p w14:paraId="0D362203">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本合同在履行过程中发生的争议，由甲、乙双方当事人协商解决，协商不成的按下列第</w:t>
      </w:r>
      <w:r>
        <w:rPr>
          <w:rFonts w:hint="eastAsia" w:ascii="宋体" w:hAnsi="宋体" w:eastAsia="宋体" w:cs="宋体"/>
          <w:bCs/>
          <w:sz w:val="24"/>
          <w:szCs w:val="24"/>
          <w:u w:val="single"/>
        </w:rPr>
        <w:t>（二）</w:t>
      </w:r>
      <w:r>
        <w:rPr>
          <w:rFonts w:hint="eastAsia" w:ascii="宋体" w:hAnsi="宋体" w:eastAsia="宋体" w:cs="宋体"/>
          <w:bCs/>
          <w:sz w:val="24"/>
          <w:szCs w:val="24"/>
        </w:rPr>
        <w:t>种方式解决：</w:t>
      </w:r>
    </w:p>
    <w:p w14:paraId="6177EE19">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（一）提交西安仲裁委员会仲裁；</w:t>
      </w:r>
    </w:p>
    <w:p w14:paraId="4E7F82A5">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（二）依法向甲方所在地人民法院起诉。</w:t>
      </w:r>
    </w:p>
    <w:p w14:paraId="74D8AFB8">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二</w:t>
      </w:r>
      <w:r>
        <w:rPr>
          <w:rFonts w:hint="eastAsia" w:ascii="宋体" w:hAnsi="宋体" w:eastAsia="宋体" w:cs="宋体"/>
          <w:b/>
          <w:bCs/>
          <w:sz w:val="24"/>
          <w:szCs w:val="24"/>
        </w:rPr>
        <w:t>、合同生效</w:t>
      </w:r>
    </w:p>
    <w:p w14:paraId="416507AB">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（一）本合同经双方签字盖章后生效。</w:t>
      </w:r>
    </w:p>
    <w:p w14:paraId="6327ACC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（二）本合同须经甲、乙双方的法定代表人（授权代理人）在合同书上签字并加盖本单位公章后正式生效。</w:t>
      </w:r>
    </w:p>
    <w:p w14:paraId="56F06470">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（三）合同生效后，甲、乙双方须严格执行本合同条款的规定，全面履行合同，违者按《中华人民共和国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》的有关规定承担相应责任。</w:t>
      </w:r>
    </w:p>
    <w:p w14:paraId="5B5B3D82">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（四）本合同一式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份，甲乙双方各执</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w:t>
      </w:r>
    </w:p>
    <w:p w14:paraId="3B7969FC">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（五）本合同如有未</w:t>
      </w:r>
      <w:r>
        <w:rPr>
          <w:rFonts w:hint="eastAsia" w:ascii="宋体" w:hAnsi="宋体" w:eastAsia="宋体" w:cs="宋体"/>
          <w:b/>
          <w:bCs w:val="0"/>
          <w:sz w:val="24"/>
          <w:szCs w:val="24"/>
        </w:rPr>
        <w:t>尽事宜，甲、乙双</w:t>
      </w:r>
      <w:r>
        <w:rPr>
          <w:rFonts w:hint="eastAsia" w:ascii="宋体" w:hAnsi="宋体" w:eastAsia="宋体" w:cs="宋体"/>
          <w:bCs/>
          <w:sz w:val="24"/>
          <w:szCs w:val="24"/>
        </w:rPr>
        <w:t>方协商解决。</w:t>
      </w:r>
    </w:p>
    <w:p w14:paraId="77F66CF8">
      <w:pPr>
        <w:rPr>
          <w:rFonts w:hint="eastAsia" w:ascii="宋体" w:hAnsi="宋体" w:eastAsia="宋体" w:cs="宋体"/>
          <w:spacing w:val="-20"/>
          <w:kern w:val="0"/>
          <w:sz w:val="24"/>
          <w:szCs w:val="24"/>
        </w:rPr>
      </w:pPr>
    </w:p>
    <w:p w14:paraId="029771E3">
      <w:pPr>
        <w:pStyle w:val="2"/>
        <w:rPr>
          <w:rFonts w:hint="eastAsia"/>
        </w:rPr>
      </w:pPr>
    </w:p>
    <w:tbl>
      <w:tblPr>
        <w:tblStyle w:val="5"/>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17DFEEB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0" w:hRule="exact"/>
          <w:jc w:val="center"/>
        </w:trPr>
        <w:tc>
          <w:tcPr>
            <w:tcW w:w="4201" w:type="dxa"/>
            <w:noWrap w:val="0"/>
            <w:vAlign w:val="center"/>
          </w:tcPr>
          <w:p w14:paraId="1A92F5E3">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甲  方</w:t>
            </w:r>
          </w:p>
        </w:tc>
        <w:tc>
          <w:tcPr>
            <w:tcW w:w="4202" w:type="dxa"/>
            <w:noWrap w:val="0"/>
            <w:vAlign w:val="center"/>
          </w:tcPr>
          <w:p w14:paraId="67F58E38">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乙  方</w:t>
            </w:r>
          </w:p>
        </w:tc>
      </w:tr>
      <w:tr w14:paraId="2705751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23" w:hRule="exact"/>
          <w:jc w:val="center"/>
        </w:trPr>
        <w:tc>
          <w:tcPr>
            <w:tcW w:w="4201" w:type="dxa"/>
            <w:noWrap w:val="0"/>
            <w:vAlign w:val="center"/>
          </w:tcPr>
          <w:p w14:paraId="52797CA8">
            <w:pPr>
              <w:widowControl/>
              <w:autoSpaceDE w:val="0"/>
              <w:autoSpaceDN w:val="0"/>
              <w:adjustRightInd w:val="0"/>
              <w:spacing w:line="360" w:lineRule="auto"/>
              <w:ind w:firstLine="700" w:firstLineChars="350"/>
              <w:jc w:val="right"/>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（盖章）</w:t>
            </w:r>
          </w:p>
        </w:tc>
        <w:tc>
          <w:tcPr>
            <w:tcW w:w="4202" w:type="dxa"/>
            <w:noWrap w:val="0"/>
            <w:vAlign w:val="center"/>
          </w:tcPr>
          <w:p w14:paraId="0BA6B47E">
            <w:pPr>
              <w:widowControl/>
              <w:autoSpaceDE w:val="0"/>
              <w:autoSpaceDN w:val="0"/>
              <w:adjustRightInd w:val="0"/>
              <w:spacing w:line="360" w:lineRule="auto"/>
              <w:ind w:firstLine="800" w:firstLineChars="400"/>
              <w:jc w:val="right"/>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（盖章）</w:t>
            </w:r>
          </w:p>
        </w:tc>
      </w:tr>
      <w:tr w14:paraId="0952B79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756" w:hRule="exact"/>
          <w:jc w:val="center"/>
        </w:trPr>
        <w:tc>
          <w:tcPr>
            <w:tcW w:w="4201" w:type="dxa"/>
            <w:noWrap w:val="0"/>
            <w:vAlign w:val="center"/>
          </w:tcPr>
          <w:p w14:paraId="0940CF1B">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 xml:space="preserve">地址： </w:t>
            </w:r>
          </w:p>
        </w:tc>
        <w:tc>
          <w:tcPr>
            <w:tcW w:w="4202" w:type="dxa"/>
            <w:noWrap w:val="0"/>
            <w:vAlign w:val="center"/>
          </w:tcPr>
          <w:p w14:paraId="3BCB1EAF">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rPr>
            </w:pPr>
            <w:r>
              <w:rPr>
                <w:rFonts w:hint="eastAsia" w:asciiTheme="minorEastAsia" w:hAnsiTheme="minorEastAsia" w:eastAsiaTheme="minorEastAsia" w:cstheme="minorEastAsia"/>
                <w:spacing w:val="-20"/>
                <w:kern w:val="0"/>
                <w:sz w:val="24"/>
                <w:szCs w:val="24"/>
              </w:rPr>
              <w:t>地址：</w:t>
            </w:r>
          </w:p>
        </w:tc>
      </w:tr>
      <w:tr w14:paraId="5DA85EA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39" w:hRule="exact"/>
          <w:jc w:val="center"/>
        </w:trPr>
        <w:tc>
          <w:tcPr>
            <w:tcW w:w="4201" w:type="dxa"/>
            <w:shd w:val="clear" w:color="auto" w:fill="auto"/>
            <w:noWrap w:val="0"/>
            <w:vAlign w:val="center"/>
          </w:tcPr>
          <w:p w14:paraId="7EF0F182">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lang w:val="en-US" w:eastAsia="zh-CN" w:bidi="ar-SA"/>
              </w:rPr>
            </w:pPr>
            <w:r>
              <w:rPr>
                <w:rFonts w:hint="eastAsia" w:asciiTheme="minorEastAsia" w:hAnsiTheme="minorEastAsia" w:eastAsiaTheme="minorEastAsia" w:cstheme="minorEastAsia"/>
                <w:spacing w:val="-20"/>
                <w:kern w:val="0"/>
                <w:sz w:val="24"/>
                <w:szCs w:val="24"/>
                <w:lang w:val="en-US" w:eastAsia="zh-CN"/>
              </w:rPr>
              <w:t>联系人及联系电话：</w:t>
            </w:r>
          </w:p>
        </w:tc>
        <w:tc>
          <w:tcPr>
            <w:tcW w:w="4202" w:type="dxa"/>
            <w:shd w:val="clear" w:color="auto" w:fill="auto"/>
            <w:noWrap w:val="0"/>
            <w:vAlign w:val="center"/>
          </w:tcPr>
          <w:p w14:paraId="1B07EA8C">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lang w:val="en-US" w:eastAsia="zh-CN" w:bidi="ar-SA"/>
              </w:rPr>
            </w:pPr>
            <w:r>
              <w:rPr>
                <w:rFonts w:hint="eastAsia" w:asciiTheme="minorEastAsia" w:hAnsiTheme="minorEastAsia" w:eastAsiaTheme="minorEastAsia" w:cstheme="minorEastAsia"/>
                <w:spacing w:val="-20"/>
                <w:kern w:val="0"/>
                <w:sz w:val="24"/>
                <w:szCs w:val="24"/>
                <w:lang w:val="en-US" w:eastAsia="zh-CN"/>
              </w:rPr>
              <w:t>联系人及联系电话：</w:t>
            </w:r>
          </w:p>
        </w:tc>
      </w:tr>
      <w:tr w14:paraId="2CFAAA7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39" w:hRule="exact"/>
          <w:jc w:val="center"/>
        </w:trPr>
        <w:tc>
          <w:tcPr>
            <w:tcW w:w="4201" w:type="dxa"/>
            <w:shd w:val="clear" w:color="auto" w:fill="auto"/>
            <w:noWrap w:val="0"/>
            <w:vAlign w:val="center"/>
          </w:tcPr>
          <w:p w14:paraId="1DDBBDBC">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lang w:val="en-US" w:eastAsia="zh-CN" w:bidi="ar-SA"/>
              </w:rPr>
            </w:pPr>
            <w:r>
              <w:rPr>
                <w:rFonts w:hint="eastAsia" w:asciiTheme="minorEastAsia" w:hAnsiTheme="minorEastAsia" w:eastAsiaTheme="minorEastAsia" w:cstheme="minorEastAsia"/>
                <w:spacing w:val="-20"/>
                <w:kern w:val="0"/>
                <w:sz w:val="24"/>
                <w:szCs w:val="24"/>
              </w:rPr>
              <w:t>邮编：</w:t>
            </w:r>
          </w:p>
        </w:tc>
        <w:tc>
          <w:tcPr>
            <w:tcW w:w="4202" w:type="dxa"/>
            <w:shd w:val="clear" w:color="auto" w:fill="auto"/>
            <w:noWrap w:val="0"/>
            <w:vAlign w:val="center"/>
          </w:tcPr>
          <w:p w14:paraId="51AF3DB2">
            <w:pPr>
              <w:widowControl/>
              <w:autoSpaceDE w:val="0"/>
              <w:autoSpaceDN w:val="0"/>
              <w:adjustRightInd w:val="0"/>
              <w:spacing w:line="360" w:lineRule="auto"/>
              <w:textAlignment w:val="baseline"/>
              <w:rPr>
                <w:rFonts w:hint="eastAsia" w:asciiTheme="minorEastAsia" w:hAnsiTheme="minorEastAsia" w:eastAsiaTheme="minorEastAsia" w:cstheme="minorEastAsia"/>
                <w:spacing w:val="-20"/>
                <w:kern w:val="0"/>
                <w:sz w:val="24"/>
                <w:szCs w:val="24"/>
                <w:lang w:val="en-US" w:eastAsia="zh-CN" w:bidi="ar-SA"/>
              </w:rPr>
            </w:pPr>
            <w:r>
              <w:rPr>
                <w:rFonts w:hint="eastAsia" w:asciiTheme="minorEastAsia" w:hAnsiTheme="minorEastAsia" w:eastAsiaTheme="minorEastAsia" w:cstheme="minorEastAsia"/>
                <w:spacing w:val="-20"/>
                <w:kern w:val="0"/>
                <w:sz w:val="24"/>
                <w:szCs w:val="24"/>
              </w:rPr>
              <w:t>邮编：</w:t>
            </w:r>
          </w:p>
        </w:tc>
      </w:tr>
    </w:tbl>
    <w:p w14:paraId="5F8ED580">
      <w:pPr>
        <w:widowControl/>
        <w:textAlignment w:val="baseline"/>
        <w:rPr>
          <w:rFonts w:ascii="Times New Roman" w:hAnsi="Times New Roman" w:eastAsia="宋体" w:cs="Times New Roman"/>
          <w:szCs w:val="20"/>
        </w:rPr>
      </w:pPr>
    </w:p>
    <w:p w14:paraId="0F121B4A">
      <w:pPr>
        <w:pStyle w:val="8"/>
        <w:rPr>
          <w:rFonts w:hint="eastAsia" w:ascii="宋体" w:hAnsi="宋体" w:eastAsia="宋体" w:cs="宋体"/>
          <w:lang w:val="en-US" w:eastAsia="zh-Hans"/>
        </w:rPr>
      </w:pPr>
    </w:p>
    <w:p w14:paraId="22269BE1"/>
    <w:p w14:paraId="79AE2C19">
      <w:r>
        <w:br w:type="page"/>
      </w:r>
    </w:p>
    <w:p w14:paraId="6D5CBA42">
      <w:pPr>
        <w:spacing w:line="360" w:lineRule="auto"/>
        <w:jc w:val="center"/>
        <w:rPr>
          <w:rFonts w:hint="eastAsia" w:ascii="Times New Roman" w:hAnsi="Times New Roman" w:eastAsia="宋体" w:cs="Times New Roman"/>
          <w:b/>
          <w:bCs w:val="0"/>
          <w:kern w:val="44"/>
          <w:sz w:val="28"/>
          <w:szCs w:val="28"/>
          <w:highlight w:val="none"/>
          <w:lang w:val="en-US" w:eastAsia="zh-CN" w:bidi="ar-SA"/>
        </w:rPr>
      </w:pPr>
      <w:r>
        <w:rPr>
          <w:rFonts w:hint="eastAsia" w:ascii="Times New Roman" w:hAnsi="Times New Roman" w:cs="Times New Roman"/>
          <w:b/>
          <w:bCs w:val="0"/>
          <w:kern w:val="44"/>
          <w:sz w:val="28"/>
          <w:szCs w:val="28"/>
          <w:highlight w:val="none"/>
          <w:lang w:val="en-US" w:eastAsia="zh-CN" w:bidi="ar-SA"/>
        </w:rPr>
        <w:t>（二包）</w:t>
      </w:r>
      <w:r>
        <w:rPr>
          <w:rFonts w:hint="eastAsia" w:ascii="Times New Roman" w:hAnsi="Times New Roman" w:eastAsia="宋体" w:cs="Times New Roman"/>
          <w:b/>
          <w:bCs w:val="0"/>
          <w:kern w:val="44"/>
          <w:sz w:val="28"/>
          <w:szCs w:val="28"/>
          <w:highlight w:val="none"/>
          <w:lang w:val="en-US" w:eastAsia="zh-CN" w:bidi="ar-SA"/>
        </w:rPr>
        <w:t>拟签订合同条款及格式</w:t>
      </w:r>
    </w:p>
    <w:p w14:paraId="07ADE33D">
      <w:pPr>
        <w:spacing w:line="360" w:lineRule="auto"/>
        <w:jc w:val="center"/>
        <w:rPr>
          <w:rFonts w:hint="eastAsia" w:ascii="宋体" w:hAnsi="宋体" w:cs="宋体"/>
          <w:b/>
          <w:color w:val="000000" w:themeColor="text1"/>
          <w:sz w:val="36"/>
          <w:szCs w:val="36"/>
          <w14:textFill>
            <w14:solidFill>
              <w14:schemeClr w14:val="tx1"/>
            </w14:solidFill>
          </w14:textFill>
        </w:rPr>
      </w:pPr>
      <w:r>
        <w:rPr>
          <w:rFonts w:hint="eastAsia" w:ascii="Times New Roman" w:hAnsi="Times New Roman" w:eastAsia="宋体" w:cs="Times New Roman"/>
          <w:b/>
          <w:bCs w:val="0"/>
          <w:kern w:val="44"/>
          <w:sz w:val="28"/>
          <w:szCs w:val="28"/>
          <w:highlight w:val="none"/>
          <w:lang w:val="en-US" w:eastAsia="zh-CN" w:bidi="ar-SA"/>
        </w:rPr>
        <w:t>（此合同为参考合同，具体以甲乙双方协商为准）</w:t>
      </w:r>
    </w:p>
    <w:p w14:paraId="79EAE072">
      <w:pPr>
        <w:rPr>
          <w:rFonts w:hint="eastAsia" w:ascii="宋体" w:hAnsi="宋体" w:eastAsia="宋体" w:cs="宋体"/>
          <w:bCs/>
          <w:sz w:val="24"/>
          <w:szCs w:val="24"/>
        </w:rPr>
      </w:pPr>
    </w:p>
    <w:p w14:paraId="2C7727A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甲方（采购人）： </w:t>
      </w:r>
    </w:p>
    <w:p w14:paraId="1466D11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乙方（中标人）： </w:t>
      </w:r>
    </w:p>
    <w:p w14:paraId="276E501B">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项目名称</w:t>
      </w: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包号</w:t>
      </w: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项目编号</w:t>
      </w:r>
      <w:r>
        <w:rPr>
          <w:rFonts w:hint="eastAsia" w:ascii="宋体" w:hAnsi="宋体" w:cs="宋体"/>
          <w:bCs/>
          <w:sz w:val="24"/>
          <w:szCs w:val="24"/>
          <w:u w:val="single"/>
          <w:lang w:eastAsia="zh-CN"/>
        </w:rPr>
        <w:t>）</w:t>
      </w:r>
      <w:r>
        <w:rPr>
          <w:rFonts w:hint="eastAsia" w:ascii="宋体" w:hAnsi="宋体" w:eastAsia="宋体" w:cs="宋体"/>
          <w:bCs/>
          <w:sz w:val="24"/>
          <w:szCs w:val="24"/>
        </w:rPr>
        <w:t>，由</w:t>
      </w:r>
      <w:r>
        <w:rPr>
          <w:rFonts w:hint="eastAsia" w:ascii="宋体" w:hAnsi="宋体" w:cs="宋体"/>
          <w:bCs/>
          <w:sz w:val="24"/>
          <w:szCs w:val="24"/>
          <w:lang w:val="en-US" w:eastAsia="zh-CN"/>
        </w:rPr>
        <w:t>陕西致恒招标代理有限公司</w:t>
      </w:r>
      <w:r>
        <w:rPr>
          <w:rFonts w:hint="eastAsia" w:ascii="宋体" w:hAnsi="宋体" w:eastAsia="宋体" w:cs="宋体"/>
          <w:bCs/>
          <w:sz w:val="24"/>
          <w:szCs w:val="24"/>
        </w:rPr>
        <w:t>组织</w:t>
      </w:r>
      <w:r>
        <w:rPr>
          <w:rFonts w:hint="eastAsia" w:ascii="宋体" w:hAnsi="宋体" w:eastAsia="宋体" w:cs="宋体"/>
          <w:bCs/>
          <w:sz w:val="24"/>
          <w:szCs w:val="24"/>
          <w:lang w:val="en-US" w:eastAsia="zh-CN"/>
        </w:rPr>
        <w:t>竞争性磋商</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(以下简称“甲方”)确定</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（以下简称“乙方”）为该项目的中标人。</w:t>
      </w:r>
    </w:p>
    <w:p w14:paraId="4AE9E50F">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依据《中华人民共和国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》和《中华人民共和国政府采购法》之规定，经双方在平等、自愿、互利的基础上，签订本合同，共同信守。</w:t>
      </w:r>
    </w:p>
    <w:p w14:paraId="462C8FF7">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一、合同价款</w:t>
      </w:r>
    </w:p>
    <w:p w14:paraId="1FB0B1E5">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（一）合同总价款为</w:t>
      </w:r>
      <w:r>
        <w:rPr>
          <w:rFonts w:hint="eastAsia" w:ascii="宋体" w:hAnsi="宋体" w:cs="宋体"/>
          <w:bCs/>
          <w:sz w:val="24"/>
          <w:szCs w:val="24"/>
          <w:lang w:eastAsia="zh-CN"/>
        </w:rPr>
        <w:t>：</w:t>
      </w:r>
      <w:r>
        <w:rPr>
          <w:rFonts w:hint="eastAsia" w:ascii="宋体" w:hAnsi="宋体" w:eastAsia="宋体" w:cs="宋体"/>
          <w:bCs/>
          <w:sz w:val="24"/>
          <w:szCs w:val="24"/>
        </w:rPr>
        <w:t>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66A6F6B7">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（二）合同总价是供应商响应磋商项目要求的全部工作内容的价格体现，包括供应商完成本项目所需的一切费用。</w:t>
      </w:r>
    </w:p>
    <w:p w14:paraId="78CC82F1">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（三）合同总价一次性包死，不受市场价格变化因素的影响。</w:t>
      </w:r>
    </w:p>
    <w:p w14:paraId="3AF04F0F">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二、款项结算</w:t>
      </w:r>
    </w:p>
    <w:p w14:paraId="62A6EFD9">
      <w:pPr>
        <w:widowControl/>
        <w:autoSpaceDE w:val="0"/>
        <w:autoSpaceDN w:val="0"/>
        <w:adjustRightInd w:val="0"/>
        <w:spacing w:line="360" w:lineRule="auto"/>
        <w:ind w:firstLine="480" w:firstLineChars="200"/>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rPr>
        <w:t>（一）合同</w:t>
      </w:r>
      <w:r>
        <w:rPr>
          <w:rFonts w:hint="eastAsia" w:ascii="宋体" w:hAnsi="宋体" w:eastAsia="宋体" w:cs="宋体"/>
          <w:bCs/>
          <w:kern w:val="2"/>
          <w:sz w:val="24"/>
          <w:szCs w:val="24"/>
          <w:lang w:val="en-US" w:eastAsia="zh-CN" w:bidi="ar-SA"/>
        </w:rPr>
        <w:t>款的支付：在合同签订后10日内，支付合同总额的50%；网络安全检查服务验收完成后，支付合同金额的50%。</w:t>
      </w:r>
    </w:p>
    <w:p w14:paraId="2E9F4CAF">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（二）结算方式：银行转账。</w:t>
      </w:r>
    </w:p>
    <w:p w14:paraId="5506972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（三）支付方式：</w:t>
      </w:r>
      <w:r>
        <w:rPr>
          <w:rFonts w:hint="eastAsia" w:ascii="宋体" w:hAnsi="宋体" w:eastAsia="宋体" w:cs="宋体"/>
          <w:sz w:val="24"/>
          <w:szCs w:val="24"/>
          <w:lang w:val="zh-CN"/>
        </w:rPr>
        <w:t>由</w:t>
      </w:r>
      <w:r>
        <w:rPr>
          <w:rFonts w:hint="eastAsia" w:ascii="宋体" w:hAnsi="宋体" w:eastAsia="宋体" w:cs="宋体"/>
          <w:sz w:val="24"/>
          <w:szCs w:val="24"/>
        </w:rPr>
        <w:t>甲方</w:t>
      </w:r>
      <w:r>
        <w:rPr>
          <w:rFonts w:hint="eastAsia" w:ascii="宋体" w:hAnsi="宋体" w:eastAsia="宋体" w:cs="宋体"/>
          <w:sz w:val="24"/>
          <w:szCs w:val="24"/>
          <w:lang w:val="zh-CN"/>
        </w:rPr>
        <w:t>负责结算，合同签订后，乙方在接受付款前，开具全额发票给甲方。</w:t>
      </w:r>
    </w:p>
    <w:p w14:paraId="53EAF5AF">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三、服务地点及服务期</w:t>
      </w:r>
    </w:p>
    <w:p w14:paraId="20389954">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w:t>
      </w:r>
      <w:r>
        <w:rPr>
          <w:rFonts w:hint="eastAsia" w:ascii="宋体" w:hAnsi="宋体" w:eastAsia="宋体" w:cs="宋体"/>
          <w:bCs/>
          <w:sz w:val="24"/>
          <w:szCs w:val="24"/>
          <w:lang w:val="en-US" w:eastAsia="zh-CN"/>
        </w:rPr>
        <w:t>服务地点：西安市医疗保险基金管理中心</w:t>
      </w:r>
      <w:r>
        <w:rPr>
          <w:rFonts w:hint="eastAsia" w:ascii="宋体" w:hAnsi="宋体" w:cs="宋体"/>
          <w:bCs/>
          <w:sz w:val="24"/>
          <w:szCs w:val="24"/>
          <w:lang w:val="en-US" w:eastAsia="zh-CN"/>
        </w:rPr>
        <w:t>，采购人指定地点</w:t>
      </w:r>
      <w:r>
        <w:rPr>
          <w:rFonts w:hint="eastAsia" w:ascii="宋体" w:hAnsi="宋体" w:eastAsia="宋体" w:cs="宋体"/>
          <w:bCs/>
          <w:sz w:val="24"/>
          <w:szCs w:val="24"/>
        </w:rPr>
        <w:t>。</w:t>
      </w:r>
    </w:p>
    <w:p w14:paraId="1053112B">
      <w:pPr>
        <w:tabs>
          <w:tab w:val="center" w:pos="4153"/>
          <w:tab w:val="right" w:pos="8306"/>
        </w:tabs>
        <w:snapToGrid w:val="0"/>
        <w:spacing w:line="360" w:lineRule="auto"/>
        <w:ind w:firstLine="480" w:firstLineChars="200"/>
        <w:jc w:val="left"/>
        <w:textAlignment w:val="baseline"/>
        <w:rPr>
          <w:rFonts w:hint="eastAsia" w:ascii="宋体" w:hAnsi="宋体" w:eastAsia="宋体" w:cs="宋体"/>
          <w:b/>
          <w:bCs/>
          <w:kern w:val="2"/>
          <w:sz w:val="24"/>
          <w:szCs w:val="24"/>
          <w:highlight w:val="red"/>
          <w:lang w:val="en-US" w:eastAsia="zh-CN" w:bidi="ar-SA"/>
        </w:rPr>
      </w:pPr>
      <w:r>
        <w:rPr>
          <w:rFonts w:hint="eastAsia" w:ascii="宋体" w:hAnsi="宋体" w:eastAsia="宋体" w:cs="宋体"/>
          <w:bCs/>
          <w:kern w:val="2"/>
          <w:sz w:val="24"/>
          <w:szCs w:val="24"/>
          <w:lang w:val="en-US" w:eastAsia="zh-CN" w:bidi="ar-SA"/>
        </w:rPr>
        <w:t>（二）服务期限：合同签订，接采购人通知后90天内完成所有检查任务，并提交相关报告。</w:t>
      </w:r>
      <w:r>
        <w:rPr>
          <w:rFonts w:hint="eastAsia" w:ascii="宋体" w:hAnsi="宋体" w:eastAsia="宋体" w:cs="宋体"/>
          <w:color w:val="000000"/>
          <w:kern w:val="15"/>
          <w:sz w:val="24"/>
          <w:szCs w:val="24"/>
          <w:highlight w:val="none"/>
          <w:lang w:val="en-US" w:eastAsia="zh-CN" w:bidi="ar-SA"/>
        </w:rPr>
        <w:t xml:space="preserve"> </w:t>
      </w:r>
    </w:p>
    <w:p w14:paraId="7975DF4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四、服务承诺</w:t>
      </w:r>
    </w:p>
    <w:p w14:paraId="510ABCA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（一）服务期内，乙方需派项目经理，直接与甲方沟通，项目经理接收甲方提出的问题与要求，并及时向公司申请调动资源，解决甲方在</w:t>
      </w:r>
      <w:r>
        <w:rPr>
          <w:rFonts w:hint="eastAsia" w:ascii="宋体" w:hAnsi="宋体" w:eastAsia="宋体" w:cs="宋体"/>
          <w:bCs/>
          <w:sz w:val="24"/>
          <w:szCs w:val="24"/>
          <w:lang w:eastAsia="zh-CN"/>
        </w:rPr>
        <w:t>呼叫外包</w:t>
      </w:r>
      <w:r>
        <w:rPr>
          <w:rFonts w:hint="eastAsia" w:ascii="宋体" w:hAnsi="宋体" w:eastAsia="宋体" w:cs="宋体"/>
          <w:bCs/>
          <w:sz w:val="24"/>
          <w:szCs w:val="24"/>
        </w:rPr>
        <w:t>中遇到的问题。</w:t>
      </w:r>
    </w:p>
    <w:p w14:paraId="598EA45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FF0000"/>
          <w:sz w:val="24"/>
          <w:szCs w:val="24"/>
        </w:rPr>
      </w:pPr>
      <w:r>
        <w:rPr>
          <w:rFonts w:hint="eastAsia" w:ascii="宋体" w:hAnsi="宋体" w:eastAsia="宋体" w:cs="宋体"/>
          <w:bCs/>
          <w:sz w:val="24"/>
          <w:szCs w:val="24"/>
        </w:rPr>
        <w:t>（二）服务过程中会出现不可预料的需求变更，乙方需积极配合甲方的需求变更，并按照变更后的需求执行。</w:t>
      </w:r>
    </w:p>
    <w:p w14:paraId="1C85ABCF">
      <w:pPr>
        <w:spacing w:line="360" w:lineRule="auto"/>
        <w:ind w:firstLine="480" w:firstLineChars="20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（三）乙方需设有详细的技术资料档案和服务档案，将保存项目的详细资料以便于更好地提供服务。</w:t>
      </w:r>
    </w:p>
    <w:p w14:paraId="1DD8EC9D">
      <w:pPr>
        <w:widowControl/>
        <w:snapToGrid w:val="0"/>
        <w:spacing w:line="360" w:lineRule="auto"/>
        <w:ind w:firstLine="482" w:firstLineChars="200"/>
        <w:textAlignment w:val="baseline"/>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w:t>
      </w:r>
      <w:r>
        <w:rPr>
          <w:rFonts w:hint="eastAsia" w:ascii="宋体" w:hAnsi="宋体" w:eastAsia="宋体" w:cs="宋体"/>
          <w:b/>
          <w:sz w:val="24"/>
          <w:szCs w:val="24"/>
          <w:lang w:val="en-US" w:eastAsia="zh-CN"/>
        </w:rPr>
        <w:t>服务内容</w:t>
      </w:r>
    </w:p>
    <w:p w14:paraId="38268334">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对全市10家医保经办机构进行医保网络安全管理检查，检查内容包括但不限于：网络基本情况、网络安全管理机构情况、网络安全工作责任制、网络安全管理制度及运行情况、网络安全管理措施情况、安全物理环境情况、网络安全技术防护措施情况、网络安全应急管理情况、数据安全和个人信息保护法规落实情况、网络安全风险评估情况、漏洞风险管理情况、医保数据检查、数字证书检查，要求对每家被检测机构出具专项网络安全检查报告和整改建议书，能针对检查数据进行有效分析。针对网络安全合规检查中发现的问题及各医保经办机构提交的整改报告，逐一开展现场复核，对照整改清单逐项核实整改措施落实情况，复核完毕后提交复核报告；</w:t>
      </w:r>
    </w:p>
    <w:p w14:paraId="0944CCB6">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六</w:t>
      </w:r>
      <w:r>
        <w:rPr>
          <w:rFonts w:hint="eastAsia" w:ascii="宋体" w:hAnsi="宋体" w:eastAsia="宋体" w:cs="宋体"/>
          <w:b/>
          <w:sz w:val="24"/>
          <w:szCs w:val="24"/>
          <w:lang w:val="en-US" w:eastAsia="zh-CN"/>
        </w:rPr>
        <w:t>、服务规范标准</w:t>
      </w:r>
    </w:p>
    <w:p w14:paraId="7F6C6BA7">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（一）法律法规</w:t>
      </w:r>
    </w:p>
    <w:p w14:paraId="042242FD">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《中华人民共和国网络安全法》</w:t>
      </w:r>
    </w:p>
    <w:p w14:paraId="59DBE242">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《中华人民共和国数据安全法》</w:t>
      </w:r>
    </w:p>
    <w:p w14:paraId="442267AF">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《中华人民共和国个人信息保护法》</w:t>
      </w:r>
    </w:p>
    <w:p w14:paraId="2B91A94B">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《网络数据安全管理条例》</w:t>
      </w:r>
    </w:p>
    <w:p w14:paraId="12E91F8E">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《关键信息基础设施安全保护条例》</w:t>
      </w:r>
    </w:p>
    <w:p w14:paraId="4A4E7D5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（二）参照标准</w:t>
      </w:r>
    </w:p>
    <w:p w14:paraId="731D37D0">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《信息安全技术信息安全风险评估方法》（GB/T20984-2022）</w:t>
      </w:r>
    </w:p>
    <w:p w14:paraId="6BCC475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《信息技术安全技术信息安全管理监视、测量、分析和评价》（GB/T31497-2024）</w:t>
      </w:r>
    </w:p>
    <w:p w14:paraId="6A8BD5F5">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《信息安全技术安全漏洞分类》（GB/T33561-2017）</w:t>
      </w:r>
    </w:p>
    <w:p w14:paraId="350EE22D">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《信息安全技术网络安全漏洞管理规范》（GB/T30276-2020）</w:t>
      </w:r>
    </w:p>
    <w:p w14:paraId="2AA3026B">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《信息安全技术网络攻击定义及描述规范》（GB/T37027-2018）</w:t>
      </w:r>
    </w:p>
    <w:p w14:paraId="5D94633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《信息安全技术网络安全漏洞分类分级指南》（GB/T 30279-2020）</w:t>
      </w:r>
    </w:p>
    <w:p w14:paraId="5626EDCF">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《信息安全技术网络安全漏洞标识与描述规范》（GB/T28458-2020）</w:t>
      </w:r>
    </w:p>
    <w:p w14:paraId="28F088C6">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《信息安全技术个人信息安全规范》（GB/T35273-2020）</w:t>
      </w:r>
    </w:p>
    <w:p w14:paraId="4FD9AD33">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《信息安全技术办公设备安全测试方法》（GB/T38558-2020）</w:t>
      </w:r>
    </w:p>
    <w:p w14:paraId="2780020E">
      <w:pPr>
        <w:widowControl/>
        <w:snapToGrid w:val="0"/>
        <w:spacing w:line="360" w:lineRule="auto"/>
        <w:ind w:firstLine="480" w:firstLineChars="200"/>
        <w:textAlignment w:val="baseline"/>
        <w:rPr>
          <w:rFonts w:hint="eastAsia" w:ascii="宋体" w:hAnsi="宋体" w:eastAsia="宋体" w:cs="宋体"/>
          <w:b/>
          <w:bCs w:val="0"/>
          <w:sz w:val="24"/>
          <w:szCs w:val="24"/>
          <w:lang w:val="en-US" w:eastAsia="zh-CN"/>
        </w:rPr>
      </w:pPr>
      <w:r>
        <w:rPr>
          <w:rFonts w:hint="eastAsia" w:ascii="宋体" w:hAnsi="宋体" w:eastAsia="宋体" w:cs="宋体"/>
          <w:b w:val="0"/>
          <w:bCs/>
          <w:sz w:val="24"/>
          <w:szCs w:val="24"/>
          <w:lang w:val="en-US" w:eastAsia="zh-CN"/>
        </w:rPr>
        <w:t>《信息安全技术信息安全应急响应计划规范》（GB/T24363-2009）</w:t>
      </w:r>
    </w:p>
    <w:p w14:paraId="0DC0E05D">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七</w:t>
      </w:r>
      <w:r>
        <w:rPr>
          <w:rFonts w:hint="eastAsia" w:ascii="宋体" w:hAnsi="宋体" w:eastAsia="宋体" w:cs="宋体"/>
          <w:b/>
          <w:sz w:val="24"/>
          <w:szCs w:val="24"/>
        </w:rPr>
        <w:t>、</w:t>
      </w:r>
      <w:r>
        <w:rPr>
          <w:rFonts w:hint="eastAsia" w:ascii="宋体" w:hAnsi="宋体" w:eastAsia="宋体" w:cs="宋体"/>
          <w:b/>
          <w:sz w:val="24"/>
          <w:szCs w:val="24"/>
          <w:lang w:val="en-US" w:eastAsia="zh-CN"/>
        </w:rPr>
        <w:t>保密条款</w:t>
      </w:r>
    </w:p>
    <w:p w14:paraId="3F886406">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合同双方中的任何一方在合作过程中了解或接触到的对方的商业秘密及其他秘密资料和信息（简称“保密信息”） 均应保守秘密；未经对方书面同意，任何一方不得向媒介公开或向第三方透露、给予或转让保密信息。泄密的一方将对另一方因此而受到的损失负完全赔偿责任并承担相应的法律责任。</w:t>
      </w:r>
    </w:p>
    <w:p w14:paraId="6083EF11">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cs="宋体"/>
          <w:b/>
          <w:sz w:val="24"/>
          <w:szCs w:val="24"/>
          <w:lang w:val="en-US" w:eastAsia="zh-CN"/>
        </w:rPr>
        <w:t>八</w:t>
      </w:r>
      <w:r>
        <w:rPr>
          <w:rFonts w:hint="eastAsia" w:ascii="宋体" w:hAnsi="宋体" w:eastAsia="宋体" w:cs="宋体"/>
          <w:b/>
          <w:sz w:val="24"/>
          <w:szCs w:val="24"/>
          <w:lang w:val="en-US" w:eastAsia="zh-CN"/>
        </w:rPr>
        <w:t>、验收</w:t>
      </w:r>
    </w:p>
    <w:p w14:paraId="051D0C31">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项目完成后，供应商提出验收申请，采购人组织对供应商的服务及报告进行验收，验收合格出具验收合格单。</w:t>
      </w:r>
    </w:p>
    <w:p w14:paraId="107ABA03">
      <w:pPr>
        <w:widowControl/>
        <w:snapToGrid w:val="0"/>
        <w:spacing w:line="360" w:lineRule="auto"/>
        <w:ind w:firstLine="480" w:firstLineChars="200"/>
        <w:textAlignment w:val="baseline"/>
        <w:rPr>
          <w:rFonts w:hint="default"/>
          <w:lang w:val="en-US" w:eastAsia="zh-CN"/>
        </w:rPr>
      </w:pPr>
      <w:r>
        <w:rPr>
          <w:rFonts w:hint="eastAsia" w:ascii="宋体" w:hAnsi="宋体" w:eastAsia="宋体" w:cs="宋体"/>
          <w:b w:val="0"/>
          <w:bCs/>
          <w:sz w:val="24"/>
          <w:szCs w:val="24"/>
          <w:lang w:val="en-US" w:eastAsia="zh-CN"/>
        </w:rPr>
        <w:t>验收依据：1.采购文件；2.响应文件；3.相关法规、规范。</w:t>
      </w:r>
    </w:p>
    <w:p w14:paraId="13B8EBD0">
      <w:pPr>
        <w:widowControl/>
        <w:snapToGrid w:val="0"/>
        <w:spacing w:line="360" w:lineRule="auto"/>
        <w:ind w:firstLine="482" w:firstLineChars="200"/>
        <w:textAlignment w:val="baseline"/>
        <w:rPr>
          <w:rFonts w:hint="eastAsia" w:ascii="宋体" w:hAnsi="宋体" w:eastAsia="宋体" w:cs="宋体"/>
          <w:b/>
          <w:sz w:val="24"/>
          <w:szCs w:val="24"/>
        </w:rPr>
      </w:pPr>
      <w:r>
        <w:rPr>
          <w:rFonts w:hint="eastAsia" w:ascii="宋体" w:hAnsi="宋体" w:cs="宋体"/>
          <w:b/>
          <w:sz w:val="24"/>
          <w:szCs w:val="24"/>
          <w:lang w:val="en-US" w:eastAsia="zh-CN"/>
        </w:rPr>
        <w:t>九</w:t>
      </w:r>
      <w:r>
        <w:rPr>
          <w:rFonts w:hint="eastAsia" w:ascii="宋体" w:hAnsi="宋体" w:eastAsia="宋体" w:cs="宋体"/>
          <w:b/>
          <w:sz w:val="24"/>
          <w:szCs w:val="24"/>
          <w:lang w:val="en-US" w:eastAsia="zh-CN"/>
        </w:rPr>
        <w:t>、</w:t>
      </w:r>
      <w:r>
        <w:rPr>
          <w:rFonts w:hint="eastAsia" w:ascii="宋体" w:hAnsi="宋体" w:eastAsia="宋体" w:cs="宋体"/>
          <w:b/>
          <w:sz w:val="24"/>
          <w:szCs w:val="24"/>
        </w:rPr>
        <w:t>其它事项</w:t>
      </w:r>
    </w:p>
    <w:p w14:paraId="29AEA09C">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（一）乙方不得将项目转让、分包给其它单位或个人。</w:t>
      </w:r>
    </w:p>
    <w:p w14:paraId="74FB0BBD">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（二）乙方的</w:t>
      </w:r>
      <w:r>
        <w:rPr>
          <w:rFonts w:hint="eastAsia" w:ascii="宋体" w:hAnsi="宋体" w:eastAsia="宋体" w:cs="宋体"/>
          <w:sz w:val="24"/>
          <w:szCs w:val="24"/>
          <w:lang w:eastAsia="zh-CN"/>
        </w:rPr>
        <w:t>投标</w:t>
      </w:r>
      <w:r>
        <w:rPr>
          <w:rFonts w:hint="eastAsia" w:ascii="宋体" w:hAnsi="宋体" w:eastAsia="宋体" w:cs="宋体"/>
          <w:sz w:val="24"/>
          <w:szCs w:val="24"/>
        </w:rPr>
        <w:t>文件和承诺等内容将列入合同。</w:t>
      </w:r>
    </w:p>
    <w:p w14:paraId="6C082DBD">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、违约责任</w:t>
      </w:r>
    </w:p>
    <w:p w14:paraId="7B15F282">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（一）按照《中华人民共和国民法典》相关规定执行。</w:t>
      </w:r>
    </w:p>
    <w:p w14:paraId="1F5EF564">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（二）按合同要求提供服务或服务质量不能满足采购</w:t>
      </w:r>
      <w:r>
        <w:rPr>
          <w:rFonts w:hint="eastAsia" w:ascii="宋体" w:hAnsi="宋体" w:eastAsia="宋体" w:cs="宋体"/>
          <w:bCs/>
          <w:sz w:val="24"/>
          <w:szCs w:val="24"/>
          <w:lang w:val="en-US" w:eastAsia="zh-CN"/>
        </w:rPr>
        <w:t>方</w:t>
      </w:r>
      <w:r>
        <w:rPr>
          <w:rFonts w:hint="eastAsia" w:ascii="宋体" w:hAnsi="宋体" w:eastAsia="宋体" w:cs="宋体"/>
          <w:bCs/>
          <w:sz w:val="24"/>
          <w:szCs w:val="24"/>
        </w:rPr>
        <w:t>要求，乙方必须无条件提高技术，完善服务质量，否则，甲方会同监督机构、采购代理机构有权终止合同并对乙方违约行为进行追究，同时按政府采购投标人管理办法进行相应的处罚。</w:t>
      </w:r>
    </w:p>
    <w:p w14:paraId="04CFA570">
      <w:pPr>
        <w:widowControl/>
        <w:autoSpaceDE w:val="0"/>
        <w:autoSpaceDN w:val="0"/>
        <w:adjustRightInd w:val="0"/>
        <w:snapToGrid w:val="0"/>
        <w:spacing w:line="360" w:lineRule="auto"/>
        <w:ind w:firstLine="630"/>
        <w:textAlignment w:val="baseline"/>
        <w:rPr>
          <w:rFonts w:hint="eastAsia" w:ascii="宋体" w:hAnsi="宋体" w:eastAsia="宋体" w:cs="宋体"/>
          <w:bCs/>
          <w:sz w:val="24"/>
          <w:szCs w:val="24"/>
        </w:rPr>
      </w:pPr>
      <w:r>
        <w:rPr>
          <w:rFonts w:hint="eastAsia" w:ascii="宋体" w:hAnsi="宋体" w:eastAsia="宋体" w:cs="宋体"/>
          <w:bCs/>
          <w:sz w:val="24"/>
          <w:szCs w:val="24"/>
        </w:rPr>
        <w:t>（三）任何一方因不可抗力原因不能履行协议时，应尽快通知对方，双方均设法补偿。如仍无法履约协议，可协商延缓或撤销协议，双方责任免除。</w:t>
      </w:r>
    </w:p>
    <w:p w14:paraId="32EF7FD9">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一</w:t>
      </w:r>
      <w:r>
        <w:rPr>
          <w:rFonts w:hint="eastAsia" w:ascii="宋体" w:hAnsi="宋体" w:eastAsia="宋体" w:cs="宋体"/>
          <w:b/>
          <w:bCs/>
          <w:sz w:val="24"/>
          <w:szCs w:val="24"/>
        </w:rPr>
        <w:t>、合同争议解决的方式</w:t>
      </w:r>
    </w:p>
    <w:p w14:paraId="05B17352">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本合同在履行过程中发生的争议，由甲、乙双方当事人协商解决，协商不成的按下列第</w:t>
      </w:r>
      <w:r>
        <w:rPr>
          <w:rFonts w:hint="eastAsia" w:ascii="宋体" w:hAnsi="宋体" w:eastAsia="宋体" w:cs="宋体"/>
          <w:bCs/>
          <w:sz w:val="24"/>
          <w:szCs w:val="24"/>
          <w:u w:val="single"/>
        </w:rPr>
        <w:t>（二）</w:t>
      </w:r>
      <w:r>
        <w:rPr>
          <w:rFonts w:hint="eastAsia" w:ascii="宋体" w:hAnsi="宋体" w:eastAsia="宋体" w:cs="宋体"/>
          <w:bCs/>
          <w:sz w:val="24"/>
          <w:szCs w:val="24"/>
        </w:rPr>
        <w:t>种方式解决：</w:t>
      </w:r>
    </w:p>
    <w:p w14:paraId="36E6E3E1">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（一）提交西安仲裁委员会仲裁；</w:t>
      </w:r>
    </w:p>
    <w:p w14:paraId="7E9E611F">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（二）依法向甲方所在地人民法院起诉。</w:t>
      </w:r>
    </w:p>
    <w:p w14:paraId="62461D26">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二</w:t>
      </w:r>
      <w:r>
        <w:rPr>
          <w:rFonts w:hint="eastAsia" w:ascii="宋体" w:hAnsi="宋体" w:eastAsia="宋体" w:cs="宋体"/>
          <w:b/>
          <w:bCs/>
          <w:sz w:val="24"/>
          <w:szCs w:val="24"/>
        </w:rPr>
        <w:t>、合同生效</w:t>
      </w:r>
    </w:p>
    <w:p w14:paraId="68A40960">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（一）本合同经双方签字盖章后生效。</w:t>
      </w:r>
    </w:p>
    <w:p w14:paraId="1F523D22">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（二）本合同须经甲、乙双方的法定代表人（授权代理人）在合同书上签字并加盖本单位公章后正式生效。</w:t>
      </w:r>
    </w:p>
    <w:p w14:paraId="31F0A66D">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（三）合同生效后，甲、乙双方须严格执行本合同条款的规定，全面履行合同，违者按《中华人民共和国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》的有关规定承担相应责任。</w:t>
      </w:r>
    </w:p>
    <w:p w14:paraId="517B136B">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（四）本合同一式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份，甲乙双方各执</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w:t>
      </w:r>
    </w:p>
    <w:p w14:paraId="4B50B067">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（五）本合同如有未尽事宜，甲、乙双方协商解决。</w:t>
      </w:r>
    </w:p>
    <w:p w14:paraId="6B130BF3">
      <w:pPr>
        <w:rPr>
          <w:rFonts w:hint="eastAsia" w:ascii="宋体" w:hAnsi="宋体" w:eastAsia="宋体" w:cs="宋体"/>
          <w:spacing w:val="-20"/>
          <w:kern w:val="0"/>
          <w:sz w:val="24"/>
          <w:szCs w:val="24"/>
        </w:rPr>
      </w:pPr>
    </w:p>
    <w:p w14:paraId="432D71C7">
      <w:pPr>
        <w:pStyle w:val="2"/>
        <w:rPr>
          <w:rFonts w:hint="eastAsia"/>
        </w:rPr>
      </w:pPr>
    </w:p>
    <w:tbl>
      <w:tblPr>
        <w:tblStyle w:val="5"/>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197240C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1FAC6027">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甲  方</w:t>
            </w:r>
          </w:p>
        </w:tc>
        <w:tc>
          <w:tcPr>
            <w:tcW w:w="4202" w:type="dxa"/>
            <w:noWrap w:val="0"/>
            <w:vAlign w:val="center"/>
          </w:tcPr>
          <w:p w14:paraId="7111E028">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乙  方</w:t>
            </w:r>
          </w:p>
        </w:tc>
      </w:tr>
      <w:tr w14:paraId="64B290C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15" w:hRule="exact"/>
          <w:jc w:val="center"/>
        </w:trPr>
        <w:tc>
          <w:tcPr>
            <w:tcW w:w="4201" w:type="dxa"/>
            <w:noWrap w:val="0"/>
            <w:vAlign w:val="center"/>
          </w:tcPr>
          <w:p w14:paraId="23D6A974">
            <w:pPr>
              <w:widowControl/>
              <w:autoSpaceDE w:val="0"/>
              <w:autoSpaceDN w:val="0"/>
              <w:adjustRightInd w:val="0"/>
              <w:spacing w:line="360" w:lineRule="auto"/>
              <w:ind w:firstLine="480" w:firstLineChars="200"/>
              <w:jc w:val="right"/>
              <w:textAlignment w:val="baseline"/>
              <w:rPr>
                <w:rFonts w:hint="eastAsia" w:ascii="宋体" w:hAnsi="宋体" w:eastAsia="宋体" w:cs="宋体"/>
                <w:bCs/>
                <w:sz w:val="24"/>
                <w:szCs w:val="24"/>
              </w:rPr>
            </w:pPr>
            <w:r>
              <w:rPr>
                <w:rFonts w:hint="eastAsia" w:ascii="宋体" w:hAnsi="宋体" w:eastAsia="宋体" w:cs="宋体"/>
                <w:bCs/>
                <w:sz w:val="24"/>
                <w:szCs w:val="24"/>
              </w:rPr>
              <w:t>（盖章）</w:t>
            </w:r>
          </w:p>
        </w:tc>
        <w:tc>
          <w:tcPr>
            <w:tcW w:w="4202" w:type="dxa"/>
            <w:noWrap w:val="0"/>
            <w:vAlign w:val="center"/>
          </w:tcPr>
          <w:p w14:paraId="3A8C2944">
            <w:pPr>
              <w:widowControl/>
              <w:autoSpaceDE w:val="0"/>
              <w:autoSpaceDN w:val="0"/>
              <w:adjustRightInd w:val="0"/>
              <w:spacing w:line="360" w:lineRule="auto"/>
              <w:ind w:firstLine="480" w:firstLineChars="200"/>
              <w:jc w:val="right"/>
              <w:textAlignment w:val="baseline"/>
              <w:rPr>
                <w:rFonts w:hint="eastAsia" w:ascii="宋体" w:hAnsi="宋体" w:eastAsia="宋体" w:cs="宋体"/>
                <w:bCs/>
                <w:sz w:val="24"/>
                <w:szCs w:val="24"/>
              </w:rPr>
            </w:pPr>
            <w:r>
              <w:rPr>
                <w:rFonts w:hint="eastAsia" w:ascii="宋体" w:hAnsi="宋体" w:eastAsia="宋体" w:cs="宋体"/>
                <w:bCs/>
                <w:sz w:val="24"/>
                <w:szCs w:val="24"/>
              </w:rPr>
              <w:t>（盖章）</w:t>
            </w:r>
          </w:p>
        </w:tc>
      </w:tr>
      <w:tr w14:paraId="14B2F33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19" w:hRule="exact"/>
          <w:jc w:val="center"/>
        </w:trPr>
        <w:tc>
          <w:tcPr>
            <w:tcW w:w="4201" w:type="dxa"/>
            <w:noWrap w:val="0"/>
            <w:vAlign w:val="center"/>
          </w:tcPr>
          <w:p w14:paraId="3886A05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地址： </w:t>
            </w:r>
          </w:p>
        </w:tc>
        <w:tc>
          <w:tcPr>
            <w:tcW w:w="4202" w:type="dxa"/>
            <w:noWrap w:val="0"/>
            <w:vAlign w:val="center"/>
          </w:tcPr>
          <w:p w14:paraId="11FEA0E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地址：</w:t>
            </w:r>
          </w:p>
        </w:tc>
      </w:tr>
      <w:tr w14:paraId="575FD13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785" w:hRule="exact"/>
          <w:jc w:val="center"/>
        </w:trPr>
        <w:tc>
          <w:tcPr>
            <w:tcW w:w="4201" w:type="dxa"/>
            <w:noWrap w:val="0"/>
            <w:vAlign w:val="center"/>
          </w:tcPr>
          <w:p w14:paraId="7C389844">
            <w:pPr>
              <w:widowControl/>
              <w:autoSpaceDE w:val="0"/>
              <w:autoSpaceDN w:val="0"/>
              <w:adjustRightInd w:val="0"/>
              <w:spacing w:line="360" w:lineRule="auto"/>
              <w:ind w:firstLine="480" w:firstLineChars="200"/>
              <w:textAlignment w:val="baseline"/>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联系人及联系电话：</w:t>
            </w:r>
          </w:p>
        </w:tc>
        <w:tc>
          <w:tcPr>
            <w:tcW w:w="4202" w:type="dxa"/>
            <w:noWrap w:val="0"/>
            <w:vAlign w:val="center"/>
          </w:tcPr>
          <w:p w14:paraId="2401D3C4">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lang w:val="en-US" w:eastAsia="zh-CN"/>
              </w:rPr>
              <w:t>联系人及联系电话：</w:t>
            </w:r>
          </w:p>
        </w:tc>
      </w:tr>
      <w:tr w14:paraId="3B44E25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785" w:hRule="exact"/>
          <w:jc w:val="center"/>
        </w:trPr>
        <w:tc>
          <w:tcPr>
            <w:tcW w:w="4201" w:type="dxa"/>
            <w:shd w:val="clear" w:color="auto" w:fill="auto"/>
            <w:noWrap w:val="0"/>
            <w:vAlign w:val="center"/>
          </w:tcPr>
          <w:p w14:paraId="253D1400">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rPr>
              <w:t>邮编：</w:t>
            </w:r>
          </w:p>
        </w:tc>
        <w:tc>
          <w:tcPr>
            <w:tcW w:w="4202" w:type="dxa"/>
            <w:shd w:val="clear" w:color="auto" w:fill="auto"/>
            <w:noWrap w:val="0"/>
            <w:vAlign w:val="center"/>
          </w:tcPr>
          <w:p w14:paraId="767E0FD1">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rPr>
              <w:t>邮编：</w:t>
            </w:r>
          </w:p>
        </w:tc>
      </w:tr>
    </w:tbl>
    <w:p w14:paraId="4B4AE280">
      <w:pPr>
        <w:widowControl/>
        <w:textAlignment w:val="baseline"/>
        <w:rPr>
          <w:rFonts w:ascii="Times New Roman" w:hAnsi="Times New Roman" w:eastAsia="宋体" w:cs="Times New Roman"/>
          <w:szCs w:val="20"/>
        </w:rPr>
      </w:pPr>
    </w:p>
    <w:p w14:paraId="71CE3665">
      <w:pPr>
        <w:pStyle w:val="8"/>
        <w:rPr>
          <w:rFonts w:hint="eastAsia" w:ascii="宋体" w:hAnsi="宋体" w:eastAsia="宋体" w:cs="宋体"/>
          <w:lang w:val="en-US" w:eastAsia="zh-Hans"/>
        </w:rPr>
      </w:pPr>
    </w:p>
    <w:p w14:paraId="59297A3C"/>
    <w:p w14:paraId="38E48ECA">
      <w:pPr>
        <w:pStyle w:val="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Nzc1YWJjNWRiMGJlNWNmMzI0YjRmZjFhZmRjNDUifQ=="/>
  </w:docVars>
  <w:rsids>
    <w:rsidRoot w:val="00000000"/>
    <w:rsid w:val="001228CF"/>
    <w:rsid w:val="00CA7D9E"/>
    <w:rsid w:val="1109082F"/>
    <w:rsid w:val="2DB37FB6"/>
    <w:rsid w:val="48BE1805"/>
    <w:rsid w:val="578C3138"/>
    <w:rsid w:val="59592D2E"/>
    <w:rsid w:val="5CD84BB0"/>
    <w:rsid w:val="72FC3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null3"/>
    <w:qFormat/>
    <w:uiPriority w:val="0"/>
    <w:rPr>
      <w:rFonts w:hint="eastAsia" w:ascii="Calibri" w:hAnsi="Calibri" w:eastAsia="宋体" w:cs="Times New Roman"/>
      <w:lang w:val="en-US" w:eastAsia="zh-Hans"/>
    </w:rPr>
  </w:style>
  <w:style w:type="paragraph" w:customStyle="1" w:styleId="9">
    <w:name w:val="技正"/>
    <w:basedOn w:val="1"/>
    <w:next w:val="1"/>
    <w:autoRedefine/>
    <w:qFormat/>
    <w:uiPriority w:val="0"/>
    <w:rPr>
      <w:rFonts w:ascii="Times New Roman" w:hAnsi="Times New Roman" w:eastAsia="仿宋_GB2312" w:cs="Times New Roman"/>
      <w:sz w:val="28"/>
      <w:szCs w:val="28"/>
    </w:rPr>
  </w:style>
  <w:style w:type="paragraph" w:styleId="10">
    <w:name w:val="List Paragraph"/>
    <w:basedOn w:val="1"/>
    <w:autoRedefine/>
    <w:qFormat/>
    <w:uiPriority w:val="34"/>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4271</Words>
  <Characters>4552</Characters>
  <Lines>0</Lines>
  <Paragraphs>0</Paragraphs>
  <TotalTime>0</TotalTime>
  <ScaleCrop>false</ScaleCrop>
  <LinksUpToDate>false</LinksUpToDate>
  <CharactersWithSpaces>4662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2024-05-28T10:08:00Z</dcterms:created>
  <dc:creator>Administrator</dc:creator>
  <cp:lastModifiedBy>WPS_1481262899</cp:lastModifiedBy>
  <dcterms:modified xsi:type="dcterms:W3CDTF">2026-05-18T04:05:17Z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AE184622CBB742E2B6ECF5FEB0DABD44_13</vt:lpwstr>
  </property>
  <property fmtid="{D5CDD505-2E9C-101B-9397-08002B2CF9AE}" pid="4" name="KSOTemplateDocerSaveRecord">
    <vt:lpwstr>eyJoZGlkIjoiNWU4NjNjMjMzOGYzNzk2MzhlZTMzOGEyNTgyNjg1ZmUiLCJ1c2VySWQiOiIyNTU3MTg0MDEifQ==</vt:lpwstr>
  </property>
</Properties>
</file>