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8A7E64">
      <w:pPr>
        <w:rPr>
          <w:rFonts w:hint="eastAsia" w:ascii="宋体" w:hAnsi="宋体" w:cs="宋体"/>
          <w:b/>
          <w:bCs/>
          <w:sz w:val="24"/>
        </w:rPr>
      </w:pPr>
      <w:r>
        <w:rPr>
          <w:rFonts w:hint="eastAsia" w:ascii="宋体" w:hAnsi="宋体" w:cs="宋体"/>
          <w:b/>
          <w:bCs/>
          <w:sz w:val="24"/>
        </w:rPr>
        <w:t>标包2：</w:t>
      </w:r>
      <w:r>
        <w:rPr>
          <w:rFonts w:hint="eastAsia" w:ascii="宋体" w:hAnsi="宋体" w:cs="宋体"/>
          <w:b/>
          <w:bCs/>
          <w:kern w:val="0"/>
          <w:sz w:val="24"/>
          <w:shd w:val="clear" w:color="auto" w:fill="FFFFFF"/>
          <w:lang w:bidi="ar"/>
        </w:rPr>
        <w:t>办公自动化（OA)系统维保服务</w:t>
      </w:r>
    </w:p>
    <w:p w14:paraId="67FD0090">
      <w:pPr>
        <w:rPr>
          <w:rFonts w:hint="eastAsia" w:ascii="宋体" w:hAnsi="宋体"/>
          <w:b/>
          <w:sz w:val="24"/>
        </w:rPr>
      </w:pPr>
      <w:r>
        <w:rPr>
          <w:rFonts w:hint="eastAsia" w:ascii="宋体" w:hAnsi="宋体"/>
          <w:b/>
          <w:sz w:val="24"/>
        </w:rPr>
        <w:t>一、服务内容</w:t>
      </w:r>
    </w:p>
    <w:p w14:paraId="1C04AB60">
      <w:pPr>
        <w:ind w:firstLine="480" w:firstLineChars="200"/>
        <w:rPr>
          <w:rFonts w:hint="eastAsia" w:ascii="宋体" w:hAnsi="宋体"/>
          <w:sz w:val="24"/>
        </w:rPr>
      </w:pPr>
      <w:r>
        <w:rPr>
          <w:rFonts w:hint="eastAsia" w:ascii="宋体" w:hAnsi="宋体"/>
          <w:sz w:val="24"/>
        </w:rPr>
        <w:t>(1)电话服务</w:t>
      </w:r>
    </w:p>
    <w:p w14:paraId="515E9D42">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提供指定专人负责平台技术支持，技术支持人员在接到故障信息后应立即以电话热线的方式提供技术支持，协助平台系统管理人员解决所出现的系统故障。</w:t>
      </w:r>
    </w:p>
    <w:p w14:paraId="406C65C9">
      <w:pPr>
        <w:ind w:firstLine="480" w:firstLineChars="200"/>
        <w:rPr>
          <w:rFonts w:hint="eastAsia" w:ascii="宋体" w:hAnsi="宋体"/>
          <w:sz w:val="24"/>
        </w:rPr>
      </w:pPr>
      <w:r>
        <w:rPr>
          <w:rFonts w:hint="eastAsia" w:ascii="宋体" w:hAnsi="宋体"/>
          <w:sz w:val="24"/>
        </w:rPr>
        <w:t>(2)现场服务</w:t>
      </w:r>
    </w:p>
    <w:p w14:paraId="268E072E">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如果由于环境、设备、人为等原因，造成系统瘫痪或反应速度超过系统设计指标等通过电话无法排除的严重故障时，应在接到故障信息通知1小时内派遣技术支持工程师到达现场，协助系统管理工作人员排除故障、恢复系统运行，并在排除故障后1个工作日内将故障原因、解决方法、处理结果以书面形式上报平台系统管理人员。</w:t>
      </w:r>
    </w:p>
    <w:p w14:paraId="68D00942">
      <w:pPr>
        <w:ind w:firstLine="480" w:firstLineChars="200"/>
        <w:rPr>
          <w:rFonts w:hint="eastAsia" w:ascii="宋体" w:hAnsi="宋体"/>
          <w:sz w:val="24"/>
        </w:rPr>
      </w:pPr>
      <w:r>
        <w:rPr>
          <w:rFonts w:hint="eastAsia" w:ascii="宋体" w:hAnsi="宋体"/>
          <w:sz w:val="24"/>
        </w:rPr>
        <w:t>(3)平台应用系统内容维护</w:t>
      </w:r>
    </w:p>
    <w:p w14:paraId="5C302799">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在使用中如果需要对平台系统的功能或性能进行大幅度修改的，需将具体的改动内容以电子邮件形式发送给平台管理人员。需要根据使用中对平台系统提出的修改意见及时进行处理，对平台现有的流程及表单要持续优化，进一步提高现有流程及表单的反应速度。要进一步完善平台系统在日常使用中出现的小Bug。做好平台系统的备份工作，保证数据的完整性。做好平台系统和其他业务系统的集成工作，做好针对其他业务系统的数据导入导出的对接维护工作。</w:t>
      </w:r>
    </w:p>
    <w:p w14:paraId="2E4CBFF5">
      <w:pPr>
        <w:ind w:firstLine="480" w:firstLineChars="200"/>
        <w:rPr>
          <w:rFonts w:hint="eastAsia" w:ascii="宋体" w:hAnsi="宋体"/>
          <w:sz w:val="24"/>
        </w:rPr>
      </w:pPr>
      <w:r>
        <w:rPr>
          <w:rFonts w:hint="eastAsia" w:ascii="宋体" w:hAnsi="宋体"/>
          <w:sz w:val="24"/>
        </w:rPr>
        <w:t>(4)系统迁移</w:t>
      </w:r>
    </w:p>
    <w:p w14:paraId="261E4B41">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由于客观及外部环境发生变化时，需要对系统迁移的，要做好系统迁移工作，包括应用系统迁移和数据库迁移。同时要负责新环境中平台系统的调试及试运行工作，确保平台系统安全、正常运行。</w:t>
      </w:r>
    </w:p>
    <w:p w14:paraId="4B225751">
      <w:pPr>
        <w:ind w:firstLine="480" w:firstLineChars="200"/>
        <w:rPr>
          <w:rFonts w:hint="eastAsia" w:ascii="宋体" w:hAnsi="宋体"/>
          <w:sz w:val="24"/>
        </w:rPr>
      </w:pPr>
      <w:r>
        <w:rPr>
          <w:rFonts w:hint="eastAsia" w:ascii="宋体" w:hAnsi="宋体"/>
          <w:sz w:val="24"/>
        </w:rPr>
        <w:t>(5)电子签章对接</w:t>
      </w:r>
    </w:p>
    <w:p w14:paraId="2CBD49FE">
      <w:pPr>
        <w:autoSpaceDE w:val="0"/>
        <w:autoSpaceDN w:val="0"/>
        <w:adjustRightInd w:val="0"/>
        <w:spacing w:line="360" w:lineRule="auto"/>
        <w:ind w:left="479" w:leftChars="228"/>
        <w:jc w:val="left"/>
        <w:rPr>
          <w:rFonts w:hint="eastAsia" w:ascii="宋体" w:hAnsi="宋体" w:cs="仿宋"/>
          <w:sz w:val="24"/>
        </w:rPr>
      </w:pPr>
      <w:r>
        <w:rPr>
          <w:rFonts w:hint="eastAsia" w:ascii="宋体" w:hAnsi="宋体" w:cs="仿宋"/>
          <w:sz w:val="24"/>
        </w:rPr>
        <w:t>组织长期证书申请及导入；</w:t>
      </w:r>
    </w:p>
    <w:p w14:paraId="30982E1B">
      <w:pPr>
        <w:autoSpaceDE w:val="0"/>
        <w:autoSpaceDN w:val="0"/>
        <w:adjustRightInd w:val="0"/>
        <w:spacing w:line="360" w:lineRule="auto"/>
        <w:ind w:left="479" w:leftChars="228"/>
        <w:jc w:val="left"/>
        <w:rPr>
          <w:rFonts w:hint="eastAsia" w:ascii="宋体" w:hAnsi="宋体" w:cs="仿宋"/>
          <w:sz w:val="24"/>
        </w:rPr>
      </w:pPr>
      <w:r>
        <w:rPr>
          <w:rFonts w:hint="eastAsia" w:ascii="宋体" w:hAnsi="宋体" w:cs="仿宋"/>
          <w:sz w:val="24"/>
        </w:rPr>
        <w:t>个人用户实名认证、签名制作及静默签授权；</w:t>
      </w:r>
      <w:r>
        <w:rPr>
          <w:rFonts w:hint="eastAsia" w:ascii="宋体" w:hAnsi="宋体" w:cs="仿宋"/>
          <w:sz w:val="24"/>
        </w:rPr>
        <w:br w:type="textWrapping"/>
      </w:r>
      <w:r>
        <w:rPr>
          <w:rFonts w:hint="eastAsia" w:ascii="宋体" w:hAnsi="宋体" w:cs="仿宋"/>
          <w:sz w:val="24"/>
        </w:rPr>
        <w:t>电子印章制作、印章使用授权及静默签授权；</w:t>
      </w:r>
    </w:p>
    <w:p w14:paraId="7955476A">
      <w:pPr>
        <w:autoSpaceDE w:val="0"/>
        <w:autoSpaceDN w:val="0"/>
        <w:adjustRightInd w:val="0"/>
        <w:spacing w:line="360" w:lineRule="auto"/>
        <w:ind w:firstLine="480" w:firstLineChars="200"/>
        <w:jc w:val="left"/>
        <w:rPr>
          <w:rFonts w:ascii="宋体" w:hAnsi="宋体"/>
          <w:b/>
          <w:sz w:val="24"/>
        </w:rPr>
      </w:pPr>
      <w:r>
        <w:rPr>
          <w:rFonts w:hint="eastAsia" w:ascii="宋体" w:hAnsi="宋体" w:cs="仿宋"/>
          <w:sz w:val="24"/>
        </w:rPr>
        <w:t>OA系统与电子签章系统集成对接，实现</w:t>
      </w:r>
      <w:r>
        <w:rPr>
          <w:rFonts w:ascii="宋体" w:hAnsi="宋体" w:cs="仿宋"/>
          <w:sz w:val="24"/>
        </w:rPr>
        <w:t>录取名册</w:t>
      </w:r>
      <w:r>
        <w:rPr>
          <w:rFonts w:hint="eastAsia" w:ascii="宋体" w:hAnsi="宋体" w:cs="仿宋"/>
          <w:sz w:val="24"/>
        </w:rPr>
        <w:t>从OA审批流程批量上传，并进行自动用印，用印完成后将用印后文件自动回传OA审批表单中实现批量下载。</w:t>
      </w:r>
      <w:r>
        <w:rPr>
          <w:rFonts w:hint="eastAsia" w:ascii="宋体" w:hAnsi="宋体" w:cs="仿宋"/>
          <w:sz w:val="24"/>
        </w:rPr>
        <w:br w:type="textWrapping"/>
      </w:r>
      <w:r>
        <w:rPr>
          <w:rFonts w:hint="eastAsia" w:ascii="宋体" w:hAnsi="宋体"/>
          <w:b/>
          <w:sz w:val="24"/>
        </w:rPr>
        <w:t>二、技术参数</w:t>
      </w:r>
    </w:p>
    <w:p w14:paraId="3936A4C8">
      <w:pPr>
        <w:rPr>
          <w:rFonts w:hint="eastAsia" w:ascii="宋体" w:hAnsi="宋体"/>
          <w:sz w:val="24"/>
        </w:rPr>
      </w:pPr>
      <w:r>
        <w:rPr>
          <w:rFonts w:hint="eastAsia" w:ascii="宋体" w:hAnsi="宋体"/>
          <w:sz w:val="24"/>
        </w:rPr>
        <w:t>1.基本售后服务内容</w:t>
      </w:r>
    </w:p>
    <w:tbl>
      <w:tblPr>
        <w:tblStyle w:val="3"/>
        <w:tblW w:w="9292" w:type="dxa"/>
        <w:jc w:val="center"/>
        <w:tblLayout w:type="fixed"/>
        <w:tblCellMar>
          <w:top w:w="0" w:type="dxa"/>
          <w:left w:w="108" w:type="dxa"/>
          <w:bottom w:w="0" w:type="dxa"/>
          <w:right w:w="108" w:type="dxa"/>
        </w:tblCellMar>
      </w:tblPr>
      <w:tblGrid>
        <w:gridCol w:w="2362"/>
        <w:gridCol w:w="6930"/>
      </w:tblGrid>
      <w:tr w14:paraId="074A6D54">
        <w:tblPrEx>
          <w:tblCellMar>
            <w:top w:w="0" w:type="dxa"/>
            <w:left w:w="108" w:type="dxa"/>
            <w:bottom w:w="0" w:type="dxa"/>
            <w:right w:w="108" w:type="dxa"/>
          </w:tblCellMar>
        </w:tblPrEx>
        <w:trPr>
          <w:trHeight w:val="291" w:hRule="atLeast"/>
          <w:jc w:val="center"/>
        </w:trPr>
        <w:tc>
          <w:tcPr>
            <w:tcW w:w="2362" w:type="dxa"/>
            <w:tcBorders>
              <w:top w:val="single" w:color="auto" w:sz="12" w:space="0"/>
              <w:left w:val="thinThickLargeGap" w:color="auto" w:sz="6" w:space="0"/>
              <w:bottom w:val="single" w:color="auto" w:sz="12" w:space="0"/>
              <w:right w:val="single" w:color="auto" w:sz="4" w:space="0"/>
            </w:tcBorders>
            <w:noWrap w:val="0"/>
            <w:vAlign w:val="center"/>
          </w:tcPr>
          <w:p w14:paraId="425C2DAA">
            <w:pPr>
              <w:autoSpaceDE w:val="0"/>
              <w:autoSpaceDN w:val="0"/>
              <w:adjustRightInd w:val="0"/>
              <w:spacing w:line="360" w:lineRule="auto"/>
              <w:ind w:firstLine="482" w:firstLineChars="200"/>
              <w:jc w:val="left"/>
              <w:rPr>
                <w:rFonts w:hint="eastAsia" w:ascii="宋体" w:hAnsi="宋体" w:cs="仿宋"/>
                <w:b/>
                <w:bCs/>
                <w:sz w:val="24"/>
              </w:rPr>
            </w:pPr>
            <w:r>
              <w:rPr>
                <w:rFonts w:hint="eastAsia" w:ascii="宋体" w:hAnsi="宋体" w:cs="仿宋"/>
                <w:b/>
                <w:bCs/>
                <w:sz w:val="24"/>
              </w:rPr>
              <w:t>服务项目</w:t>
            </w:r>
          </w:p>
        </w:tc>
        <w:tc>
          <w:tcPr>
            <w:tcW w:w="6930" w:type="dxa"/>
            <w:tcBorders>
              <w:top w:val="single" w:color="auto" w:sz="12" w:space="0"/>
              <w:left w:val="single" w:color="auto" w:sz="4" w:space="0"/>
              <w:bottom w:val="single" w:color="auto" w:sz="12" w:space="0"/>
              <w:right w:val="thinThickLargeGap" w:color="auto" w:sz="6" w:space="0"/>
            </w:tcBorders>
            <w:noWrap w:val="0"/>
            <w:vAlign w:val="center"/>
          </w:tcPr>
          <w:p w14:paraId="3ACCC757">
            <w:pPr>
              <w:autoSpaceDE w:val="0"/>
              <w:autoSpaceDN w:val="0"/>
              <w:adjustRightInd w:val="0"/>
              <w:spacing w:line="360" w:lineRule="auto"/>
              <w:ind w:firstLine="482" w:firstLineChars="200"/>
              <w:jc w:val="left"/>
              <w:rPr>
                <w:rFonts w:hint="eastAsia" w:ascii="宋体" w:hAnsi="宋体" w:cs="仿宋"/>
                <w:b/>
                <w:bCs/>
                <w:sz w:val="24"/>
              </w:rPr>
            </w:pPr>
            <w:r>
              <w:rPr>
                <w:rFonts w:hint="eastAsia" w:ascii="宋体" w:hAnsi="宋体" w:cs="仿宋"/>
                <w:b/>
                <w:bCs/>
                <w:sz w:val="24"/>
              </w:rPr>
              <w:t>服务说明</w:t>
            </w:r>
          </w:p>
        </w:tc>
      </w:tr>
      <w:tr w14:paraId="320936D3">
        <w:tblPrEx>
          <w:tblCellMar>
            <w:top w:w="0" w:type="dxa"/>
            <w:left w:w="108" w:type="dxa"/>
            <w:bottom w:w="0" w:type="dxa"/>
            <w:right w:w="108" w:type="dxa"/>
          </w:tblCellMar>
        </w:tblPrEx>
        <w:trPr>
          <w:trHeight w:val="819" w:hRule="atLeast"/>
          <w:jc w:val="center"/>
        </w:trPr>
        <w:tc>
          <w:tcPr>
            <w:tcW w:w="2362" w:type="dxa"/>
            <w:tcBorders>
              <w:top w:val="single" w:color="auto" w:sz="12" w:space="0"/>
              <w:left w:val="thinThickLargeGap" w:color="auto" w:sz="6" w:space="0"/>
              <w:bottom w:val="single" w:color="auto" w:sz="4" w:space="0"/>
              <w:right w:val="single" w:color="auto" w:sz="4" w:space="0"/>
            </w:tcBorders>
            <w:noWrap w:val="0"/>
            <w:vAlign w:val="center"/>
          </w:tcPr>
          <w:p w14:paraId="19813030">
            <w:pPr>
              <w:autoSpaceDE w:val="0"/>
              <w:autoSpaceDN w:val="0"/>
              <w:adjustRightInd w:val="0"/>
              <w:spacing w:line="360" w:lineRule="auto"/>
              <w:jc w:val="left"/>
              <w:rPr>
                <w:rFonts w:hint="eastAsia" w:ascii="宋体" w:hAnsi="宋体" w:cs="仿宋"/>
                <w:sz w:val="24"/>
              </w:rPr>
            </w:pPr>
            <w:r>
              <w:rPr>
                <w:rFonts w:hint="eastAsia" w:ascii="宋体" w:hAnsi="宋体" w:cs="仿宋"/>
                <w:sz w:val="24"/>
              </w:rPr>
              <w:t>24小时在线知识库</w:t>
            </w:r>
          </w:p>
        </w:tc>
        <w:tc>
          <w:tcPr>
            <w:tcW w:w="6930" w:type="dxa"/>
            <w:tcBorders>
              <w:top w:val="single" w:color="auto" w:sz="12" w:space="0"/>
              <w:left w:val="single" w:color="auto" w:sz="4" w:space="0"/>
              <w:bottom w:val="single" w:color="auto" w:sz="4" w:space="0"/>
              <w:right w:val="thinThickLargeGap" w:color="auto" w:sz="6" w:space="0"/>
            </w:tcBorders>
            <w:noWrap w:val="0"/>
            <w:vAlign w:val="center"/>
          </w:tcPr>
          <w:p w14:paraId="6090B32B">
            <w:pPr>
              <w:ind w:left="705" w:leftChars="50" w:hanging="600" w:hangingChars="250"/>
              <w:rPr>
                <w:rFonts w:hint="eastAsia" w:ascii="宋体" w:hAnsi="宋体" w:cs="仿宋"/>
                <w:sz w:val="24"/>
              </w:rPr>
            </w:pPr>
            <w:r>
              <w:rPr>
                <w:rFonts w:hint="eastAsia" w:ascii="宋体" w:hAnsi="宋体" w:cs="仿宋"/>
                <w:sz w:val="24"/>
              </w:rPr>
              <w:t>提供完整的项目知识、案例知识、应用推荐等知识库</w:t>
            </w:r>
          </w:p>
        </w:tc>
      </w:tr>
      <w:tr w14:paraId="20FBDFE7">
        <w:tblPrEx>
          <w:tblCellMar>
            <w:top w:w="0" w:type="dxa"/>
            <w:left w:w="108" w:type="dxa"/>
            <w:bottom w:w="0" w:type="dxa"/>
            <w:right w:w="108" w:type="dxa"/>
          </w:tblCellMar>
        </w:tblPrEx>
        <w:trPr>
          <w:trHeight w:val="277"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7752979A">
            <w:pPr>
              <w:autoSpaceDE w:val="0"/>
              <w:autoSpaceDN w:val="0"/>
              <w:adjustRightInd w:val="0"/>
              <w:spacing w:line="360" w:lineRule="auto"/>
              <w:jc w:val="left"/>
              <w:rPr>
                <w:rFonts w:hint="eastAsia" w:ascii="宋体" w:hAnsi="宋体" w:cs="仿宋"/>
                <w:sz w:val="24"/>
              </w:rPr>
            </w:pPr>
            <w:r>
              <w:rPr>
                <w:rFonts w:hint="eastAsia" w:ascii="宋体" w:hAnsi="宋体" w:cs="仿宋"/>
                <w:sz w:val="24"/>
              </w:rPr>
              <w:t>24热线电话咨询</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4A9E85EA">
            <w:pPr>
              <w:ind w:left="705" w:leftChars="50" w:hanging="600" w:hangingChars="250"/>
              <w:rPr>
                <w:rFonts w:hint="eastAsia" w:ascii="宋体" w:hAnsi="宋体" w:cs="仿宋"/>
                <w:sz w:val="24"/>
              </w:rPr>
            </w:pPr>
            <w:r>
              <w:rPr>
                <w:rFonts w:hint="eastAsia" w:ascii="宋体" w:hAnsi="宋体" w:cs="仿宋"/>
                <w:sz w:val="24"/>
              </w:rPr>
              <w:t>对应客户服务人员联系</w:t>
            </w:r>
          </w:p>
        </w:tc>
      </w:tr>
      <w:tr w14:paraId="22637F7E">
        <w:tblPrEx>
          <w:tblCellMar>
            <w:top w:w="0" w:type="dxa"/>
            <w:left w:w="108" w:type="dxa"/>
            <w:bottom w:w="0" w:type="dxa"/>
            <w:right w:w="108" w:type="dxa"/>
          </w:tblCellMar>
        </w:tblPrEx>
        <w:trPr>
          <w:trHeight w:val="277" w:hRule="atLeast"/>
          <w:jc w:val="center"/>
        </w:trPr>
        <w:tc>
          <w:tcPr>
            <w:tcW w:w="2362" w:type="dxa"/>
            <w:vMerge w:val="restart"/>
            <w:tcBorders>
              <w:top w:val="single" w:color="auto" w:sz="4" w:space="0"/>
              <w:left w:val="thinThickLargeGap" w:color="auto" w:sz="6" w:space="0"/>
              <w:bottom w:val="single" w:color="auto" w:sz="4" w:space="0"/>
              <w:right w:val="single" w:color="auto" w:sz="4" w:space="0"/>
            </w:tcBorders>
            <w:noWrap w:val="0"/>
            <w:vAlign w:val="center"/>
          </w:tcPr>
          <w:p w14:paraId="35D16F55">
            <w:pPr>
              <w:autoSpaceDE w:val="0"/>
              <w:autoSpaceDN w:val="0"/>
              <w:adjustRightInd w:val="0"/>
              <w:spacing w:line="360" w:lineRule="auto"/>
              <w:jc w:val="left"/>
              <w:rPr>
                <w:rFonts w:hint="eastAsia" w:ascii="宋体" w:hAnsi="宋体" w:cs="仿宋"/>
                <w:sz w:val="24"/>
              </w:rPr>
            </w:pPr>
            <w:r>
              <w:rPr>
                <w:rFonts w:hint="eastAsia" w:ascii="宋体" w:hAnsi="宋体" w:cs="仿宋"/>
                <w:sz w:val="24"/>
              </w:rPr>
              <w:t>系统故障和问题解决</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2359BDDF">
            <w:pPr>
              <w:ind w:left="705" w:leftChars="50" w:hanging="600" w:hangingChars="250"/>
              <w:rPr>
                <w:rFonts w:hint="eastAsia" w:ascii="宋体" w:hAnsi="宋体" w:cs="仿宋"/>
                <w:sz w:val="24"/>
              </w:rPr>
            </w:pPr>
            <w:r>
              <w:rPr>
                <w:rFonts w:hint="eastAsia" w:ascii="宋体" w:hAnsi="宋体" w:cs="仿宋"/>
                <w:sz w:val="24"/>
              </w:rPr>
              <w:t>系统BUG，并进行打补丁包发布</w:t>
            </w:r>
          </w:p>
        </w:tc>
      </w:tr>
      <w:tr w14:paraId="3AED26DD">
        <w:tblPrEx>
          <w:tblCellMar>
            <w:top w:w="0" w:type="dxa"/>
            <w:left w:w="108" w:type="dxa"/>
            <w:bottom w:w="0" w:type="dxa"/>
            <w:right w:w="108" w:type="dxa"/>
          </w:tblCellMar>
        </w:tblPrEx>
        <w:trPr>
          <w:trHeight w:val="277" w:hRule="atLeast"/>
          <w:jc w:val="center"/>
        </w:trPr>
        <w:tc>
          <w:tcPr>
            <w:tcW w:w="2362" w:type="dxa"/>
            <w:vMerge w:val="continue"/>
            <w:tcBorders>
              <w:top w:val="single" w:color="auto" w:sz="4" w:space="0"/>
              <w:left w:val="thinThickLargeGap" w:color="auto" w:sz="6" w:space="0"/>
              <w:bottom w:val="single" w:color="auto" w:sz="4" w:space="0"/>
              <w:right w:val="single" w:color="auto" w:sz="4" w:space="0"/>
            </w:tcBorders>
            <w:noWrap w:val="0"/>
            <w:vAlign w:val="center"/>
          </w:tcPr>
          <w:p w14:paraId="078322E2">
            <w:pPr>
              <w:autoSpaceDE w:val="0"/>
              <w:autoSpaceDN w:val="0"/>
              <w:adjustRightInd w:val="0"/>
              <w:spacing w:line="360" w:lineRule="auto"/>
              <w:ind w:firstLine="480" w:firstLineChars="200"/>
              <w:jc w:val="left"/>
              <w:rPr>
                <w:rFonts w:hint="eastAsia" w:ascii="宋体" w:hAnsi="宋体" w:cs="仿宋"/>
                <w:sz w:val="24"/>
              </w:rPr>
            </w:pP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6E5DE193">
            <w:pPr>
              <w:ind w:left="705" w:leftChars="50" w:hanging="600" w:hangingChars="250"/>
              <w:rPr>
                <w:rFonts w:hint="eastAsia" w:ascii="宋体" w:hAnsi="宋体" w:cs="仿宋"/>
                <w:sz w:val="24"/>
              </w:rPr>
            </w:pPr>
            <w:r>
              <w:rPr>
                <w:rFonts w:hint="eastAsia" w:ascii="宋体" w:hAnsi="宋体" w:cs="仿宋"/>
                <w:sz w:val="24"/>
              </w:rPr>
              <w:t>系统发生故障，日常办公不能正常开展</w:t>
            </w:r>
          </w:p>
        </w:tc>
      </w:tr>
      <w:tr w14:paraId="16FA07C6">
        <w:tblPrEx>
          <w:tblCellMar>
            <w:top w:w="0" w:type="dxa"/>
            <w:left w:w="108" w:type="dxa"/>
            <w:bottom w:w="0" w:type="dxa"/>
            <w:right w:w="108" w:type="dxa"/>
          </w:tblCellMar>
        </w:tblPrEx>
        <w:trPr>
          <w:trHeight w:val="277" w:hRule="atLeast"/>
          <w:jc w:val="center"/>
        </w:trPr>
        <w:tc>
          <w:tcPr>
            <w:tcW w:w="2362" w:type="dxa"/>
            <w:vMerge w:val="continue"/>
            <w:tcBorders>
              <w:top w:val="single" w:color="auto" w:sz="4" w:space="0"/>
              <w:left w:val="thinThickLargeGap" w:color="auto" w:sz="6" w:space="0"/>
              <w:bottom w:val="single" w:color="auto" w:sz="4" w:space="0"/>
              <w:right w:val="single" w:color="auto" w:sz="4" w:space="0"/>
            </w:tcBorders>
            <w:noWrap w:val="0"/>
            <w:vAlign w:val="center"/>
          </w:tcPr>
          <w:p w14:paraId="414DFAEC">
            <w:pPr>
              <w:autoSpaceDE w:val="0"/>
              <w:autoSpaceDN w:val="0"/>
              <w:adjustRightInd w:val="0"/>
              <w:spacing w:line="360" w:lineRule="auto"/>
              <w:ind w:firstLine="480" w:firstLineChars="200"/>
              <w:jc w:val="left"/>
              <w:rPr>
                <w:rFonts w:hint="eastAsia" w:ascii="宋体" w:hAnsi="宋体" w:cs="仿宋"/>
                <w:sz w:val="24"/>
              </w:rPr>
            </w:pP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0AAAD911">
            <w:pPr>
              <w:ind w:left="705" w:leftChars="50" w:hanging="600" w:hangingChars="250"/>
              <w:rPr>
                <w:rFonts w:hint="eastAsia" w:ascii="宋体" w:hAnsi="宋体" w:cs="仿宋"/>
                <w:sz w:val="24"/>
              </w:rPr>
            </w:pPr>
            <w:r>
              <w:rPr>
                <w:rFonts w:hint="eastAsia" w:ascii="宋体" w:hAnsi="宋体" w:cs="仿宋"/>
                <w:sz w:val="24"/>
              </w:rPr>
              <w:t>重要功能无法使用，影响正常使用</w:t>
            </w:r>
          </w:p>
        </w:tc>
      </w:tr>
      <w:tr w14:paraId="67052B55">
        <w:tblPrEx>
          <w:tblCellMar>
            <w:top w:w="0" w:type="dxa"/>
            <w:left w:w="108" w:type="dxa"/>
            <w:bottom w:w="0" w:type="dxa"/>
            <w:right w:w="108" w:type="dxa"/>
          </w:tblCellMar>
        </w:tblPrEx>
        <w:trPr>
          <w:trHeight w:val="277" w:hRule="atLeast"/>
          <w:jc w:val="center"/>
        </w:trPr>
        <w:tc>
          <w:tcPr>
            <w:tcW w:w="2362" w:type="dxa"/>
            <w:vMerge w:val="continue"/>
            <w:tcBorders>
              <w:top w:val="single" w:color="auto" w:sz="4" w:space="0"/>
              <w:left w:val="thinThickLargeGap" w:color="auto" w:sz="6" w:space="0"/>
              <w:bottom w:val="single" w:color="auto" w:sz="4" w:space="0"/>
              <w:right w:val="single" w:color="auto" w:sz="4" w:space="0"/>
            </w:tcBorders>
            <w:noWrap w:val="0"/>
            <w:vAlign w:val="center"/>
          </w:tcPr>
          <w:p w14:paraId="59A8B1CF">
            <w:pPr>
              <w:autoSpaceDE w:val="0"/>
              <w:autoSpaceDN w:val="0"/>
              <w:adjustRightInd w:val="0"/>
              <w:spacing w:line="360" w:lineRule="auto"/>
              <w:ind w:firstLine="480" w:firstLineChars="200"/>
              <w:jc w:val="left"/>
              <w:rPr>
                <w:rFonts w:hint="eastAsia" w:ascii="宋体" w:hAnsi="宋体" w:cs="仿宋"/>
                <w:sz w:val="24"/>
              </w:rPr>
            </w:pP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1C41C88F">
            <w:pPr>
              <w:ind w:left="705" w:leftChars="50" w:hanging="600" w:hangingChars="250"/>
              <w:rPr>
                <w:rFonts w:hint="eastAsia" w:ascii="宋体" w:hAnsi="宋体" w:cs="仿宋"/>
                <w:sz w:val="24"/>
              </w:rPr>
            </w:pPr>
            <w:r>
              <w:rPr>
                <w:rFonts w:hint="eastAsia" w:ascii="宋体" w:hAnsi="宋体" w:cs="仿宋"/>
                <w:sz w:val="24"/>
              </w:rPr>
              <w:t>非重要功能无法使用，系统能继续运行并进行重要功能操作。</w:t>
            </w:r>
          </w:p>
        </w:tc>
      </w:tr>
      <w:tr w14:paraId="32195BBD">
        <w:tblPrEx>
          <w:tblCellMar>
            <w:top w:w="0" w:type="dxa"/>
            <w:left w:w="108" w:type="dxa"/>
            <w:bottom w:w="0" w:type="dxa"/>
            <w:right w:w="108" w:type="dxa"/>
          </w:tblCellMar>
        </w:tblPrEx>
        <w:trPr>
          <w:trHeight w:val="277" w:hRule="atLeast"/>
          <w:jc w:val="center"/>
        </w:trPr>
        <w:tc>
          <w:tcPr>
            <w:tcW w:w="2362" w:type="dxa"/>
            <w:vMerge w:val="continue"/>
            <w:tcBorders>
              <w:top w:val="single" w:color="auto" w:sz="4" w:space="0"/>
              <w:left w:val="thinThickLargeGap" w:color="auto" w:sz="6" w:space="0"/>
              <w:bottom w:val="single" w:color="auto" w:sz="4" w:space="0"/>
              <w:right w:val="single" w:color="auto" w:sz="4" w:space="0"/>
            </w:tcBorders>
            <w:noWrap w:val="0"/>
            <w:vAlign w:val="center"/>
          </w:tcPr>
          <w:p w14:paraId="01C03CDA">
            <w:pPr>
              <w:autoSpaceDE w:val="0"/>
              <w:autoSpaceDN w:val="0"/>
              <w:adjustRightInd w:val="0"/>
              <w:spacing w:line="360" w:lineRule="auto"/>
              <w:ind w:firstLine="480" w:firstLineChars="200"/>
              <w:jc w:val="left"/>
              <w:rPr>
                <w:rFonts w:hint="eastAsia" w:ascii="宋体" w:hAnsi="宋体" w:cs="仿宋"/>
                <w:sz w:val="24"/>
              </w:rPr>
            </w:pP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0FA05908">
            <w:pPr>
              <w:ind w:left="705" w:leftChars="50" w:hanging="600" w:hangingChars="250"/>
              <w:rPr>
                <w:rFonts w:hint="eastAsia" w:ascii="宋体" w:hAnsi="宋体" w:cs="仿宋"/>
                <w:sz w:val="24"/>
              </w:rPr>
            </w:pPr>
            <w:r>
              <w:rPr>
                <w:rFonts w:hint="eastAsia" w:ascii="宋体" w:hAnsi="宋体" w:cs="仿宋"/>
                <w:sz w:val="24"/>
              </w:rPr>
              <w:t>响应方式：电话、邮件、远程链接、客户环境模拟、现场解决。</w:t>
            </w:r>
          </w:p>
          <w:p w14:paraId="577BB95A">
            <w:pPr>
              <w:ind w:left="705" w:leftChars="50" w:hanging="600" w:hangingChars="250"/>
              <w:rPr>
                <w:rFonts w:hint="eastAsia" w:ascii="宋体" w:hAnsi="宋体" w:cs="仿宋"/>
                <w:sz w:val="24"/>
              </w:rPr>
            </w:pPr>
            <w:r>
              <w:rPr>
                <w:rFonts w:hint="eastAsia" w:ascii="宋体" w:hAnsi="宋体" w:cs="仿宋"/>
                <w:sz w:val="24"/>
              </w:rPr>
              <w:t>注：甲方承诺可提供除业务及机密数据的数据环境。</w:t>
            </w:r>
          </w:p>
        </w:tc>
      </w:tr>
      <w:tr w14:paraId="3009C636">
        <w:tblPrEx>
          <w:tblCellMar>
            <w:top w:w="0" w:type="dxa"/>
            <w:left w:w="108" w:type="dxa"/>
            <w:bottom w:w="0" w:type="dxa"/>
            <w:right w:w="108" w:type="dxa"/>
          </w:tblCellMar>
        </w:tblPrEx>
        <w:trPr>
          <w:trHeight w:val="277"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6C642A8E">
            <w:pPr>
              <w:autoSpaceDE w:val="0"/>
              <w:autoSpaceDN w:val="0"/>
              <w:adjustRightInd w:val="0"/>
              <w:spacing w:line="360" w:lineRule="auto"/>
              <w:jc w:val="left"/>
              <w:rPr>
                <w:rFonts w:hint="eastAsia" w:ascii="宋体" w:hAnsi="宋体" w:cs="仿宋"/>
                <w:sz w:val="24"/>
              </w:rPr>
            </w:pPr>
            <w:r>
              <w:rPr>
                <w:rFonts w:hint="eastAsia" w:ascii="宋体" w:hAnsi="宋体" w:cs="仿宋"/>
                <w:sz w:val="24"/>
              </w:rPr>
              <w:t>故障预防文档</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5B5A2DF5">
            <w:pPr>
              <w:ind w:left="79" w:leftChars="37" w:hanging="1"/>
              <w:rPr>
                <w:rFonts w:hint="eastAsia" w:ascii="宋体" w:hAnsi="宋体" w:cs="仿宋"/>
                <w:sz w:val="24"/>
              </w:rPr>
            </w:pPr>
            <w:r>
              <w:rPr>
                <w:rFonts w:hint="eastAsia" w:ascii="宋体" w:hAnsi="宋体" w:cs="仿宋"/>
                <w:sz w:val="24"/>
              </w:rPr>
              <w:t>就OA系统可能出现的问题，提出解决与预防文档，该日常维护文档包括：浏览器、电脑软件配置指导手册等文档。</w:t>
            </w:r>
          </w:p>
        </w:tc>
      </w:tr>
      <w:tr w14:paraId="1AC6828D">
        <w:tblPrEx>
          <w:tblCellMar>
            <w:top w:w="0" w:type="dxa"/>
            <w:left w:w="108" w:type="dxa"/>
            <w:bottom w:w="0" w:type="dxa"/>
            <w:right w:w="108" w:type="dxa"/>
          </w:tblCellMar>
        </w:tblPrEx>
        <w:trPr>
          <w:trHeight w:val="277"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41DB9275">
            <w:pPr>
              <w:autoSpaceDE w:val="0"/>
              <w:autoSpaceDN w:val="0"/>
              <w:adjustRightInd w:val="0"/>
              <w:spacing w:line="360" w:lineRule="auto"/>
              <w:jc w:val="left"/>
              <w:rPr>
                <w:rFonts w:hint="eastAsia" w:ascii="宋体" w:hAnsi="宋体" w:cs="仿宋"/>
                <w:sz w:val="24"/>
              </w:rPr>
            </w:pPr>
            <w:r>
              <w:rPr>
                <w:rFonts w:hint="eastAsia" w:ascii="宋体" w:hAnsi="宋体" w:cs="仿宋"/>
                <w:sz w:val="24"/>
              </w:rPr>
              <w:t>日常功能、数据维护</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79D03DC9">
            <w:pPr>
              <w:ind w:left="80" w:leftChars="38"/>
              <w:rPr>
                <w:rFonts w:hint="eastAsia" w:ascii="宋体" w:hAnsi="宋体" w:cs="仿宋"/>
                <w:sz w:val="24"/>
              </w:rPr>
            </w:pPr>
            <w:r>
              <w:rPr>
                <w:rFonts w:hint="eastAsia" w:ascii="宋体" w:hAnsi="宋体" w:cs="仿宋"/>
                <w:sz w:val="24"/>
              </w:rPr>
              <w:t>针对用户提出特殊要求，如进行搭建新的角色、用户等不限于此的功能；数据维护是指根据用户需求从数据库、文件层次进行数据、文件修改等不限于此的功能。</w:t>
            </w:r>
          </w:p>
        </w:tc>
      </w:tr>
      <w:tr w14:paraId="6710669B">
        <w:tblPrEx>
          <w:tblCellMar>
            <w:top w:w="0" w:type="dxa"/>
            <w:left w:w="108" w:type="dxa"/>
            <w:bottom w:w="0" w:type="dxa"/>
            <w:right w:w="108" w:type="dxa"/>
          </w:tblCellMar>
        </w:tblPrEx>
        <w:trPr>
          <w:trHeight w:val="115" w:hRule="atLeast"/>
          <w:jc w:val="center"/>
        </w:trPr>
        <w:tc>
          <w:tcPr>
            <w:tcW w:w="2362" w:type="dxa"/>
            <w:vMerge w:val="restart"/>
            <w:tcBorders>
              <w:top w:val="single" w:color="auto" w:sz="4" w:space="0"/>
              <w:left w:val="thinThickLargeGap" w:color="auto" w:sz="6" w:space="0"/>
              <w:bottom w:val="single" w:color="auto" w:sz="4" w:space="0"/>
              <w:right w:val="single" w:color="auto" w:sz="4" w:space="0"/>
            </w:tcBorders>
            <w:noWrap w:val="0"/>
            <w:vAlign w:val="center"/>
          </w:tcPr>
          <w:p w14:paraId="2B77A022">
            <w:pPr>
              <w:autoSpaceDE w:val="0"/>
              <w:autoSpaceDN w:val="0"/>
              <w:adjustRightInd w:val="0"/>
              <w:spacing w:line="360" w:lineRule="auto"/>
              <w:jc w:val="left"/>
              <w:rPr>
                <w:rFonts w:hint="eastAsia" w:ascii="宋体" w:hAnsi="宋体" w:cs="仿宋"/>
                <w:sz w:val="24"/>
              </w:rPr>
            </w:pPr>
            <w:r>
              <w:rPr>
                <w:rFonts w:hint="eastAsia" w:ascii="宋体" w:hAnsi="宋体" w:cs="仿宋"/>
                <w:sz w:val="24"/>
              </w:rPr>
              <w:t>系统功能调整</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5155C37F">
            <w:pPr>
              <w:ind w:left="705" w:leftChars="50" w:hanging="600" w:hangingChars="250"/>
              <w:rPr>
                <w:rFonts w:hint="eastAsia" w:ascii="宋体" w:hAnsi="宋体" w:cs="仿宋"/>
                <w:sz w:val="24"/>
              </w:rPr>
            </w:pPr>
            <w:r>
              <w:rPr>
                <w:rFonts w:hint="eastAsia" w:ascii="宋体" w:hAnsi="宋体" w:cs="仿宋"/>
                <w:sz w:val="24"/>
              </w:rPr>
              <w:t>信息门户变动及版面变化</w:t>
            </w:r>
          </w:p>
        </w:tc>
      </w:tr>
      <w:tr w14:paraId="4109B02F">
        <w:tblPrEx>
          <w:tblCellMar>
            <w:top w:w="0" w:type="dxa"/>
            <w:left w:w="108" w:type="dxa"/>
            <w:bottom w:w="0" w:type="dxa"/>
            <w:right w:w="108" w:type="dxa"/>
          </w:tblCellMar>
        </w:tblPrEx>
        <w:trPr>
          <w:trHeight w:val="115" w:hRule="atLeast"/>
          <w:jc w:val="center"/>
        </w:trPr>
        <w:tc>
          <w:tcPr>
            <w:tcW w:w="2362" w:type="dxa"/>
            <w:vMerge w:val="continue"/>
            <w:tcBorders>
              <w:top w:val="single" w:color="auto" w:sz="4" w:space="0"/>
              <w:left w:val="thinThickLargeGap" w:color="auto" w:sz="6" w:space="0"/>
              <w:bottom w:val="single" w:color="auto" w:sz="4" w:space="0"/>
              <w:right w:val="single" w:color="auto" w:sz="4" w:space="0"/>
            </w:tcBorders>
            <w:noWrap w:val="0"/>
            <w:vAlign w:val="center"/>
          </w:tcPr>
          <w:p w14:paraId="3D9E51AC">
            <w:pPr>
              <w:autoSpaceDE w:val="0"/>
              <w:autoSpaceDN w:val="0"/>
              <w:adjustRightInd w:val="0"/>
              <w:spacing w:line="360" w:lineRule="auto"/>
              <w:ind w:firstLine="480" w:firstLineChars="200"/>
              <w:jc w:val="left"/>
              <w:rPr>
                <w:rFonts w:hint="eastAsia" w:ascii="宋体" w:hAnsi="宋体" w:cs="仿宋"/>
                <w:sz w:val="24"/>
              </w:rPr>
            </w:pP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3295DC89">
            <w:pPr>
              <w:autoSpaceDE w:val="0"/>
              <w:autoSpaceDN w:val="0"/>
              <w:adjustRightInd w:val="0"/>
              <w:spacing w:line="360" w:lineRule="auto"/>
              <w:ind w:firstLine="88" w:firstLineChars="37"/>
              <w:jc w:val="left"/>
              <w:rPr>
                <w:rFonts w:hint="eastAsia" w:ascii="宋体" w:hAnsi="宋体" w:cs="仿宋"/>
                <w:sz w:val="24"/>
              </w:rPr>
            </w:pPr>
            <w:r>
              <w:rPr>
                <w:rFonts w:hint="eastAsia" w:ascii="宋体" w:hAnsi="宋体" w:cs="仿宋"/>
                <w:sz w:val="24"/>
              </w:rPr>
              <w:t>原有工作流程变动</w:t>
            </w:r>
          </w:p>
        </w:tc>
      </w:tr>
      <w:tr w14:paraId="60A4B018">
        <w:tblPrEx>
          <w:tblCellMar>
            <w:top w:w="0" w:type="dxa"/>
            <w:left w:w="108" w:type="dxa"/>
            <w:bottom w:w="0" w:type="dxa"/>
            <w:right w:w="108" w:type="dxa"/>
          </w:tblCellMar>
        </w:tblPrEx>
        <w:trPr>
          <w:trHeight w:val="630"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4CD890E6">
            <w:pPr>
              <w:autoSpaceDE w:val="0"/>
              <w:autoSpaceDN w:val="0"/>
              <w:adjustRightInd w:val="0"/>
              <w:spacing w:line="360" w:lineRule="auto"/>
              <w:jc w:val="left"/>
              <w:rPr>
                <w:rFonts w:hint="eastAsia" w:ascii="宋体" w:hAnsi="宋体" w:cs="仿宋"/>
                <w:sz w:val="24"/>
              </w:rPr>
            </w:pPr>
            <w:r>
              <w:rPr>
                <w:rFonts w:hint="eastAsia" w:ascii="宋体" w:hAnsi="宋体" w:cs="仿宋"/>
                <w:sz w:val="24"/>
              </w:rPr>
              <w:t>补丁包更新</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125B7949">
            <w:pPr>
              <w:ind w:left="80" w:leftChars="38"/>
              <w:rPr>
                <w:rFonts w:hint="eastAsia" w:ascii="宋体" w:hAnsi="宋体" w:cs="仿宋"/>
                <w:sz w:val="24"/>
              </w:rPr>
            </w:pPr>
            <w:r>
              <w:rPr>
                <w:rFonts w:hint="eastAsia" w:ascii="宋体" w:hAnsi="宋体" w:cs="仿宋"/>
                <w:sz w:val="24"/>
              </w:rPr>
              <w:t>如实际使用过程中牵扯到问题解决补丁包</w:t>
            </w:r>
          </w:p>
          <w:p w14:paraId="743E87A3">
            <w:pPr>
              <w:ind w:left="80" w:leftChars="38"/>
              <w:rPr>
                <w:rFonts w:hint="eastAsia" w:ascii="宋体" w:hAnsi="宋体" w:cs="仿宋"/>
                <w:sz w:val="24"/>
              </w:rPr>
            </w:pPr>
            <w:r>
              <w:rPr>
                <w:rFonts w:hint="eastAsia" w:ascii="宋体" w:hAnsi="宋体" w:cs="仿宋"/>
                <w:sz w:val="24"/>
              </w:rPr>
              <w:t>更新的,可免费更新</w:t>
            </w:r>
          </w:p>
        </w:tc>
      </w:tr>
      <w:tr w14:paraId="32BC7BBF">
        <w:tblPrEx>
          <w:tblCellMar>
            <w:top w:w="0" w:type="dxa"/>
            <w:left w:w="108" w:type="dxa"/>
            <w:bottom w:w="0" w:type="dxa"/>
            <w:right w:w="108" w:type="dxa"/>
          </w:tblCellMar>
        </w:tblPrEx>
        <w:trPr>
          <w:trHeight w:val="291"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1ACCA59B">
            <w:pPr>
              <w:autoSpaceDE w:val="0"/>
              <w:autoSpaceDN w:val="0"/>
              <w:adjustRightInd w:val="0"/>
              <w:spacing w:line="360" w:lineRule="auto"/>
              <w:jc w:val="left"/>
              <w:rPr>
                <w:rFonts w:hint="eastAsia" w:ascii="宋体" w:hAnsi="宋体" w:cs="仿宋"/>
                <w:sz w:val="24"/>
              </w:rPr>
            </w:pPr>
            <w:r>
              <w:rPr>
                <w:rFonts w:hint="eastAsia" w:ascii="宋体" w:hAnsi="宋体" w:cs="仿宋"/>
                <w:sz w:val="24"/>
              </w:rPr>
              <w:t>系统重装迁移</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310A8ADD">
            <w:pPr>
              <w:ind w:left="80" w:leftChars="38"/>
              <w:rPr>
                <w:rFonts w:hint="eastAsia" w:ascii="宋体" w:hAnsi="宋体" w:cs="仿宋"/>
                <w:sz w:val="24"/>
              </w:rPr>
            </w:pPr>
            <w:r>
              <w:rPr>
                <w:rFonts w:hint="eastAsia" w:ascii="宋体" w:hAnsi="宋体" w:cs="仿宋"/>
                <w:sz w:val="24"/>
              </w:rPr>
              <w:t>根据甲方需求，进行环境搭建、</w:t>
            </w:r>
          </w:p>
          <w:p w14:paraId="4F9310C9">
            <w:pPr>
              <w:ind w:left="80" w:leftChars="38"/>
              <w:rPr>
                <w:rFonts w:hint="eastAsia" w:ascii="宋体" w:hAnsi="宋体" w:cs="仿宋"/>
                <w:sz w:val="24"/>
              </w:rPr>
            </w:pPr>
            <w:r>
              <w:rPr>
                <w:rFonts w:hint="eastAsia" w:ascii="宋体" w:hAnsi="宋体" w:cs="仿宋"/>
                <w:sz w:val="24"/>
              </w:rPr>
              <w:t>重建、数据迁移、系统恢复。</w:t>
            </w:r>
          </w:p>
        </w:tc>
      </w:tr>
      <w:tr w14:paraId="29768F6B">
        <w:tblPrEx>
          <w:tblCellMar>
            <w:top w:w="0" w:type="dxa"/>
            <w:left w:w="108" w:type="dxa"/>
            <w:bottom w:w="0" w:type="dxa"/>
            <w:right w:w="108" w:type="dxa"/>
          </w:tblCellMar>
        </w:tblPrEx>
        <w:trPr>
          <w:trHeight w:val="754"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3542AEB3">
            <w:pPr>
              <w:autoSpaceDE w:val="0"/>
              <w:autoSpaceDN w:val="0"/>
              <w:adjustRightInd w:val="0"/>
              <w:spacing w:line="360" w:lineRule="auto"/>
              <w:jc w:val="left"/>
              <w:rPr>
                <w:rFonts w:hint="eastAsia" w:ascii="宋体" w:hAnsi="宋体" w:cs="仿宋"/>
                <w:sz w:val="24"/>
              </w:rPr>
            </w:pPr>
            <w:r>
              <w:rPr>
                <w:rFonts w:hint="eastAsia" w:ascii="宋体" w:hAnsi="宋体" w:cs="仿宋"/>
                <w:sz w:val="24"/>
              </w:rPr>
              <w:t>系统问题受理</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3B4A7072">
            <w:pPr>
              <w:ind w:left="80" w:leftChars="38"/>
              <w:rPr>
                <w:rFonts w:hint="eastAsia" w:ascii="宋体" w:hAnsi="宋体" w:cs="仿宋"/>
                <w:sz w:val="24"/>
              </w:rPr>
            </w:pPr>
            <w:r>
              <w:rPr>
                <w:rFonts w:hint="eastAsia" w:ascii="宋体" w:hAnsi="宋体" w:cs="仿宋"/>
                <w:sz w:val="24"/>
              </w:rPr>
              <w:t>对于软件产品中的问题，乙方向甲方提供受理和处理服务。</w:t>
            </w:r>
          </w:p>
        </w:tc>
      </w:tr>
      <w:tr w14:paraId="3A09DF6C">
        <w:tblPrEx>
          <w:tblCellMar>
            <w:top w:w="0" w:type="dxa"/>
            <w:left w:w="108" w:type="dxa"/>
            <w:bottom w:w="0" w:type="dxa"/>
            <w:right w:w="108" w:type="dxa"/>
          </w:tblCellMar>
        </w:tblPrEx>
        <w:trPr>
          <w:trHeight w:val="754"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7F66184C">
            <w:pPr>
              <w:autoSpaceDE w:val="0"/>
              <w:autoSpaceDN w:val="0"/>
              <w:adjustRightInd w:val="0"/>
              <w:spacing w:line="360" w:lineRule="auto"/>
              <w:jc w:val="left"/>
              <w:rPr>
                <w:rFonts w:hint="eastAsia" w:ascii="宋体" w:hAnsi="宋体" w:cs="仿宋"/>
                <w:sz w:val="24"/>
              </w:rPr>
            </w:pPr>
            <w:r>
              <w:rPr>
                <w:rFonts w:hint="eastAsia" w:ascii="宋体" w:hAnsi="宋体" w:cs="仿宋"/>
                <w:sz w:val="24"/>
              </w:rPr>
              <w:t>技术支持服务</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4C614D3D">
            <w:pPr>
              <w:ind w:left="80" w:leftChars="38"/>
              <w:rPr>
                <w:rFonts w:hint="eastAsia" w:ascii="宋体" w:hAnsi="宋体" w:cs="仿宋"/>
                <w:sz w:val="24"/>
              </w:rPr>
            </w:pPr>
            <w:r>
              <w:rPr>
                <w:rFonts w:hint="eastAsia" w:ascii="宋体" w:hAnsi="宋体" w:cs="仿宋"/>
                <w:sz w:val="24"/>
              </w:rPr>
              <w:t>甲方在系统使用过程中出现的例如查询表结构、查询某数据、调整系统内的一些数据、甲方需要的一些其他协助等非开发式的请求，可由乙方技术人员完成。</w:t>
            </w:r>
          </w:p>
        </w:tc>
      </w:tr>
      <w:tr w14:paraId="49668FB2">
        <w:tblPrEx>
          <w:tblCellMar>
            <w:top w:w="0" w:type="dxa"/>
            <w:left w:w="108" w:type="dxa"/>
            <w:bottom w:w="0" w:type="dxa"/>
            <w:right w:w="108" w:type="dxa"/>
          </w:tblCellMar>
        </w:tblPrEx>
        <w:trPr>
          <w:trHeight w:val="754" w:hRule="atLeast"/>
          <w:jc w:val="center"/>
        </w:trPr>
        <w:tc>
          <w:tcPr>
            <w:tcW w:w="2362" w:type="dxa"/>
            <w:tcBorders>
              <w:top w:val="single" w:color="auto" w:sz="4" w:space="0"/>
              <w:left w:val="thinThickLargeGap" w:color="auto" w:sz="6" w:space="0"/>
              <w:bottom w:val="single" w:color="auto" w:sz="4" w:space="0"/>
              <w:right w:val="single" w:color="auto" w:sz="4" w:space="0"/>
            </w:tcBorders>
            <w:noWrap w:val="0"/>
            <w:vAlign w:val="center"/>
          </w:tcPr>
          <w:p w14:paraId="2FC2B624">
            <w:pPr>
              <w:autoSpaceDE w:val="0"/>
              <w:autoSpaceDN w:val="0"/>
              <w:adjustRightInd w:val="0"/>
              <w:spacing w:line="360" w:lineRule="auto"/>
              <w:jc w:val="left"/>
              <w:rPr>
                <w:rFonts w:hint="eastAsia" w:ascii="宋体" w:hAnsi="宋体" w:cs="仿宋"/>
                <w:sz w:val="24"/>
              </w:rPr>
            </w:pPr>
            <w:r>
              <w:rPr>
                <w:rFonts w:hint="eastAsia" w:ascii="宋体" w:hAnsi="宋体" w:cs="仿宋"/>
                <w:sz w:val="24"/>
              </w:rPr>
              <w:t>应用巡检服务</w:t>
            </w:r>
          </w:p>
        </w:tc>
        <w:tc>
          <w:tcPr>
            <w:tcW w:w="6930" w:type="dxa"/>
            <w:tcBorders>
              <w:top w:val="single" w:color="auto" w:sz="4" w:space="0"/>
              <w:left w:val="single" w:color="auto" w:sz="4" w:space="0"/>
              <w:bottom w:val="single" w:color="auto" w:sz="4" w:space="0"/>
              <w:right w:val="thinThickLargeGap" w:color="auto" w:sz="6" w:space="0"/>
            </w:tcBorders>
            <w:noWrap w:val="0"/>
            <w:vAlign w:val="center"/>
          </w:tcPr>
          <w:p w14:paraId="67B39201">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甲方定期进行应用系统巡检服务。</w:t>
            </w:r>
          </w:p>
        </w:tc>
      </w:tr>
    </w:tbl>
    <w:p w14:paraId="155332C9">
      <w:pPr>
        <w:ind w:firstLine="480" w:firstLineChars="200"/>
        <w:rPr>
          <w:rFonts w:hint="eastAsia" w:ascii="宋体" w:hAnsi="宋体"/>
          <w:sz w:val="24"/>
        </w:rPr>
      </w:pPr>
      <w:r>
        <w:rPr>
          <w:rFonts w:hint="eastAsia" w:ascii="宋体" w:hAnsi="宋体"/>
          <w:sz w:val="24"/>
        </w:rPr>
        <w:t>2.应急保障、备用恢复</w:t>
      </w:r>
    </w:p>
    <w:p w14:paraId="55740855">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备有应急预案以应对攻击和病毒入侵、系统文件遭到破坏删除或数据库崩溃等情况。一旦服务器出现问题会启动灾难恢复机制，最大程度的恢复系统。</w:t>
      </w:r>
    </w:p>
    <w:p w14:paraId="75EB671A">
      <w:pPr>
        <w:ind w:firstLine="480" w:firstLineChars="200"/>
        <w:rPr>
          <w:rFonts w:hint="eastAsia" w:ascii="宋体" w:hAnsi="宋体"/>
          <w:sz w:val="24"/>
        </w:rPr>
      </w:pPr>
      <w:r>
        <w:rPr>
          <w:rFonts w:hint="eastAsia" w:ascii="宋体" w:hAnsi="宋体"/>
          <w:sz w:val="24"/>
        </w:rPr>
        <w:t>3.人员培训</w:t>
      </w:r>
    </w:p>
    <w:p w14:paraId="3F0A5B9F">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对系统操作不太熟练或者新的用户负责提供免费的系统操作培训和技术应用培训,培训时间按不熟练或新增用户时间而定。</w:t>
      </w:r>
    </w:p>
    <w:p w14:paraId="23A75BCF">
      <w:pPr>
        <w:ind w:firstLine="480" w:firstLineChars="200"/>
        <w:rPr>
          <w:rFonts w:hint="eastAsia" w:ascii="宋体" w:hAnsi="宋体"/>
          <w:sz w:val="24"/>
        </w:rPr>
      </w:pPr>
      <w:r>
        <w:rPr>
          <w:rFonts w:hint="eastAsia" w:ascii="宋体" w:hAnsi="宋体"/>
          <w:sz w:val="24"/>
        </w:rPr>
        <w:t>4.系统安全检测</w:t>
      </w:r>
    </w:p>
    <w:p w14:paraId="3C75C0C9">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运维合同期内至少做一次系统整体安全测评，并提供详细报告。查出漏洞后，及时检查、修复相关页面漏洞，出具详细修复报告。</w:t>
      </w:r>
    </w:p>
    <w:p w14:paraId="7EEFFCBB">
      <w:pPr>
        <w:ind w:firstLine="480" w:firstLineChars="200"/>
        <w:rPr>
          <w:rFonts w:hint="eastAsia" w:ascii="宋体" w:hAnsi="宋体"/>
          <w:sz w:val="24"/>
        </w:rPr>
      </w:pPr>
      <w:r>
        <w:rPr>
          <w:rFonts w:hint="eastAsia" w:ascii="宋体" w:hAnsi="宋体"/>
          <w:sz w:val="24"/>
        </w:rPr>
        <w:t>5.服务要求：</w:t>
      </w:r>
    </w:p>
    <w:p w14:paraId="1EE84554">
      <w:pPr>
        <w:ind w:firstLine="480" w:firstLineChars="200"/>
        <w:rPr>
          <w:rFonts w:hint="eastAsia" w:ascii="宋体" w:hAnsi="宋体"/>
          <w:sz w:val="24"/>
        </w:rPr>
      </w:pPr>
      <w:r>
        <w:rPr>
          <w:rFonts w:hint="eastAsia" w:ascii="宋体" w:hAnsi="宋体"/>
          <w:sz w:val="24"/>
        </w:rPr>
        <w:t>（1）服务响应时间：响应时间为接到通知后</w:t>
      </w:r>
      <w:r>
        <w:rPr>
          <w:rFonts w:ascii="宋体" w:hAnsi="宋体"/>
          <w:sz w:val="24"/>
        </w:rPr>
        <w:t>30</w:t>
      </w:r>
      <w:r>
        <w:rPr>
          <w:rFonts w:hint="eastAsia" w:ascii="宋体" w:hAnsi="宋体"/>
          <w:sz w:val="24"/>
        </w:rPr>
        <w:t>分钟以内；</w:t>
      </w:r>
    </w:p>
    <w:p w14:paraId="382000A5">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（2）现场服务：遇到紧急问题可进行现场支持，工作时间为上午9:00至下午18:00</w:t>
      </w:r>
    </w:p>
    <w:p w14:paraId="693009CE">
      <w:pPr>
        <w:ind w:firstLine="480" w:firstLineChars="200"/>
        <w:rPr>
          <w:rFonts w:hint="eastAsia" w:ascii="宋体" w:hAnsi="宋体"/>
          <w:sz w:val="24"/>
        </w:rPr>
      </w:pPr>
      <w:r>
        <w:rPr>
          <w:rFonts w:hint="eastAsia" w:ascii="宋体" w:hAnsi="宋体"/>
          <w:sz w:val="24"/>
        </w:rPr>
        <w:t>（3）服务电话：7*24小时值班电话畅通；</w:t>
      </w:r>
    </w:p>
    <w:p w14:paraId="2F4535E2">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（4）故障解决时间：发生故障后，在2小时内解决故障或恢复系统正常运行。</w:t>
      </w:r>
    </w:p>
    <w:p w14:paraId="0346194B">
      <w:pPr>
        <w:ind w:firstLine="480" w:firstLineChars="200"/>
        <w:rPr>
          <w:rFonts w:hint="eastAsia" w:ascii="宋体" w:hAnsi="宋体"/>
          <w:sz w:val="24"/>
        </w:rPr>
      </w:pPr>
      <w:r>
        <w:rPr>
          <w:rFonts w:hint="eastAsia" w:ascii="宋体" w:hAnsi="宋体"/>
          <w:sz w:val="24"/>
        </w:rPr>
        <w:t>6.服务响应标准</w:t>
      </w:r>
    </w:p>
    <w:p w14:paraId="3D47BD41">
      <w:pPr>
        <w:autoSpaceDE w:val="0"/>
        <w:autoSpaceDN w:val="0"/>
        <w:adjustRightInd w:val="0"/>
        <w:spacing w:line="360" w:lineRule="auto"/>
        <w:ind w:firstLine="480" w:firstLineChars="200"/>
        <w:jc w:val="left"/>
        <w:rPr>
          <w:rFonts w:hint="eastAsia" w:ascii="宋体" w:hAnsi="宋体" w:cs="仿宋"/>
          <w:b/>
          <w:sz w:val="24"/>
        </w:rPr>
      </w:pPr>
      <w:r>
        <w:rPr>
          <w:rFonts w:hint="eastAsia" w:ascii="宋体" w:hAnsi="宋体" w:cs="仿宋"/>
          <w:sz w:val="24"/>
        </w:rPr>
        <w:t>参照ISO20000 IT服务管理标准，提供以下服务标准，问题响应与恢复时间如下表：</w:t>
      </w:r>
    </w:p>
    <w:tbl>
      <w:tblPr>
        <w:tblStyle w:val="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4"/>
        <w:gridCol w:w="2418"/>
        <w:gridCol w:w="1294"/>
        <w:gridCol w:w="1727"/>
        <w:gridCol w:w="1709"/>
      </w:tblGrid>
      <w:tr w14:paraId="79BA7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06" w:type="pct"/>
            <w:noWrap w:val="0"/>
            <w:vAlign w:val="center"/>
          </w:tcPr>
          <w:p w14:paraId="00B947DE">
            <w:pPr>
              <w:autoSpaceDE w:val="0"/>
              <w:autoSpaceDN w:val="0"/>
              <w:adjustRightInd w:val="0"/>
              <w:spacing w:line="360" w:lineRule="auto"/>
              <w:jc w:val="center"/>
              <w:rPr>
                <w:rFonts w:hint="eastAsia" w:ascii="宋体" w:hAnsi="宋体" w:cs="仿宋"/>
                <w:b/>
                <w:sz w:val="24"/>
              </w:rPr>
            </w:pPr>
            <w:r>
              <w:rPr>
                <w:rFonts w:hint="eastAsia" w:ascii="宋体" w:hAnsi="宋体" w:cs="仿宋"/>
                <w:b/>
                <w:sz w:val="24"/>
              </w:rPr>
              <w:t>故障等级</w:t>
            </w:r>
          </w:p>
        </w:tc>
        <w:tc>
          <w:tcPr>
            <w:tcW w:w="1418" w:type="pct"/>
            <w:noWrap w:val="0"/>
            <w:vAlign w:val="center"/>
          </w:tcPr>
          <w:p w14:paraId="6637B930">
            <w:pPr>
              <w:autoSpaceDE w:val="0"/>
              <w:autoSpaceDN w:val="0"/>
              <w:adjustRightInd w:val="0"/>
              <w:spacing w:line="360" w:lineRule="auto"/>
              <w:ind w:firstLine="482" w:firstLineChars="200"/>
              <w:jc w:val="center"/>
              <w:rPr>
                <w:rFonts w:hint="eastAsia" w:ascii="宋体" w:hAnsi="宋体" w:cs="仿宋"/>
                <w:b/>
                <w:sz w:val="24"/>
              </w:rPr>
            </w:pPr>
            <w:r>
              <w:rPr>
                <w:rFonts w:hint="eastAsia" w:ascii="宋体" w:hAnsi="宋体" w:cs="仿宋"/>
                <w:b/>
                <w:sz w:val="24"/>
              </w:rPr>
              <w:t>故障说明</w:t>
            </w:r>
          </w:p>
        </w:tc>
        <w:tc>
          <w:tcPr>
            <w:tcW w:w="759" w:type="pct"/>
            <w:noWrap w:val="0"/>
            <w:vAlign w:val="center"/>
          </w:tcPr>
          <w:p w14:paraId="5DBCD9BB">
            <w:pPr>
              <w:autoSpaceDE w:val="0"/>
              <w:autoSpaceDN w:val="0"/>
              <w:adjustRightInd w:val="0"/>
              <w:spacing w:line="360" w:lineRule="auto"/>
              <w:jc w:val="center"/>
              <w:rPr>
                <w:rFonts w:hint="eastAsia" w:ascii="宋体" w:hAnsi="宋体" w:cs="仿宋"/>
                <w:b/>
                <w:sz w:val="24"/>
              </w:rPr>
            </w:pPr>
            <w:r>
              <w:rPr>
                <w:rFonts w:hint="eastAsia" w:ascii="宋体" w:hAnsi="宋体" w:cs="仿宋"/>
                <w:b/>
                <w:sz w:val="24"/>
              </w:rPr>
              <w:t>响应时间</w:t>
            </w:r>
          </w:p>
        </w:tc>
        <w:tc>
          <w:tcPr>
            <w:tcW w:w="1013" w:type="pct"/>
            <w:noWrap w:val="0"/>
            <w:vAlign w:val="center"/>
          </w:tcPr>
          <w:p w14:paraId="2131470E">
            <w:pPr>
              <w:autoSpaceDE w:val="0"/>
              <w:autoSpaceDN w:val="0"/>
              <w:adjustRightInd w:val="0"/>
              <w:spacing w:line="360" w:lineRule="auto"/>
              <w:jc w:val="center"/>
              <w:rPr>
                <w:rFonts w:hint="eastAsia" w:ascii="宋体" w:hAnsi="宋体" w:cs="仿宋"/>
                <w:b/>
                <w:sz w:val="24"/>
              </w:rPr>
            </w:pPr>
            <w:r>
              <w:rPr>
                <w:rFonts w:hint="eastAsia" w:ascii="宋体" w:hAnsi="宋体" w:cs="仿宋"/>
                <w:b/>
                <w:sz w:val="24"/>
              </w:rPr>
              <w:t>到达现场时间</w:t>
            </w:r>
          </w:p>
        </w:tc>
        <w:tc>
          <w:tcPr>
            <w:tcW w:w="1002" w:type="pct"/>
            <w:noWrap w:val="0"/>
            <w:vAlign w:val="center"/>
          </w:tcPr>
          <w:p w14:paraId="63345C85">
            <w:pPr>
              <w:autoSpaceDE w:val="0"/>
              <w:autoSpaceDN w:val="0"/>
              <w:adjustRightInd w:val="0"/>
              <w:spacing w:line="360" w:lineRule="auto"/>
              <w:jc w:val="center"/>
              <w:rPr>
                <w:rFonts w:hint="eastAsia" w:ascii="宋体" w:hAnsi="宋体" w:cs="仿宋"/>
                <w:b/>
                <w:sz w:val="24"/>
              </w:rPr>
            </w:pPr>
            <w:r>
              <w:rPr>
                <w:rFonts w:hint="eastAsia" w:ascii="宋体" w:hAnsi="宋体" w:cs="仿宋"/>
                <w:b/>
                <w:sz w:val="24"/>
              </w:rPr>
              <w:t>服务恢复时间</w:t>
            </w:r>
          </w:p>
        </w:tc>
      </w:tr>
      <w:tr w14:paraId="63018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06" w:type="pct"/>
            <w:noWrap w:val="0"/>
            <w:vAlign w:val="center"/>
          </w:tcPr>
          <w:p w14:paraId="447FC137">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一级事件</w:t>
            </w:r>
          </w:p>
        </w:tc>
        <w:tc>
          <w:tcPr>
            <w:tcW w:w="1418" w:type="pct"/>
            <w:noWrap w:val="0"/>
            <w:vAlign w:val="center"/>
          </w:tcPr>
          <w:p w14:paraId="41F6F859">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系统严重故障</w:t>
            </w:r>
          </w:p>
        </w:tc>
        <w:tc>
          <w:tcPr>
            <w:tcW w:w="759" w:type="pct"/>
            <w:noWrap w:val="0"/>
            <w:vAlign w:val="center"/>
          </w:tcPr>
          <w:p w14:paraId="45DF3B8D">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10分钟</w:t>
            </w:r>
          </w:p>
        </w:tc>
        <w:tc>
          <w:tcPr>
            <w:tcW w:w="1013" w:type="pct"/>
            <w:noWrap w:val="0"/>
            <w:vAlign w:val="center"/>
          </w:tcPr>
          <w:p w14:paraId="7E5AD5FE">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20分钟</w:t>
            </w:r>
          </w:p>
        </w:tc>
        <w:tc>
          <w:tcPr>
            <w:tcW w:w="1002" w:type="pct"/>
            <w:noWrap w:val="0"/>
            <w:vAlign w:val="center"/>
          </w:tcPr>
          <w:p w14:paraId="3096008B">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1小时</w:t>
            </w:r>
          </w:p>
        </w:tc>
      </w:tr>
      <w:tr w14:paraId="69513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pct"/>
            <w:noWrap w:val="0"/>
            <w:vAlign w:val="center"/>
          </w:tcPr>
          <w:p w14:paraId="0182A829">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二级事件</w:t>
            </w:r>
          </w:p>
        </w:tc>
        <w:tc>
          <w:tcPr>
            <w:tcW w:w="1418" w:type="pct"/>
            <w:noWrap w:val="0"/>
            <w:vAlign w:val="center"/>
          </w:tcPr>
          <w:p w14:paraId="76B1F2E8">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重要功能无法使用</w:t>
            </w:r>
          </w:p>
        </w:tc>
        <w:tc>
          <w:tcPr>
            <w:tcW w:w="759" w:type="pct"/>
            <w:noWrap w:val="0"/>
            <w:vAlign w:val="center"/>
          </w:tcPr>
          <w:p w14:paraId="76D1E6F1">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10分钟</w:t>
            </w:r>
          </w:p>
        </w:tc>
        <w:tc>
          <w:tcPr>
            <w:tcW w:w="1013" w:type="pct"/>
            <w:noWrap w:val="0"/>
            <w:vAlign w:val="center"/>
          </w:tcPr>
          <w:p w14:paraId="79360241">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20分钟</w:t>
            </w:r>
          </w:p>
        </w:tc>
        <w:tc>
          <w:tcPr>
            <w:tcW w:w="1002" w:type="pct"/>
            <w:noWrap w:val="0"/>
            <w:vAlign w:val="center"/>
          </w:tcPr>
          <w:p w14:paraId="3F443A55">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1小时</w:t>
            </w:r>
          </w:p>
        </w:tc>
      </w:tr>
      <w:tr w14:paraId="1738A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pct"/>
            <w:noWrap w:val="0"/>
            <w:vAlign w:val="center"/>
          </w:tcPr>
          <w:p w14:paraId="5EB90851">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三级事件</w:t>
            </w:r>
          </w:p>
        </w:tc>
        <w:tc>
          <w:tcPr>
            <w:tcW w:w="1418" w:type="pct"/>
            <w:noWrap w:val="0"/>
            <w:vAlign w:val="center"/>
          </w:tcPr>
          <w:p w14:paraId="65714D08">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非重要功能无法使用</w:t>
            </w:r>
          </w:p>
        </w:tc>
        <w:tc>
          <w:tcPr>
            <w:tcW w:w="759" w:type="pct"/>
            <w:noWrap w:val="0"/>
            <w:vAlign w:val="center"/>
          </w:tcPr>
          <w:p w14:paraId="3824F5FB">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10分钟</w:t>
            </w:r>
          </w:p>
        </w:tc>
        <w:tc>
          <w:tcPr>
            <w:tcW w:w="1013" w:type="pct"/>
            <w:noWrap w:val="0"/>
            <w:vAlign w:val="center"/>
          </w:tcPr>
          <w:p w14:paraId="7D7B8284">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20分钟</w:t>
            </w:r>
          </w:p>
        </w:tc>
        <w:tc>
          <w:tcPr>
            <w:tcW w:w="1002" w:type="pct"/>
            <w:noWrap w:val="0"/>
            <w:vAlign w:val="center"/>
          </w:tcPr>
          <w:p w14:paraId="638DFBCD">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2小时</w:t>
            </w:r>
          </w:p>
        </w:tc>
      </w:tr>
      <w:tr w14:paraId="038AA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pct"/>
            <w:noWrap w:val="0"/>
            <w:vAlign w:val="center"/>
          </w:tcPr>
          <w:p w14:paraId="32BCF2A1">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四级事件</w:t>
            </w:r>
          </w:p>
        </w:tc>
        <w:tc>
          <w:tcPr>
            <w:tcW w:w="1418" w:type="pct"/>
            <w:noWrap w:val="0"/>
            <w:vAlign w:val="center"/>
          </w:tcPr>
          <w:p w14:paraId="2ECC0F23">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客户端操作故障</w:t>
            </w:r>
          </w:p>
        </w:tc>
        <w:tc>
          <w:tcPr>
            <w:tcW w:w="759" w:type="pct"/>
            <w:noWrap w:val="0"/>
            <w:vAlign w:val="center"/>
          </w:tcPr>
          <w:p w14:paraId="6A150253">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30分钟</w:t>
            </w:r>
          </w:p>
        </w:tc>
        <w:tc>
          <w:tcPr>
            <w:tcW w:w="1013" w:type="pct"/>
            <w:noWrap w:val="0"/>
            <w:vAlign w:val="center"/>
          </w:tcPr>
          <w:p w14:paraId="1AF526CA">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30分钟</w:t>
            </w:r>
          </w:p>
        </w:tc>
        <w:tc>
          <w:tcPr>
            <w:tcW w:w="1002" w:type="pct"/>
            <w:noWrap w:val="0"/>
            <w:vAlign w:val="center"/>
          </w:tcPr>
          <w:p w14:paraId="2E22AE23">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2小时</w:t>
            </w:r>
          </w:p>
        </w:tc>
      </w:tr>
      <w:tr w14:paraId="52E76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pct"/>
            <w:noWrap w:val="0"/>
            <w:vAlign w:val="center"/>
          </w:tcPr>
          <w:p w14:paraId="4661F487">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五级事件</w:t>
            </w:r>
          </w:p>
        </w:tc>
        <w:tc>
          <w:tcPr>
            <w:tcW w:w="1418" w:type="pct"/>
            <w:noWrap w:val="0"/>
            <w:vAlign w:val="center"/>
          </w:tcPr>
          <w:p w14:paraId="4B249AC9">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新需求系统功能调整</w:t>
            </w:r>
          </w:p>
        </w:tc>
        <w:tc>
          <w:tcPr>
            <w:tcW w:w="759" w:type="pct"/>
            <w:noWrap w:val="0"/>
            <w:vAlign w:val="center"/>
          </w:tcPr>
          <w:p w14:paraId="18D6C6DE">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60分钟</w:t>
            </w:r>
          </w:p>
        </w:tc>
        <w:tc>
          <w:tcPr>
            <w:tcW w:w="1013" w:type="pct"/>
            <w:noWrap w:val="0"/>
            <w:vAlign w:val="center"/>
          </w:tcPr>
          <w:p w14:paraId="59794AA7">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1小时</w:t>
            </w:r>
          </w:p>
        </w:tc>
        <w:tc>
          <w:tcPr>
            <w:tcW w:w="1002" w:type="pct"/>
            <w:noWrap w:val="0"/>
            <w:vAlign w:val="center"/>
          </w:tcPr>
          <w:p w14:paraId="5CA6688D">
            <w:pPr>
              <w:autoSpaceDE w:val="0"/>
              <w:autoSpaceDN w:val="0"/>
              <w:adjustRightInd w:val="0"/>
              <w:spacing w:line="360" w:lineRule="auto"/>
              <w:jc w:val="center"/>
              <w:rPr>
                <w:rFonts w:hint="eastAsia" w:ascii="宋体" w:hAnsi="宋体" w:cs="仿宋"/>
                <w:sz w:val="24"/>
              </w:rPr>
            </w:pPr>
            <w:r>
              <w:rPr>
                <w:rFonts w:hint="eastAsia" w:ascii="宋体" w:hAnsi="宋体" w:cs="仿宋"/>
                <w:sz w:val="24"/>
              </w:rPr>
              <w:t>视需求定</w:t>
            </w:r>
          </w:p>
        </w:tc>
      </w:tr>
    </w:tbl>
    <w:p w14:paraId="2F4B2ECC">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故障等级说明：</w:t>
      </w:r>
    </w:p>
    <w:p w14:paraId="7D2F4C32">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一级事件：系统严重故障，指应用服务或数据库故障，导致系统无法打开，日常办公无法开展；</w:t>
      </w:r>
    </w:p>
    <w:p w14:paraId="33F607CC">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二级事件：重要功能无法使用，指信息门户、公文流转、信息查阅等核心功能出现故障，导致日常办公无法开展；</w:t>
      </w:r>
    </w:p>
    <w:p w14:paraId="7C4D466E">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三级事件：非重要功能无法使用，指个人办公应用，个人日程、邮件收取、短信收发等功能出现故障，导致个人办公无法开展；</w:t>
      </w:r>
    </w:p>
    <w:p w14:paraId="3CCF4AF9">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四级事件：客户端操作故障，指用户在操作过程中操作失误或客户端应用环境问题出现故障，导致个人办公无法开展；</w:t>
      </w:r>
    </w:p>
    <w:p w14:paraId="3F485DE4">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五级事件：系统功能调整，指在原有功能的基础上提出新的应用要求，包含但不限于：信息门户调整、工作流程调整及新增等。</w:t>
      </w:r>
    </w:p>
    <w:p w14:paraId="43E51F17">
      <w:pPr>
        <w:rPr>
          <w:rFonts w:hint="eastAsia" w:ascii="宋体" w:hAnsi="宋体"/>
          <w:sz w:val="24"/>
        </w:rPr>
      </w:pPr>
      <w:r>
        <w:rPr>
          <w:rFonts w:hint="eastAsia" w:ascii="宋体" w:hAnsi="宋体"/>
          <w:sz w:val="24"/>
        </w:rPr>
        <w:t>7.维护与技术要求</w:t>
      </w:r>
    </w:p>
    <w:p w14:paraId="4CE1BBF2">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1. 供应商应根据甲方的需求，对系统提供全面、有效、及时的技术支持和售后服务方案，详细说明技术服务的范围和程序。供应商在西安必须有固定办公场所。</w:t>
      </w:r>
    </w:p>
    <w:p w14:paraId="57E5D21D">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2. 供应商应的服务方案中在运行期间，应指定有经验的技术人员在现场负责系统的运行和维护，若系统出现问题或故障，应积极进行故障和问题处理。</w:t>
      </w:r>
    </w:p>
    <w:p w14:paraId="0A6713E6">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3. 在维护期期内，所有报修服务方式均为供应商上门保修即由供应商派员到甲方使用现场维修。由此产生的一切费用均由供应商承担。</w:t>
      </w:r>
    </w:p>
    <w:p w14:paraId="50BE2328">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4. 在质量保证期内，供应商应提供全天候24小时服务响应并针对本系统提出详尽的可执行的应急预案。系统发生故障时，供应商必须在两小时内做出响应；如果故障在三小时内无法排除，供应商应立即提出第二解决方案，在一个工作日内保证系统恢复正常运行。由此产生的一切费用均由供应商承担。</w:t>
      </w:r>
    </w:p>
    <w:p w14:paraId="02F8B729">
      <w:pPr>
        <w:rPr>
          <w:rFonts w:hint="eastAsia" w:ascii="宋体" w:hAnsi="宋体"/>
          <w:sz w:val="24"/>
        </w:rPr>
      </w:pPr>
      <w:r>
        <w:rPr>
          <w:rFonts w:hint="eastAsia" w:ascii="宋体" w:hAnsi="宋体"/>
          <w:sz w:val="24"/>
        </w:rPr>
        <w:t>5. 供应商应提供应急人员和技术支持人员的名单和联系方式。</w:t>
      </w:r>
    </w:p>
    <w:p w14:paraId="7B40EE72">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6. 在整个系统安装和调测期间，甲方有权利派出技术人员参与整个过程，供应商有义务对其进行指导，并充分进行知识转移。</w:t>
      </w:r>
    </w:p>
    <w:p w14:paraId="391C7ED1">
      <w:pPr>
        <w:autoSpaceDE w:val="0"/>
        <w:autoSpaceDN w:val="0"/>
        <w:adjustRightInd w:val="0"/>
        <w:spacing w:line="360" w:lineRule="auto"/>
        <w:ind w:firstLine="480" w:firstLineChars="200"/>
        <w:jc w:val="left"/>
        <w:rPr>
          <w:rFonts w:hint="eastAsia" w:ascii="宋体" w:hAnsi="宋体" w:cs="仿宋"/>
          <w:sz w:val="24"/>
        </w:rPr>
      </w:pPr>
      <w:r>
        <w:rPr>
          <w:rFonts w:hint="eastAsia" w:ascii="宋体" w:hAnsi="宋体" w:cs="仿宋"/>
          <w:sz w:val="24"/>
        </w:rPr>
        <w:t>7. 若关于系统的要求和需求发生非实质性需求变更时，在维护期结束之前供应商应对系统进行相应的修改</w:t>
      </w:r>
    </w:p>
    <w:p w14:paraId="5DB0736F">
      <w:pPr>
        <w:ind w:firstLine="480" w:firstLineChars="200"/>
        <w:rPr>
          <w:rFonts w:hint="eastAsia" w:ascii="宋体" w:hAnsi="宋体"/>
          <w:sz w:val="24"/>
        </w:rPr>
      </w:pPr>
      <w:r>
        <w:rPr>
          <w:rFonts w:hint="eastAsia" w:ascii="宋体" w:hAnsi="宋体"/>
          <w:sz w:val="24"/>
        </w:rPr>
        <w:t>8. 供应商必须提出维护期内的维修、维护内容和范围</w:t>
      </w:r>
    </w:p>
    <w:p w14:paraId="66CF8B12">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8A51A8"/>
    <w:rsid w:val="168A51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color w:val="99330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2026-10-12T04:21:00Z</dcterms:created>
  <dc:creator>833</dc:creator>
  <cp:lastModifiedBy>833</cp:lastModifiedBy>
  <dcterms:modified xsi:type="dcterms:W3CDTF">2026-10-12T04:21:44Z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1BA23445936D432690410597E7BBB341_11</vt:lpwstr>
  </property>
  <property fmtid="{D5CDD505-2E9C-101B-9397-08002B2CF9AE}" pid="4" name="KSOTemplateDocerSaveRecord">
    <vt:lpwstr>eyJoZGlkIjoiNTI1OGU5NzEwNjlmOTA0NzYwMTIyZGJlNThjMzMxOGYiLCJ1c2VySWQiOiI0NTE5NDQwNTQifQ==</vt:lpwstr>
  </property>
</Properties>
</file>