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CBB03">
      <w:pPr>
        <w:adjustRightInd w:val="0"/>
        <w:snapToGrid w:val="0"/>
        <w:spacing w:line="360" w:lineRule="auto"/>
        <w:jc w:val="right"/>
        <w:rPr>
          <w:rFonts w:ascii="宋体" w:cs="Times New Roman"/>
          <w:b/>
          <w:bCs/>
          <w:color w:val="auto"/>
          <w:sz w:val="30"/>
          <w:szCs w:val="30"/>
        </w:rPr>
      </w:pPr>
      <w:bookmarkStart w:id="203" w:name="_GoBack"/>
      <w:bookmarkEnd w:id="203"/>
      <w:bookmarkStart w:id="0" w:name="OLE_LINK9"/>
      <w:r>
        <w:rPr>
          <w:rFonts w:hint="eastAsia" w:ascii="宋体" w:hAnsi="宋体" w:cs="宋体"/>
          <w:b/>
          <w:bCs/>
          <w:color w:val="auto"/>
          <w:sz w:val="30"/>
          <w:szCs w:val="30"/>
        </w:rPr>
        <w:t>政府采购项目</w:t>
      </w:r>
    </w:p>
    <w:p w14:paraId="6A4CAE50">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2"/>
          <w:szCs w:val="32"/>
          <w:lang w:eastAsia="zh-CN"/>
        </w:rPr>
        <w:t>项目编号：AKSH2026-ZCS-083</w:t>
      </w:r>
      <w:r>
        <w:rPr>
          <w:rFonts w:hint="eastAsia" w:ascii="宋体" w:cs="Times New Roman"/>
          <w:b/>
          <w:bCs/>
          <w:color w:val="auto"/>
          <w:sz w:val="44"/>
          <w:szCs w:val="44"/>
        </w:rPr>
        <w:tab/>
      </w:r>
    </w:p>
    <w:p w14:paraId="6F47915C">
      <w:pPr>
        <w:pStyle w:val="11"/>
        <w:rPr>
          <w:color w:val="auto"/>
        </w:rPr>
      </w:pPr>
    </w:p>
    <w:p w14:paraId="37A32AF2">
      <w:pPr>
        <w:pStyle w:val="11"/>
        <w:rPr>
          <w:color w:val="auto"/>
        </w:rPr>
      </w:pPr>
    </w:p>
    <w:p w14:paraId="79903E40">
      <w:pPr>
        <w:pStyle w:val="20"/>
        <w:keepNext w:val="0"/>
        <w:keepLines w:val="0"/>
        <w:pageBreakBefore w:val="0"/>
        <w:widowControl w:val="0"/>
        <w:kinsoku/>
        <w:wordWrap/>
        <w:overflowPunct/>
        <w:topLinePunct w:val="0"/>
        <w:autoSpaceDE/>
        <w:autoSpaceDN/>
        <w:bidi w:val="0"/>
        <w:adjustRightInd/>
        <w:snapToGrid w:val="0"/>
        <w:spacing w:before="268" w:beforeLines="80" w:line="700" w:lineRule="exact"/>
        <w:jc w:val="center"/>
        <w:textAlignment w:val="auto"/>
        <w:rPr>
          <w:rFonts w:hint="default" w:ascii="宋体" w:hAnsi="宋体" w:eastAsia="宋体" w:cs="宋体"/>
          <w:b/>
          <w:bCs/>
          <w:color w:val="auto"/>
          <w:kern w:val="2"/>
          <w:sz w:val="56"/>
          <w:szCs w:val="56"/>
          <w:lang w:val="en-US" w:eastAsia="zh-CN" w:bidi="ar-SA"/>
        </w:rPr>
      </w:pPr>
      <w:r>
        <w:rPr>
          <w:rFonts w:hint="eastAsia" w:ascii="宋体" w:hAnsi="宋体" w:cs="宋体"/>
          <w:b/>
          <w:bCs/>
          <w:color w:val="auto"/>
          <w:kern w:val="2"/>
          <w:sz w:val="56"/>
          <w:szCs w:val="56"/>
          <w:lang w:val="en-US" w:eastAsia="zh-CN" w:bidi="ar-SA"/>
        </w:rPr>
        <w:t>安康职业技术学院附属小学教学楼及科技楼梯间文化建设项目</w:t>
      </w:r>
    </w:p>
    <w:p w14:paraId="3DEBAA8A">
      <w:pPr>
        <w:pStyle w:val="20"/>
        <w:jc w:val="center"/>
        <w:rPr>
          <w:rFonts w:hint="default"/>
          <w:color w:val="auto"/>
          <w:lang w:val="en-US"/>
        </w:rPr>
      </w:pPr>
    </w:p>
    <w:p w14:paraId="0F5EC295">
      <w:pPr>
        <w:pStyle w:val="20"/>
        <w:rPr>
          <w:color w:val="auto"/>
        </w:rPr>
      </w:pPr>
    </w:p>
    <w:p w14:paraId="28137793">
      <w:pPr>
        <w:pStyle w:val="20"/>
        <w:rPr>
          <w:color w:val="auto"/>
        </w:rPr>
      </w:pPr>
    </w:p>
    <w:p w14:paraId="4634BCB9">
      <w:pPr>
        <w:pStyle w:val="20"/>
        <w:rPr>
          <w:color w:val="auto"/>
        </w:rPr>
      </w:pPr>
    </w:p>
    <w:p w14:paraId="73B1E329">
      <w:pPr>
        <w:pStyle w:val="20"/>
        <w:rPr>
          <w:color w:val="auto"/>
        </w:rPr>
      </w:pPr>
    </w:p>
    <w:p w14:paraId="1B5769BB">
      <w:pPr>
        <w:pStyle w:val="20"/>
        <w:rPr>
          <w:color w:val="auto"/>
        </w:rPr>
      </w:pPr>
    </w:p>
    <w:p w14:paraId="7CD931C9">
      <w:pPr>
        <w:pStyle w:val="20"/>
        <w:rPr>
          <w:color w:val="auto"/>
        </w:rPr>
      </w:pPr>
    </w:p>
    <w:p w14:paraId="4AB04932">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59264" behindDoc="0" locked="0" layoutInCell="1" allowOverlap="1">
            <wp:simplePos x="0" y="0"/>
            <wp:positionH relativeFrom="column">
              <wp:posOffset>2165350</wp:posOffset>
            </wp:positionH>
            <wp:positionV relativeFrom="paragraph">
              <wp:posOffset>181610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599474" cy="1157901"/>
                    </a:xfrm>
                    <a:prstGeom prst="rect">
                      <a:avLst/>
                    </a:prstGeom>
                  </pic:spPr>
                </pic:pic>
              </a:graphicData>
            </a:graphic>
          </wp:anchor>
        </w:drawing>
      </w:r>
      <w:r>
        <w:rPr>
          <w:rFonts w:hint="eastAsia" w:ascii="宋体" w:cs="Times New Roman"/>
          <w:b/>
          <w:bCs/>
          <w:color w:val="auto"/>
          <w:sz w:val="52"/>
          <w:szCs w:val="52"/>
        </w:rPr>
        <w:t xml:space="preserve"> </w:t>
      </w:r>
    </w:p>
    <w:p w14:paraId="7BA40A56">
      <w:pPr>
        <w:adjustRightInd w:val="0"/>
        <w:snapToGrid w:val="0"/>
        <w:spacing w:line="360" w:lineRule="auto"/>
        <w:jc w:val="left"/>
        <w:rPr>
          <w:rFonts w:hint="eastAsia" w:ascii="宋体" w:cs="Times New Roman"/>
          <w:b/>
          <w:bCs/>
          <w:color w:val="auto"/>
          <w:sz w:val="52"/>
          <w:szCs w:val="52"/>
        </w:rPr>
      </w:pPr>
      <w:r>
        <w:rPr>
          <w:rFonts w:hint="eastAsia" w:ascii="宋体" w:cs="Times New Roman"/>
          <w:b/>
          <w:bCs/>
          <w:color w:val="auto"/>
          <w:sz w:val="52"/>
          <w:szCs w:val="52"/>
        </w:rPr>
        <w:t xml:space="preserve">          </w:t>
      </w:r>
    </w:p>
    <w:p w14:paraId="0A9798BC">
      <w:pPr>
        <w:pStyle w:val="11"/>
        <w:rPr>
          <w:color w:val="auto"/>
        </w:rPr>
      </w:pPr>
    </w:p>
    <w:p w14:paraId="62BE3946">
      <w:pPr>
        <w:tabs>
          <w:tab w:val="left" w:pos="0"/>
        </w:tabs>
        <w:adjustRightInd w:val="0"/>
        <w:snapToGrid w:val="0"/>
        <w:spacing w:line="360" w:lineRule="auto"/>
        <w:ind w:firstLine="2811" w:firstLineChars="500"/>
        <w:rPr>
          <w:rFonts w:hint="eastAsia" w:ascii="宋体" w:hAnsi="宋体" w:cs="宋体"/>
          <w:b/>
          <w:bCs/>
          <w:color w:val="auto"/>
          <w:sz w:val="56"/>
          <w:szCs w:val="56"/>
        </w:rPr>
      </w:pPr>
    </w:p>
    <w:p w14:paraId="5ABB4DDD">
      <w:pPr>
        <w:tabs>
          <w:tab w:val="left" w:pos="0"/>
        </w:tabs>
        <w:adjustRightInd w:val="0"/>
        <w:snapToGrid w:val="0"/>
        <w:spacing w:line="360" w:lineRule="auto"/>
        <w:ind w:firstLine="2811" w:firstLineChars="500"/>
        <w:rPr>
          <w:rFonts w:ascii="宋体" w:hAnsi="宋体" w:cs="宋体"/>
          <w:b/>
          <w:bCs/>
          <w:color w:val="auto"/>
          <w:sz w:val="56"/>
          <w:szCs w:val="56"/>
        </w:rPr>
      </w:pPr>
      <w:r>
        <w:rPr>
          <w:rFonts w:hint="eastAsia" w:ascii="宋体" w:hAnsi="宋体" w:cs="宋体"/>
          <w:b/>
          <w:bCs/>
          <w:color w:val="auto"/>
          <w:sz w:val="56"/>
          <w:szCs w:val="56"/>
        </w:rPr>
        <w:t>竞争性磋商文件</w:t>
      </w:r>
    </w:p>
    <w:p w14:paraId="06ACC4DA">
      <w:pPr>
        <w:pStyle w:val="20"/>
        <w:rPr>
          <w:color w:val="auto"/>
        </w:rPr>
      </w:pPr>
    </w:p>
    <w:p w14:paraId="06EA8B86">
      <w:pPr>
        <w:pStyle w:val="20"/>
        <w:rPr>
          <w:color w:val="auto"/>
        </w:rPr>
      </w:pPr>
    </w:p>
    <w:p w14:paraId="44F4A091">
      <w:pPr>
        <w:pStyle w:val="20"/>
        <w:rPr>
          <w:color w:val="auto"/>
        </w:rPr>
      </w:pPr>
    </w:p>
    <w:p w14:paraId="78C9CDD7">
      <w:pPr>
        <w:pStyle w:val="20"/>
        <w:rPr>
          <w:color w:val="auto"/>
        </w:rPr>
      </w:pPr>
    </w:p>
    <w:p w14:paraId="5F27DA37">
      <w:pPr>
        <w:pStyle w:val="20"/>
        <w:tabs>
          <w:tab w:val="left" w:pos="6465"/>
          <w:tab w:val="clear" w:pos="4153"/>
        </w:tabs>
        <w:rPr>
          <w:rFonts w:hint="eastAsia" w:eastAsia="宋体"/>
          <w:color w:val="auto"/>
          <w:lang w:eastAsia="zh-CN"/>
        </w:rPr>
      </w:pPr>
      <w:r>
        <w:rPr>
          <w:rFonts w:hint="eastAsia"/>
          <w:color w:val="auto"/>
          <w:lang w:eastAsia="zh-CN"/>
        </w:rPr>
        <w:tab/>
      </w:r>
    </w:p>
    <w:p w14:paraId="31948178">
      <w:pPr>
        <w:pStyle w:val="20"/>
        <w:rPr>
          <w:color w:val="auto"/>
        </w:rPr>
      </w:pPr>
    </w:p>
    <w:p w14:paraId="0A9D1EC7">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hint="eastAsia"/>
          <w:color w:val="auto"/>
          <w:sz w:val="22"/>
          <w:szCs w:val="22"/>
        </w:rPr>
      </w:pPr>
      <w:r>
        <w:rPr>
          <w:rFonts w:hint="eastAsia" w:ascii="宋体" w:hAnsi="宋体" w:cs="宋体"/>
          <w:b/>
          <w:bCs/>
          <w:color w:val="auto"/>
          <w:sz w:val="32"/>
          <w:szCs w:val="32"/>
        </w:rPr>
        <w:t>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人：</w:t>
      </w:r>
      <w:r>
        <w:rPr>
          <w:rFonts w:hint="eastAsia" w:ascii="宋体" w:hAnsi="宋体" w:cs="宋体"/>
          <w:b/>
          <w:bCs/>
          <w:color w:val="auto"/>
          <w:sz w:val="32"/>
          <w:szCs w:val="32"/>
          <w:lang w:val="en-US" w:eastAsia="zh-CN"/>
        </w:rPr>
        <w:t>安康职业技术学院附属小学</w:t>
      </w:r>
    </w:p>
    <w:p w14:paraId="6618C29D">
      <w:pPr>
        <w:keepNext w:val="0"/>
        <w:keepLines w:val="0"/>
        <w:pageBreakBefore w:val="0"/>
        <w:widowControl w:val="0"/>
        <w:kinsoku/>
        <w:wordWrap/>
        <w:overflowPunct/>
        <w:topLinePunct w:val="0"/>
        <w:autoSpaceDE/>
        <w:autoSpaceDN/>
        <w:bidi w:val="0"/>
        <w:adjustRightInd w:val="0"/>
        <w:snapToGrid w:val="0"/>
        <w:spacing w:line="720" w:lineRule="auto"/>
        <w:ind w:firstLine="1928" w:firstLineChars="600"/>
        <w:jc w:val="left"/>
        <w:textAlignment w:val="auto"/>
        <w:rPr>
          <w:rFonts w:ascii="宋体" w:hAnsi="宋体" w:cs="宋体"/>
          <w:b/>
          <w:bCs/>
          <w:color w:val="auto"/>
          <w:sz w:val="32"/>
          <w:szCs w:val="32"/>
        </w:rPr>
      </w:pPr>
      <w:r>
        <w:rPr>
          <w:rFonts w:hint="eastAsia" w:ascii="宋体" w:hAnsi="宋体" w:cs="宋体"/>
          <w:b/>
          <w:bCs/>
          <w:color w:val="auto"/>
          <w:sz w:val="32"/>
          <w:szCs w:val="32"/>
        </w:rPr>
        <w:t>代理机构：安康尚昊招标代理有限公司</w:t>
      </w:r>
    </w:p>
    <w:p w14:paraId="5ECF79F1">
      <w:pPr>
        <w:keepNext w:val="0"/>
        <w:keepLines w:val="0"/>
        <w:pageBreakBefore w:val="0"/>
        <w:widowControl w:val="0"/>
        <w:kinsoku/>
        <w:wordWrap/>
        <w:overflowPunct/>
        <w:topLinePunct w:val="0"/>
        <w:autoSpaceDE/>
        <w:autoSpaceDN/>
        <w:bidi w:val="0"/>
        <w:adjustRightInd w:val="0"/>
        <w:snapToGrid w:val="0"/>
        <w:spacing w:line="480" w:lineRule="auto"/>
        <w:ind w:firstLine="1928" w:firstLineChars="600"/>
        <w:jc w:val="left"/>
        <w:textAlignment w:val="auto"/>
        <w:rPr>
          <w:rFonts w:hint="eastAsia" w:ascii="宋体" w:eastAsia="宋体" w:cs="Times New Roman"/>
          <w:b/>
          <w:bCs/>
          <w:color w:val="auto"/>
          <w:sz w:val="30"/>
          <w:szCs w:val="30"/>
          <w:lang w:eastAsia="zh-CN"/>
        </w:rPr>
        <w:sectPr>
          <w:headerReference r:id="rId4" w:type="first"/>
          <w:headerReference r:id="rId3" w:type="default"/>
          <w:footerReference r:id="rId5" w:type="default"/>
          <w:pgSz w:w="11906" w:h="16838"/>
          <w:pgMar w:top="1417" w:right="1417" w:bottom="1417" w:left="1417" w:header="850" w:footer="992" w:gutter="0"/>
          <w:cols w:space="0" w:num="1"/>
          <w:titlePg/>
          <w:rtlGutter w:val="0"/>
          <w:docGrid w:type="lines" w:linePitch="333" w:charSpace="0"/>
        </w:sectPr>
      </w:pPr>
      <w:r>
        <w:rPr>
          <w:rFonts w:hint="eastAsia" w:ascii="宋体" w:hAnsi="宋体" w:cs="宋体"/>
          <w:b/>
          <w:bCs/>
          <w:color w:val="auto"/>
          <w:sz w:val="32"/>
          <w:szCs w:val="32"/>
          <w:lang w:val="en-US" w:eastAsia="zh-CN"/>
        </w:rPr>
        <w:t>时    间：</w:t>
      </w:r>
      <w:r>
        <w:rPr>
          <w:rFonts w:hint="eastAsia" w:ascii="宋体" w:hAnsi="宋体" w:cs="宋体"/>
          <w:b/>
          <w:bCs/>
          <w:color w:val="auto"/>
          <w:sz w:val="32"/>
          <w:szCs w:val="32"/>
          <w:lang w:eastAsia="zh-CN"/>
        </w:rPr>
        <w:t>二〇二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lang w:eastAsia="zh-CN"/>
        </w:rPr>
        <w:t>年</w:t>
      </w:r>
      <w:r>
        <w:rPr>
          <w:rFonts w:hint="eastAsia" w:ascii="宋体" w:hAnsi="宋体" w:cs="宋体"/>
          <w:b/>
          <w:bCs/>
          <w:color w:val="auto"/>
          <w:sz w:val="32"/>
          <w:szCs w:val="32"/>
          <w:lang w:val="en-US" w:eastAsia="zh-CN"/>
        </w:rPr>
        <w:t>七</w:t>
      </w:r>
      <w:r>
        <w:rPr>
          <w:rFonts w:hint="eastAsia" w:ascii="宋体" w:hAnsi="宋体" w:cs="宋体"/>
          <w:b/>
          <w:bCs/>
          <w:color w:val="auto"/>
          <w:sz w:val="32"/>
          <w:szCs w:val="32"/>
          <w:lang w:eastAsia="zh-CN"/>
        </w:rPr>
        <w:t>月</w:t>
      </w:r>
    </w:p>
    <w:p w14:paraId="3068AD59">
      <w:pPr>
        <w:pStyle w:val="22"/>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5CF517A5">
      <w:pPr>
        <w:pStyle w:val="22"/>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268" w:beforeLines="80" w:after="0" w:line="480" w:lineRule="exact"/>
        <w:jc w:val="center"/>
        <w:textAlignment w:val="auto"/>
        <w:rPr>
          <w:rFonts w:ascii="宋体" w:hAnsi="宋体" w:cs="宋体"/>
          <w:b w:val="0"/>
          <w:bCs w:val="0"/>
          <w:color w:val="auto"/>
          <w:sz w:val="48"/>
          <w:szCs w:val="52"/>
        </w:rPr>
      </w:pPr>
      <w:r>
        <w:rPr>
          <w:rFonts w:hint="eastAsia" w:ascii="宋体" w:hAnsi="宋体" w:cs="宋体"/>
          <w:b/>
          <w:bCs/>
          <w:color w:val="auto"/>
          <w:sz w:val="56"/>
          <w:szCs w:val="60"/>
        </w:rPr>
        <w:t xml:space="preserve">目 </w:t>
      </w:r>
      <w:r>
        <w:rPr>
          <w:rFonts w:ascii="宋体" w:hAnsi="宋体" w:cs="宋体"/>
          <w:b/>
          <w:bCs/>
          <w:color w:val="auto"/>
          <w:sz w:val="56"/>
          <w:szCs w:val="60"/>
        </w:rPr>
        <w:t xml:space="preserve"> </w:t>
      </w:r>
      <w:r>
        <w:rPr>
          <w:rFonts w:hint="eastAsia" w:ascii="宋体" w:hAnsi="宋体" w:cs="宋体"/>
          <w:b/>
          <w:bCs/>
          <w:color w:val="auto"/>
          <w:sz w:val="56"/>
          <w:szCs w:val="60"/>
        </w:rPr>
        <w:t>录</w:t>
      </w:r>
    </w:p>
    <w:p w14:paraId="304F0F7F">
      <w:pPr>
        <w:rPr>
          <w:color w:val="auto"/>
          <w:sz w:val="18"/>
          <w:szCs w:val="18"/>
        </w:rPr>
      </w:pPr>
    </w:p>
    <w:p w14:paraId="670182CC">
      <w:pPr>
        <w:pStyle w:val="22"/>
        <w:tabs>
          <w:tab w:val="right" w:leader="dot" w:pos="9072"/>
        </w:tabs>
        <w:rPr>
          <w:b w:val="0"/>
          <w:bCs w:val="0"/>
          <w:sz w:val="28"/>
          <w:szCs w:val="28"/>
        </w:rPr>
      </w:pPr>
      <w:bookmarkStart w:id="1" w:name="_Toc536202376"/>
      <w:bookmarkStart w:id="2" w:name="_Toc536429369"/>
      <w:bookmarkStart w:id="3" w:name="_Toc19543333"/>
      <w:bookmarkStart w:id="4" w:name="_Toc536202282"/>
      <w:bookmarkStart w:id="5" w:name="OLE_LINK3"/>
      <w:bookmarkStart w:id="6" w:name="_Toc30089"/>
      <w:bookmarkStart w:id="7" w:name="_Toc438048787"/>
      <w:r>
        <w:rPr>
          <w:rFonts w:hint="eastAsia" w:ascii="宋体" w:hAnsi="宋体" w:eastAsia="宋体" w:cs="宋体"/>
          <w:caps w:val="0"/>
          <w:color w:val="auto"/>
          <w:sz w:val="24"/>
          <w:szCs w:val="24"/>
        </w:rPr>
        <w:fldChar w:fldCharType="begin"/>
      </w:r>
      <w:r>
        <w:rPr>
          <w:rFonts w:hint="eastAsia" w:ascii="宋体" w:hAnsi="宋体" w:eastAsia="宋体" w:cs="宋体"/>
          <w:caps w:val="0"/>
          <w:color w:val="auto"/>
          <w:sz w:val="24"/>
          <w:szCs w:val="24"/>
        </w:rPr>
        <w:instrText xml:space="preserve"> TOC \o "1-1" \h \z \u </w:instrText>
      </w:r>
      <w:r>
        <w:rPr>
          <w:rFonts w:hint="eastAsia" w:ascii="宋体" w:hAnsi="宋体" w:eastAsia="宋体" w:cs="宋体"/>
          <w:caps w:val="0"/>
          <w:color w:val="auto"/>
          <w:sz w:val="24"/>
          <w:szCs w:val="24"/>
        </w:rPr>
        <w:fldChar w:fldCharType="separate"/>
      </w:r>
      <w:r>
        <w:rPr>
          <w:rFonts w:hint="eastAsia" w:ascii="宋体" w:hAnsi="宋体" w:eastAsia="宋体" w:cs="宋体"/>
          <w:b w:val="0"/>
          <w:bCs w:val="0"/>
          <w:caps w:val="0"/>
          <w:color w:val="auto"/>
          <w:sz w:val="28"/>
          <w:szCs w:val="40"/>
        </w:rPr>
        <w:fldChar w:fldCharType="begin"/>
      </w:r>
      <w:r>
        <w:rPr>
          <w:rFonts w:hint="eastAsia" w:ascii="宋体" w:hAnsi="宋体" w:eastAsia="宋体" w:cs="宋体"/>
          <w:b w:val="0"/>
          <w:bCs w:val="0"/>
          <w:caps w:val="0"/>
          <w:sz w:val="28"/>
          <w:szCs w:val="40"/>
        </w:rPr>
        <w:instrText xml:space="preserve"> HYPERLINK \l _Toc30779 </w:instrText>
      </w:r>
      <w:r>
        <w:rPr>
          <w:rFonts w:hint="eastAsia" w:ascii="宋体" w:hAnsi="宋体" w:eastAsia="宋体" w:cs="宋体"/>
          <w:b w:val="0"/>
          <w:bCs w:val="0"/>
          <w:caps w:val="0"/>
          <w:sz w:val="28"/>
          <w:szCs w:val="40"/>
        </w:rPr>
        <w:fldChar w:fldCharType="separate"/>
      </w:r>
      <w:r>
        <w:rPr>
          <w:rFonts w:hint="eastAsia"/>
          <w:b w:val="0"/>
          <w:bCs w:val="0"/>
          <w:sz w:val="28"/>
          <w:szCs w:val="28"/>
        </w:rPr>
        <w:t>第一部分  竞争性</w:t>
      </w:r>
      <w:r>
        <w:rPr>
          <w:b w:val="0"/>
          <w:bCs w:val="0"/>
          <w:sz w:val="28"/>
          <w:szCs w:val="28"/>
        </w:rPr>
        <w:t>磋商公告</w:t>
      </w:r>
      <w:r>
        <w:rPr>
          <w:b w:val="0"/>
          <w:bCs w:val="0"/>
          <w:sz w:val="28"/>
          <w:szCs w:val="28"/>
        </w:rPr>
        <w:tab/>
      </w:r>
      <w:r>
        <w:rPr>
          <w:b w:val="0"/>
          <w:bCs w:val="0"/>
          <w:sz w:val="28"/>
          <w:szCs w:val="28"/>
        </w:rPr>
        <w:fldChar w:fldCharType="begin"/>
      </w:r>
      <w:r>
        <w:rPr>
          <w:b w:val="0"/>
          <w:bCs w:val="0"/>
          <w:sz w:val="28"/>
          <w:szCs w:val="28"/>
        </w:rPr>
        <w:instrText xml:space="preserve"> PAGEREF _Toc30779 \h </w:instrText>
      </w:r>
      <w:r>
        <w:rPr>
          <w:b w:val="0"/>
          <w:bCs w:val="0"/>
          <w:sz w:val="28"/>
          <w:szCs w:val="28"/>
        </w:rPr>
        <w:fldChar w:fldCharType="separate"/>
      </w:r>
      <w:r>
        <w:rPr>
          <w:b w:val="0"/>
          <w:bCs w:val="0"/>
          <w:sz w:val="28"/>
          <w:szCs w:val="28"/>
        </w:rPr>
        <w:t>1</w:t>
      </w:r>
      <w:r>
        <w:rPr>
          <w:b w:val="0"/>
          <w:bCs w:val="0"/>
          <w:sz w:val="28"/>
          <w:szCs w:val="28"/>
        </w:rPr>
        <w:fldChar w:fldCharType="end"/>
      </w:r>
      <w:r>
        <w:rPr>
          <w:rFonts w:hint="eastAsia" w:ascii="宋体" w:hAnsi="宋体" w:eastAsia="宋体" w:cs="宋体"/>
          <w:b w:val="0"/>
          <w:bCs w:val="0"/>
          <w:caps w:val="0"/>
          <w:color w:val="auto"/>
          <w:sz w:val="28"/>
          <w:szCs w:val="40"/>
        </w:rPr>
        <w:fldChar w:fldCharType="end"/>
      </w:r>
    </w:p>
    <w:p w14:paraId="5991D93E">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_Toc20348 </w:instrText>
      </w:r>
      <w:r>
        <w:rPr>
          <w:rFonts w:hint="eastAsia" w:ascii="宋体" w:hAnsi="宋体" w:eastAsia="宋体" w:cs="宋体"/>
          <w:b w:val="0"/>
          <w:bCs w:val="0"/>
          <w:caps/>
          <w:kern w:val="2"/>
          <w:sz w:val="28"/>
          <w:szCs w:val="40"/>
        </w:rPr>
        <w:fldChar w:fldCharType="separate"/>
      </w:r>
      <w:r>
        <w:rPr>
          <w:rFonts w:hint="eastAsia"/>
          <w:b w:val="0"/>
          <w:bCs w:val="0"/>
          <w:sz w:val="28"/>
          <w:szCs w:val="28"/>
        </w:rPr>
        <w:t>第二部分</w:t>
      </w:r>
      <w:r>
        <w:rPr>
          <w:b w:val="0"/>
          <w:bCs w:val="0"/>
          <w:sz w:val="28"/>
          <w:szCs w:val="28"/>
        </w:rPr>
        <w:t xml:space="preserve">  </w:t>
      </w:r>
      <w:r>
        <w:rPr>
          <w:rFonts w:hint="eastAsia"/>
          <w:b w:val="0"/>
          <w:bCs w:val="0"/>
          <w:sz w:val="28"/>
          <w:szCs w:val="28"/>
        </w:rPr>
        <w:t>供应商须知前附表</w:t>
      </w:r>
      <w:r>
        <w:rPr>
          <w:b w:val="0"/>
          <w:bCs w:val="0"/>
          <w:sz w:val="28"/>
          <w:szCs w:val="28"/>
        </w:rPr>
        <w:tab/>
      </w:r>
      <w:r>
        <w:rPr>
          <w:b w:val="0"/>
          <w:bCs w:val="0"/>
          <w:sz w:val="28"/>
          <w:szCs w:val="28"/>
        </w:rPr>
        <w:fldChar w:fldCharType="begin"/>
      </w:r>
      <w:r>
        <w:rPr>
          <w:b w:val="0"/>
          <w:bCs w:val="0"/>
          <w:sz w:val="28"/>
          <w:szCs w:val="28"/>
        </w:rPr>
        <w:instrText xml:space="preserve"> PAGEREF _Toc20348 \h </w:instrText>
      </w:r>
      <w:r>
        <w:rPr>
          <w:b w:val="0"/>
          <w:bCs w:val="0"/>
          <w:sz w:val="28"/>
          <w:szCs w:val="28"/>
        </w:rPr>
        <w:fldChar w:fldCharType="separate"/>
      </w:r>
      <w:r>
        <w:rPr>
          <w:b w:val="0"/>
          <w:bCs w:val="0"/>
          <w:sz w:val="28"/>
          <w:szCs w:val="28"/>
        </w:rPr>
        <w:t>5</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4A5FBA01">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_Toc14296 </w:instrText>
      </w:r>
      <w:r>
        <w:rPr>
          <w:rFonts w:hint="eastAsia" w:ascii="宋体" w:hAnsi="宋体" w:eastAsia="宋体" w:cs="宋体"/>
          <w:b w:val="0"/>
          <w:bCs w:val="0"/>
          <w:caps/>
          <w:kern w:val="2"/>
          <w:sz w:val="28"/>
          <w:szCs w:val="40"/>
        </w:rPr>
        <w:fldChar w:fldCharType="separate"/>
      </w:r>
      <w:r>
        <w:rPr>
          <w:rFonts w:hint="eastAsia" w:ascii="宋体" w:hAnsi="宋体" w:cs="宋体"/>
          <w:b w:val="0"/>
          <w:bCs w:val="0"/>
          <w:sz w:val="28"/>
          <w:szCs w:val="28"/>
        </w:rPr>
        <w:t xml:space="preserve">第三部分 </w:t>
      </w:r>
      <w:r>
        <w:rPr>
          <w:rFonts w:ascii="宋体" w:hAnsi="宋体" w:cs="宋体"/>
          <w:b w:val="0"/>
          <w:bCs w:val="0"/>
          <w:sz w:val="28"/>
          <w:szCs w:val="28"/>
        </w:rPr>
        <w:t xml:space="preserve"> </w:t>
      </w:r>
      <w:r>
        <w:rPr>
          <w:rFonts w:hint="eastAsia" w:ascii="宋体" w:hAnsi="宋体" w:cs="宋体"/>
          <w:b w:val="0"/>
          <w:bCs w:val="0"/>
          <w:sz w:val="28"/>
          <w:szCs w:val="28"/>
        </w:rPr>
        <w:t>供应商须知</w:t>
      </w:r>
      <w:r>
        <w:rPr>
          <w:b w:val="0"/>
          <w:bCs w:val="0"/>
          <w:sz w:val="28"/>
          <w:szCs w:val="28"/>
        </w:rPr>
        <w:tab/>
      </w:r>
      <w:r>
        <w:rPr>
          <w:b w:val="0"/>
          <w:bCs w:val="0"/>
          <w:sz w:val="28"/>
          <w:szCs w:val="28"/>
        </w:rPr>
        <w:fldChar w:fldCharType="begin"/>
      </w:r>
      <w:r>
        <w:rPr>
          <w:b w:val="0"/>
          <w:bCs w:val="0"/>
          <w:sz w:val="28"/>
          <w:szCs w:val="28"/>
        </w:rPr>
        <w:instrText xml:space="preserve"> PAGEREF _Toc14296 \h </w:instrText>
      </w:r>
      <w:r>
        <w:rPr>
          <w:b w:val="0"/>
          <w:bCs w:val="0"/>
          <w:sz w:val="28"/>
          <w:szCs w:val="28"/>
        </w:rPr>
        <w:fldChar w:fldCharType="separate"/>
      </w:r>
      <w:r>
        <w:rPr>
          <w:b w:val="0"/>
          <w:bCs w:val="0"/>
          <w:sz w:val="28"/>
          <w:szCs w:val="28"/>
        </w:rPr>
        <w:t>9</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2AE90278">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_Toc8026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第四部分  </w:t>
      </w:r>
      <w:r>
        <w:rPr>
          <w:rFonts w:hint="eastAsia"/>
          <w:b w:val="0"/>
          <w:bCs w:val="0"/>
          <w:sz w:val="28"/>
          <w:szCs w:val="28"/>
        </w:rPr>
        <w:t>评分</w:t>
      </w:r>
      <w:r>
        <w:rPr>
          <w:b w:val="0"/>
          <w:bCs w:val="0"/>
          <w:sz w:val="28"/>
          <w:szCs w:val="28"/>
        </w:rPr>
        <w:t>标准</w:t>
      </w:r>
      <w:r>
        <w:rPr>
          <w:b w:val="0"/>
          <w:bCs w:val="0"/>
          <w:sz w:val="28"/>
          <w:szCs w:val="28"/>
        </w:rPr>
        <w:tab/>
      </w:r>
      <w:r>
        <w:rPr>
          <w:b w:val="0"/>
          <w:bCs w:val="0"/>
          <w:sz w:val="28"/>
          <w:szCs w:val="28"/>
        </w:rPr>
        <w:fldChar w:fldCharType="begin"/>
      </w:r>
      <w:r>
        <w:rPr>
          <w:b w:val="0"/>
          <w:bCs w:val="0"/>
          <w:sz w:val="28"/>
          <w:szCs w:val="28"/>
        </w:rPr>
        <w:instrText xml:space="preserve"> PAGEREF _Toc8026 \h </w:instrText>
      </w:r>
      <w:r>
        <w:rPr>
          <w:b w:val="0"/>
          <w:bCs w:val="0"/>
          <w:sz w:val="28"/>
          <w:szCs w:val="28"/>
        </w:rPr>
        <w:fldChar w:fldCharType="separate"/>
      </w:r>
      <w:r>
        <w:rPr>
          <w:b w:val="0"/>
          <w:bCs w:val="0"/>
          <w:sz w:val="28"/>
          <w:szCs w:val="28"/>
        </w:rPr>
        <w:t>28</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20B036E0">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_Toc1603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第五部分  </w:t>
      </w:r>
      <w:r>
        <w:rPr>
          <w:rFonts w:hint="eastAsia" w:eastAsia="宋体"/>
          <w:b w:val="0"/>
          <w:bCs w:val="0"/>
          <w:sz w:val="28"/>
          <w:szCs w:val="28"/>
        </w:rPr>
        <w:t>采购内容及</w:t>
      </w:r>
      <w:r>
        <w:rPr>
          <w:rFonts w:hint="eastAsia" w:eastAsia="宋体"/>
          <w:b w:val="0"/>
          <w:bCs w:val="0"/>
          <w:sz w:val="28"/>
          <w:szCs w:val="28"/>
          <w:lang w:eastAsia="zh-CN"/>
        </w:rPr>
        <w:t>要求</w:t>
      </w:r>
      <w:r>
        <w:rPr>
          <w:b w:val="0"/>
          <w:bCs w:val="0"/>
          <w:sz w:val="28"/>
          <w:szCs w:val="28"/>
        </w:rPr>
        <w:tab/>
      </w:r>
      <w:r>
        <w:rPr>
          <w:b w:val="0"/>
          <w:bCs w:val="0"/>
          <w:sz w:val="28"/>
          <w:szCs w:val="28"/>
        </w:rPr>
        <w:fldChar w:fldCharType="begin"/>
      </w:r>
      <w:r>
        <w:rPr>
          <w:b w:val="0"/>
          <w:bCs w:val="0"/>
          <w:sz w:val="28"/>
          <w:szCs w:val="28"/>
        </w:rPr>
        <w:instrText xml:space="preserve"> PAGEREF _Toc1603 \h </w:instrText>
      </w:r>
      <w:r>
        <w:rPr>
          <w:b w:val="0"/>
          <w:bCs w:val="0"/>
          <w:sz w:val="28"/>
          <w:szCs w:val="28"/>
        </w:rPr>
        <w:fldChar w:fldCharType="separate"/>
      </w:r>
      <w:r>
        <w:rPr>
          <w:b w:val="0"/>
          <w:bCs w:val="0"/>
          <w:sz w:val="28"/>
          <w:szCs w:val="28"/>
        </w:rPr>
        <w:t>33</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774AD026">
      <w:pPr>
        <w:pStyle w:val="22"/>
        <w:tabs>
          <w:tab w:val="right" w:leader="dot" w:pos="9072"/>
        </w:tabs>
        <w:rPr>
          <w:b w:val="0"/>
          <w:bCs w:val="0"/>
          <w:sz w:val="28"/>
          <w:szCs w:val="28"/>
        </w:rPr>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_Toc7576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第六部分 </w:t>
      </w:r>
      <w:r>
        <w:rPr>
          <w:rFonts w:hint="eastAsia" w:eastAsia="宋体"/>
          <w:b w:val="0"/>
          <w:bCs w:val="0"/>
          <w:sz w:val="28"/>
          <w:szCs w:val="28"/>
        </w:rPr>
        <w:t xml:space="preserve"> 合同主要条款</w:t>
      </w:r>
      <w:r>
        <w:rPr>
          <w:b w:val="0"/>
          <w:bCs w:val="0"/>
          <w:sz w:val="28"/>
          <w:szCs w:val="28"/>
        </w:rPr>
        <w:tab/>
      </w:r>
      <w:r>
        <w:rPr>
          <w:b w:val="0"/>
          <w:bCs w:val="0"/>
          <w:sz w:val="28"/>
          <w:szCs w:val="28"/>
        </w:rPr>
        <w:fldChar w:fldCharType="begin"/>
      </w:r>
      <w:r>
        <w:rPr>
          <w:b w:val="0"/>
          <w:bCs w:val="0"/>
          <w:sz w:val="28"/>
          <w:szCs w:val="28"/>
        </w:rPr>
        <w:instrText xml:space="preserve"> PAGEREF _Toc7576 \h </w:instrText>
      </w:r>
      <w:r>
        <w:rPr>
          <w:b w:val="0"/>
          <w:bCs w:val="0"/>
          <w:sz w:val="28"/>
          <w:szCs w:val="28"/>
        </w:rPr>
        <w:fldChar w:fldCharType="separate"/>
      </w:r>
      <w:r>
        <w:rPr>
          <w:b w:val="0"/>
          <w:bCs w:val="0"/>
          <w:sz w:val="28"/>
          <w:szCs w:val="28"/>
        </w:rPr>
        <w:t>79</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34B0063B">
      <w:pPr>
        <w:pStyle w:val="22"/>
        <w:tabs>
          <w:tab w:val="right" w:leader="dot" w:pos="9072"/>
        </w:tabs>
      </w:pPr>
      <w:r>
        <w:rPr>
          <w:rFonts w:hint="eastAsia" w:ascii="宋体" w:hAnsi="宋体" w:eastAsia="宋体" w:cs="宋体"/>
          <w:b w:val="0"/>
          <w:bCs w:val="0"/>
          <w:caps/>
          <w:color w:val="auto"/>
          <w:kern w:val="2"/>
          <w:sz w:val="28"/>
          <w:szCs w:val="40"/>
        </w:rPr>
        <w:fldChar w:fldCharType="begin"/>
      </w:r>
      <w:r>
        <w:rPr>
          <w:rFonts w:hint="eastAsia" w:ascii="宋体" w:hAnsi="宋体" w:eastAsia="宋体" w:cs="宋体"/>
          <w:b w:val="0"/>
          <w:bCs w:val="0"/>
          <w:caps/>
          <w:kern w:val="2"/>
          <w:sz w:val="28"/>
          <w:szCs w:val="40"/>
        </w:rPr>
        <w:instrText xml:space="preserve"> HYPERLINK \l _Toc22897 </w:instrText>
      </w:r>
      <w:r>
        <w:rPr>
          <w:rFonts w:hint="eastAsia" w:ascii="宋体" w:hAnsi="宋体" w:eastAsia="宋体" w:cs="宋体"/>
          <w:b w:val="0"/>
          <w:bCs w:val="0"/>
          <w:caps/>
          <w:kern w:val="2"/>
          <w:sz w:val="28"/>
          <w:szCs w:val="40"/>
        </w:rPr>
        <w:fldChar w:fldCharType="separate"/>
      </w:r>
      <w:r>
        <w:rPr>
          <w:rFonts w:hint="eastAsia"/>
          <w:b w:val="0"/>
          <w:bCs w:val="0"/>
          <w:sz w:val="28"/>
          <w:szCs w:val="28"/>
          <w:lang w:val="en-US" w:eastAsia="zh-CN"/>
        </w:rPr>
        <w:t xml:space="preserve">第七部分 </w:t>
      </w:r>
      <w:r>
        <w:rPr>
          <w:rFonts w:hint="eastAsia" w:eastAsia="宋体"/>
          <w:b w:val="0"/>
          <w:bCs w:val="0"/>
          <w:sz w:val="28"/>
          <w:szCs w:val="28"/>
        </w:rPr>
        <w:t xml:space="preserve"> 响应文件格式</w:t>
      </w:r>
      <w:r>
        <w:rPr>
          <w:b w:val="0"/>
          <w:bCs w:val="0"/>
          <w:sz w:val="28"/>
          <w:szCs w:val="28"/>
        </w:rPr>
        <w:tab/>
      </w:r>
      <w:r>
        <w:rPr>
          <w:b w:val="0"/>
          <w:bCs w:val="0"/>
          <w:sz w:val="28"/>
          <w:szCs w:val="28"/>
        </w:rPr>
        <w:fldChar w:fldCharType="begin"/>
      </w:r>
      <w:r>
        <w:rPr>
          <w:b w:val="0"/>
          <w:bCs w:val="0"/>
          <w:sz w:val="28"/>
          <w:szCs w:val="28"/>
        </w:rPr>
        <w:instrText xml:space="preserve"> PAGEREF _Toc22897 \h </w:instrText>
      </w:r>
      <w:r>
        <w:rPr>
          <w:b w:val="0"/>
          <w:bCs w:val="0"/>
          <w:sz w:val="28"/>
          <w:szCs w:val="28"/>
        </w:rPr>
        <w:fldChar w:fldCharType="separate"/>
      </w:r>
      <w:r>
        <w:rPr>
          <w:b w:val="0"/>
          <w:bCs w:val="0"/>
          <w:sz w:val="28"/>
          <w:szCs w:val="28"/>
        </w:rPr>
        <w:t>89</w:t>
      </w:r>
      <w:r>
        <w:rPr>
          <w:b w:val="0"/>
          <w:bCs w:val="0"/>
          <w:sz w:val="28"/>
          <w:szCs w:val="28"/>
        </w:rPr>
        <w:fldChar w:fldCharType="end"/>
      </w:r>
      <w:r>
        <w:rPr>
          <w:rFonts w:hint="eastAsia" w:ascii="宋体" w:hAnsi="宋体" w:eastAsia="宋体" w:cs="宋体"/>
          <w:b w:val="0"/>
          <w:bCs w:val="0"/>
          <w:caps/>
          <w:color w:val="auto"/>
          <w:kern w:val="2"/>
          <w:sz w:val="28"/>
          <w:szCs w:val="40"/>
        </w:rPr>
        <w:fldChar w:fldCharType="end"/>
      </w:r>
    </w:p>
    <w:p w14:paraId="3C198959">
      <w:pPr>
        <w:pStyle w:val="2"/>
        <w:pageBreakBefore w:val="0"/>
        <w:widowControl w:val="0"/>
        <w:tabs>
          <w:tab w:val="left" w:pos="206"/>
        </w:tabs>
        <w:kinsoku/>
        <w:wordWrap/>
        <w:overflowPunct/>
        <w:topLinePunct w:val="0"/>
        <w:autoSpaceDE/>
        <w:autoSpaceDN/>
        <w:bidi w:val="0"/>
        <w:adjustRightInd/>
        <w:snapToGrid/>
        <w:spacing w:line="360" w:lineRule="auto"/>
        <w:jc w:val="left"/>
        <w:textAlignment w:val="auto"/>
        <w:rPr>
          <w:rFonts w:hint="eastAsia" w:ascii="宋体" w:hAnsi="宋体" w:eastAsia="宋体" w:cs="宋体"/>
          <w:caps/>
          <w:color w:val="auto"/>
          <w:kern w:val="2"/>
          <w:sz w:val="24"/>
          <w:szCs w:val="24"/>
        </w:rPr>
      </w:pPr>
      <w:r>
        <w:rPr>
          <w:rFonts w:hint="eastAsia" w:ascii="宋体" w:hAnsi="宋体" w:eastAsia="宋体" w:cs="宋体"/>
          <w:caps/>
          <w:color w:val="auto"/>
          <w:kern w:val="2"/>
          <w:szCs w:val="24"/>
        </w:rPr>
        <w:fldChar w:fldCharType="end"/>
      </w:r>
    </w:p>
    <w:p w14:paraId="01DA3D37">
      <w:pPr>
        <w:bidi w:val="0"/>
      </w:pPr>
    </w:p>
    <w:p w14:paraId="2954CFA0">
      <w:pPr>
        <w:tabs>
          <w:tab w:val="left" w:pos="5228"/>
        </w:tabs>
        <w:bidi w:val="0"/>
        <w:jc w:val="left"/>
        <w:rPr>
          <w:rFonts w:hint="eastAsia" w:eastAsia="宋体"/>
          <w:lang w:eastAsia="zh-CN"/>
        </w:rPr>
        <w:sectPr>
          <w:headerReference r:id="rId7" w:type="first"/>
          <w:footerReference r:id="rId9" w:type="first"/>
          <w:headerReference r:id="rId6" w:type="default"/>
          <w:footerReference r:id="rId8" w:type="default"/>
          <w:pgSz w:w="11906" w:h="16838"/>
          <w:pgMar w:top="1417" w:right="1417" w:bottom="1417" w:left="1417" w:header="1134" w:footer="992" w:gutter="0"/>
          <w:pgNumType w:fmt="decimal" w:start="1"/>
          <w:cols w:space="0" w:num="1"/>
          <w:titlePg/>
          <w:rtlGutter w:val="0"/>
          <w:docGrid w:type="lines" w:linePitch="333" w:charSpace="0"/>
        </w:sectPr>
      </w:pPr>
      <w:r>
        <w:rPr>
          <w:rFonts w:hint="eastAsia"/>
          <w:lang w:eastAsia="zh-CN"/>
        </w:rPr>
        <w:tab/>
      </w:r>
    </w:p>
    <w:p w14:paraId="3455E34C">
      <w:pPr>
        <w:pStyle w:val="2"/>
        <w:pageBreakBefore w:val="0"/>
        <w:widowControl w:val="0"/>
        <w:tabs>
          <w:tab w:val="left" w:pos="206"/>
        </w:tabs>
        <w:kinsoku/>
        <w:wordWrap/>
        <w:overflowPunct/>
        <w:topLinePunct w:val="0"/>
        <w:autoSpaceDE/>
        <w:autoSpaceDN/>
        <w:bidi w:val="0"/>
        <w:adjustRightInd/>
        <w:snapToGrid/>
        <w:spacing w:line="360" w:lineRule="auto"/>
        <w:jc w:val="center"/>
        <w:textAlignment w:val="auto"/>
        <w:rPr>
          <w:color w:val="auto"/>
        </w:rPr>
      </w:pPr>
      <w:bookmarkStart w:id="8" w:name="_Toc30779"/>
      <w:r>
        <w:rPr>
          <w:rFonts w:hint="eastAsia"/>
          <w:color w:val="auto"/>
        </w:rPr>
        <w:t xml:space="preserve">第一部分  </w:t>
      </w:r>
      <w:bookmarkStart w:id="9" w:name="OLE_LINK4"/>
      <w:bookmarkStart w:id="10" w:name="OLE_LINK1"/>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36429317"/>
      <w:bookmarkStart w:id="12" w:name="_Toc536202377"/>
      <w:bookmarkStart w:id="13" w:name="_Toc536202283"/>
      <w:bookmarkStart w:id="14" w:name="_Toc5018"/>
      <w:bookmarkStart w:id="15" w:name="_Toc536429370"/>
      <w:r>
        <w:rPr>
          <w:rStyle w:val="38"/>
          <w:rFonts w:hint="eastAsia" w:ascii="宋体" w:hAnsi="宋体" w:eastAsia="宋体" w:cs="宋体"/>
          <w:b/>
          <w:bCs/>
          <w:i w:val="0"/>
          <w:iCs w:val="0"/>
          <w:caps w:val="0"/>
          <w:color w:val="auto"/>
          <w:spacing w:val="0"/>
          <w:sz w:val="24"/>
          <w:szCs w:val="24"/>
          <w:shd w:val="clear" w:fill="FFFFFF"/>
        </w:rPr>
        <w:t>项目概况</w:t>
      </w:r>
    </w:p>
    <w:p w14:paraId="2DEC2EC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安康职业技术学院附属小学教学楼及科技楼梯间文化建设项目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color w:val="auto"/>
          <w:kern w:val="0"/>
          <w:sz w:val="24"/>
          <w:szCs w:val="24"/>
          <w:lang w:val="en-US" w:eastAsia="zh-CN" w:bidi="ar-SA"/>
        </w:rPr>
        <w:t>月</w:t>
      </w:r>
      <w:r>
        <w:rPr>
          <w:rFonts w:hint="eastAsia" w:ascii="宋体" w:hAnsi="宋体" w:eastAsia="宋体" w:cs="宋体"/>
          <w:i w:val="0"/>
          <w:iCs w:val="0"/>
          <w:caps w:val="0"/>
          <w:color w:val="auto"/>
          <w:spacing w:val="0"/>
          <w:sz w:val="24"/>
          <w:szCs w:val="24"/>
          <w:shd w:val="clear" w:fill="FFFFFF"/>
          <w:lang w:val="en-US" w:eastAsia="zh-CN"/>
        </w:rPr>
        <w:t>24</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3C835A6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AKSH2026-ZCS-083</w:t>
      </w:r>
    </w:p>
    <w:p w14:paraId="017A09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安康职业技术学院附属小学教学楼及科技楼梯间文化建设项目</w:t>
      </w:r>
    </w:p>
    <w:p w14:paraId="54EF656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443000.00</w:t>
      </w:r>
      <w:r>
        <w:rPr>
          <w:rFonts w:hint="eastAsia" w:ascii="宋体" w:hAnsi="宋体" w:eastAsia="宋体" w:cs="宋体"/>
          <w:i w:val="0"/>
          <w:iCs w:val="0"/>
          <w:caps w:val="0"/>
          <w:color w:val="auto"/>
          <w:spacing w:val="0"/>
          <w:sz w:val="24"/>
          <w:szCs w:val="24"/>
          <w:shd w:val="clear" w:fill="FFFFFF"/>
        </w:rPr>
        <w:t>元</w:t>
      </w:r>
    </w:p>
    <w:p w14:paraId="27C43D9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安康职业技术学院附属小学教学楼及科技楼梯间文化建设项目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443000.00</w:t>
      </w:r>
      <w:r>
        <w:rPr>
          <w:rFonts w:hint="eastAsia" w:ascii="宋体" w:hAnsi="宋体" w:eastAsia="宋体" w:cs="宋体"/>
          <w:i w:val="0"/>
          <w:iCs w:val="0"/>
          <w:caps w:val="0"/>
          <w:color w:val="auto"/>
          <w:spacing w:val="0"/>
          <w:sz w:val="24"/>
          <w:szCs w:val="24"/>
          <w:shd w:val="clear" w:fill="FFFFFF"/>
        </w:rPr>
        <w:t>元</w:t>
      </w:r>
    </w:p>
    <w:p w14:paraId="5DB2643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yellow"/>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val="en-US" w:eastAsia="zh-CN"/>
        </w:rPr>
        <w:t>443000.00</w:t>
      </w:r>
      <w:r>
        <w:rPr>
          <w:rFonts w:hint="eastAsia" w:ascii="宋体" w:hAnsi="宋体" w:eastAsia="宋体" w:cs="宋体"/>
          <w:i w:val="0"/>
          <w:iCs w:val="0"/>
          <w:caps w:val="0"/>
          <w:color w:val="auto"/>
          <w:spacing w:val="0"/>
          <w:sz w:val="24"/>
          <w:szCs w:val="24"/>
          <w:highlight w:val="none"/>
          <w:shd w:val="clear" w:fill="FFFFFF"/>
        </w:rPr>
        <w:t>元</w:t>
      </w:r>
    </w:p>
    <w:tbl>
      <w:tblPr>
        <w:tblStyle w:val="3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7"/>
        <w:gridCol w:w="1868"/>
        <w:gridCol w:w="2905"/>
        <w:gridCol w:w="773"/>
        <w:gridCol w:w="1620"/>
        <w:gridCol w:w="1373"/>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其他</w:t>
            </w:r>
            <w:r>
              <w:rPr>
                <w:rFonts w:hint="eastAsia" w:ascii="宋体" w:hAnsi="宋体" w:cs="宋体"/>
                <w:color w:val="auto"/>
                <w:kern w:val="0"/>
                <w:sz w:val="24"/>
                <w:szCs w:val="24"/>
                <w:lang w:val="en-US" w:eastAsia="zh-CN" w:bidi="ar"/>
              </w:rPr>
              <w:t>建筑工程</w:t>
            </w:r>
          </w:p>
        </w:tc>
        <w:tc>
          <w:tcPr>
            <w:tcW w:w="1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cs="宋体"/>
                <w:i w:val="0"/>
                <w:iCs w:val="0"/>
                <w:caps w:val="0"/>
                <w:color w:val="auto"/>
                <w:spacing w:val="0"/>
                <w:sz w:val="24"/>
                <w:szCs w:val="24"/>
                <w:shd w:val="clear" w:fill="FFFFFF"/>
                <w:lang w:eastAsia="zh-CN"/>
              </w:rPr>
              <w:t>安康职业技术学院附属小学教学楼及科技楼梯间文化建设项目</w:t>
            </w:r>
          </w:p>
        </w:tc>
        <w:tc>
          <w:tcPr>
            <w:tcW w:w="4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8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51B8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73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443000.00</w:t>
            </w:r>
          </w:p>
        </w:tc>
      </w:tr>
    </w:tbl>
    <w:p w14:paraId="3AF48CF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自合同签订生效之日起30日历天</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58D6ACE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安康职业技术学院附属小学教学楼及科技楼梯间文化建设项目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安康职业技术学院附属小学教学楼及科技楼梯间文化建设项目</w:t>
      </w:r>
      <w:r>
        <w:rPr>
          <w:rFonts w:hint="eastAsia" w:ascii="宋体" w:hAnsi="宋体" w:eastAsia="宋体" w:cs="宋体"/>
          <w:i w:val="0"/>
          <w:iCs w:val="0"/>
          <w:caps w:val="0"/>
          <w:color w:val="auto"/>
          <w:spacing w:val="0"/>
          <w:sz w:val="24"/>
          <w:szCs w:val="24"/>
          <w:shd w:val="clear" w:fill="FFFFFF"/>
        </w:rPr>
        <w:t>)特定资格要求如下</w:t>
      </w:r>
      <w:r>
        <w:rPr>
          <w:rFonts w:hint="eastAsia" w:cs="宋体"/>
          <w:i w:val="0"/>
          <w:iCs w:val="0"/>
          <w:caps w:val="0"/>
          <w:color w:val="auto"/>
          <w:spacing w:val="0"/>
          <w:sz w:val="24"/>
          <w:szCs w:val="24"/>
          <w:shd w:val="clear" w:fill="FFFFFF"/>
          <w:lang w:eastAsia="zh-CN"/>
        </w:rPr>
        <w:t>：</w:t>
      </w:r>
    </w:p>
    <w:p w14:paraId="2E82DB5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579B39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6270FB1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91BFED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4719D6D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具备建设行政主管部门核发的建筑工程施工总承包三级及以上资质或建筑装修装饰工程专业承包二级及以上资质，具有有效的安全生产许可证，并在人员、设备、资金等方面具备相应的施工能力。</w:t>
      </w:r>
    </w:p>
    <w:p w14:paraId="42CBAAE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FF0000"/>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20AA6BD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3C6851A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（1</w:t>
      </w:r>
      <w:r>
        <w:rPr>
          <w:rFonts w:hint="eastAsia"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38481D2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日至202</w:t>
      </w:r>
      <w:r>
        <w:rPr>
          <w:rFonts w:hint="eastAsia" w:cs="宋体"/>
          <w:i w:val="0"/>
          <w:iCs w:val="0"/>
          <w:caps w:val="0"/>
          <w:color w:val="auto"/>
          <w:spacing w:val="0"/>
          <w:sz w:val="24"/>
          <w:szCs w:val="24"/>
          <w:shd w:val="clear" w:fill="FFFFFF"/>
          <w:lang w:val="en-US" w:eastAsia="zh-CN"/>
        </w:rPr>
        <w:t>6年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cs="宋体"/>
          <w:i w:val="0"/>
          <w:iCs w:val="0"/>
          <w:caps w:val="0"/>
          <w:color w:val="auto"/>
          <w:spacing w:val="0"/>
          <w:sz w:val="24"/>
          <w:szCs w:val="24"/>
          <w:shd w:val="clear" w:fill="FFFFFF"/>
          <w:lang w:val="en-US" w:eastAsia="zh-CN"/>
        </w:rPr>
        <w:t>300</w:t>
      </w:r>
      <w:r>
        <w:rPr>
          <w:rFonts w:hint="eastAsia" w:ascii="宋体" w:hAnsi="宋体" w:eastAsia="宋体" w:cs="宋体"/>
          <w:i w:val="0"/>
          <w:iCs w:val="0"/>
          <w:caps w:val="0"/>
          <w:color w:val="auto"/>
          <w:spacing w:val="0"/>
          <w:sz w:val="24"/>
          <w:szCs w:val="24"/>
          <w:shd w:val="clear" w:fill="FFFFFF"/>
        </w:rPr>
        <w:t>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7562574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24</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7EC8120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46FA966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s="宋体"/>
          <w:i w:val="0"/>
          <w:iCs w:val="0"/>
          <w:caps w:val="0"/>
          <w:color w:val="auto"/>
          <w:spacing w:val="0"/>
          <w:sz w:val="24"/>
          <w:szCs w:val="24"/>
          <w:shd w:val="clear" w:fill="FFFFFF"/>
          <w:lang w:val="en-US" w:eastAsia="zh-CN"/>
        </w:rPr>
        <w:t>2026</w:t>
      </w:r>
      <w:r>
        <w:rPr>
          <w:rFonts w:hint="eastAsia" w:ascii="宋体" w:hAnsi="宋体" w:eastAsia="宋体" w:cs="宋体"/>
          <w:i w:val="0"/>
          <w:iCs w:val="0"/>
          <w:caps w:val="0"/>
          <w:color w:val="auto"/>
          <w:spacing w:val="0"/>
          <w:sz w:val="24"/>
          <w:szCs w:val="24"/>
          <w:shd w:val="clear" w:fill="FFFFFF"/>
        </w:rPr>
        <w:t>年</w:t>
      </w:r>
      <w:r>
        <w:rPr>
          <w:rFonts w:hint="eastAsia"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cs="宋体"/>
          <w:i w:val="0"/>
          <w:iCs w:val="0"/>
          <w:caps w:val="0"/>
          <w:color w:val="auto"/>
          <w:spacing w:val="0"/>
          <w:sz w:val="24"/>
          <w:szCs w:val="24"/>
          <w:shd w:val="clear" w:fill="FFFFFF"/>
          <w:lang w:val="en-US" w:eastAsia="zh-CN"/>
        </w:rPr>
        <w:t>24</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w:t>
      </w:r>
      <w:r>
        <w:rPr>
          <w:rFonts w:hint="eastAsia"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分（北京时间）</w:t>
      </w:r>
    </w:p>
    <w:p w14:paraId="6D39338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1FCF01E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2834D71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招标代理有限公司(安康市高新区高新观澜8栋2单元801室，邮箱：</w:t>
      </w:r>
      <w:r>
        <w:rPr>
          <w:rFonts w:hint="eastAsia" w:ascii="宋体" w:hAnsi="宋体" w:cs="宋体"/>
          <w:b w:val="0"/>
          <w:bCs w:val="0"/>
          <w:color w:val="auto"/>
          <w:sz w:val="24"/>
          <w:szCs w:val="24"/>
          <w:lang w:val="en-US" w:eastAsia="zh-CN"/>
        </w:rPr>
        <w:t>365060958</w:t>
      </w:r>
      <w:r>
        <w:rPr>
          <w:rFonts w:hint="eastAsia" w:ascii="宋体" w:hAnsi="宋体" w:eastAsia="宋体" w:cs="宋体"/>
          <w:b w:val="0"/>
          <w:bCs w:val="0"/>
          <w:color w:val="auto"/>
          <w:sz w:val="24"/>
          <w:szCs w:val="24"/>
          <w:lang w:val="en-US" w:eastAsia="zh-CN"/>
        </w:rPr>
        <w:t>@qq.com)。</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val="en-US" w:eastAsia="zh-CN"/>
        </w:rPr>
        <w:t>安康职业技术学院附属小学</w:t>
      </w:r>
    </w:p>
    <w:p w14:paraId="2B020AE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地址：安康市汉滨区安康大道东段南侧</w:t>
      </w:r>
    </w:p>
    <w:p w14:paraId="09840E5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联系方式：17309150608</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4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29C94020">
      <w:pPr>
        <w:pageBreakBefore w:val="0"/>
        <w:kinsoku/>
        <w:wordWrap/>
        <w:overflowPunct/>
        <w:topLinePunct w:val="0"/>
        <w:autoSpaceDE/>
        <w:autoSpaceDN/>
        <w:bidi w:val="0"/>
        <w:adjustRightInd/>
        <w:spacing w:line="360" w:lineRule="auto"/>
        <w:ind w:left="0" w:leftChars="0" w:right="0" w:rightChars="0" w:firstLine="480" w:firstLineChars="20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7</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13</w:t>
      </w:r>
      <w:r>
        <w:rPr>
          <w:rFonts w:hint="eastAsia" w:ascii="宋体" w:hAnsi="宋体" w:eastAsia="宋体" w:cs="宋体"/>
          <w:color w:val="auto"/>
          <w:kern w:val="0"/>
          <w:sz w:val="24"/>
          <w:szCs w:val="24"/>
          <w:lang w:val="en-US" w:eastAsia="zh-CN" w:bidi="ar-SA"/>
        </w:rPr>
        <w:t>日</w:t>
      </w:r>
    </w:p>
    <w:p w14:paraId="24173EF8">
      <w:pPr>
        <w:pStyle w:val="11"/>
        <w:rPr>
          <w:rFonts w:hint="eastAsia" w:ascii="宋体" w:hAnsi="宋体" w:eastAsia="宋体" w:cs="宋体"/>
          <w:color w:val="auto"/>
          <w:kern w:val="0"/>
          <w:sz w:val="24"/>
          <w:szCs w:val="24"/>
          <w:lang w:val="en-US" w:eastAsia="zh-CN" w:bidi="ar-SA"/>
        </w:rPr>
      </w:pPr>
    </w:p>
    <w:p w14:paraId="5AFF69EE">
      <w:pPr>
        <w:rPr>
          <w:rFonts w:hint="eastAsia" w:ascii="宋体" w:hAnsi="宋体" w:eastAsia="宋体" w:cs="宋体"/>
          <w:color w:val="auto"/>
          <w:kern w:val="0"/>
          <w:sz w:val="24"/>
          <w:szCs w:val="24"/>
          <w:lang w:val="en-US" w:eastAsia="zh-CN" w:bidi="ar-SA"/>
        </w:rPr>
      </w:pPr>
    </w:p>
    <w:p w14:paraId="0870AB3C">
      <w:pPr>
        <w:pStyle w:val="11"/>
        <w:rPr>
          <w:rFonts w:hint="eastAsia" w:ascii="宋体" w:hAnsi="宋体" w:eastAsia="宋体" w:cs="宋体"/>
          <w:color w:val="auto"/>
          <w:kern w:val="0"/>
          <w:sz w:val="24"/>
          <w:szCs w:val="24"/>
          <w:lang w:val="en-US" w:eastAsia="zh-CN" w:bidi="ar-SA"/>
        </w:rPr>
      </w:pPr>
    </w:p>
    <w:p w14:paraId="1DA96431">
      <w:pPr>
        <w:rPr>
          <w:rFonts w:hint="eastAsia" w:ascii="宋体" w:hAnsi="宋体" w:eastAsia="宋体" w:cs="宋体"/>
          <w:color w:val="auto"/>
          <w:kern w:val="0"/>
          <w:sz w:val="24"/>
          <w:szCs w:val="24"/>
          <w:lang w:val="en-US" w:eastAsia="zh-CN" w:bidi="ar-SA"/>
        </w:rPr>
      </w:pPr>
    </w:p>
    <w:p w14:paraId="2AEED76D">
      <w:pPr>
        <w:rPr>
          <w:rFonts w:hint="eastAsia" w:ascii="宋体" w:hAnsi="宋体" w:eastAsia="宋体" w:cs="宋体"/>
          <w:color w:val="auto"/>
          <w:kern w:val="0"/>
          <w:sz w:val="24"/>
          <w:szCs w:val="24"/>
          <w:lang w:val="en-US" w:eastAsia="zh-CN" w:bidi="ar-SA"/>
        </w:rPr>
      </w:pPr>
    </w:p>
    <w:p w14:paraId="0CB4127C">
      <w:pPr>
        <w:rPr>
          <w:rFonts w:hint="eastAsia" w:ascii="宋体" w:hAnsi="宋体" w:eastAsia="宋体" w:cs="宋体"/>
          <w:color w:val="auto"/>
          <w:kern w:val="0"/>
          <w:sz w:val="24"/>
          <w:szCs w:val="24"/>
          <w:lang w:val="en-US" w:eastAsia="zh-CN" w:bidi="ar-SA"/>
        </w:rPr>
      </w:pPr>
    </w:p>
    <w:p w14:paraId="14BF6A6B">
      <w:pPr>
        <w:rPr>
          <w:rFonts w:hint="eastAsia" w:ascii="宋体" w:hAnsi="宋体" w:eastAsia="宋体" w:cs="宋体"/>
          <w:color w:val="auto"/>
          <w:kern w:val="0"/>
          <w:sz w:val="24"/>
          <w:szCs w:val="24"/>
          <w:lang w:val="en-US" w:eastAsia="zh-CN" w:bidi="ar-SA"/>
        </w:rPr>
      </w:pPr>
    </w:p>
    <w:p w14:paraId="005FF3FD">
      <w:pPr>
        <w:rPr>
          <w:rFonts w:hint="eastAsia" w:ascii="宋体" w:hAnsi="宋体" w:eastAsia="宋体" w:cs="宋体"/>
          <w:color w:val="auto"/>
          <w:kern w:val="0"/>
          <w:sz w:val="24"/>
          <w:szCs w:val="24"/>
          <w:lang w:val="en-US" w:eastAsia="zh-CN" w:bidi="ar-SA"/>
        </w:rPr>
      </w:pPr>
    </w:p>
    <w:p w14:paraId="330CA43F">
      <w:pPr>
        <w:rPr>
          <w:rFonts w:hint="eastAsia" w:ascii="宋体" w:hAnsi="宋体" w:eastAsia="宋体" w:cs="宋体"/>
          <w:color w:val="auto"/>
          <w:kern w:val="0"/>
          <w:sz w:val="24"/>
          <w:szCs w:val="24"/>
          <w:lang w:val="en-US" w:eastAsia="zh-CN" w:bidi="ar-SA"/>
        </w:rPr>
      </w:pPr>
    </w:p>
    <w:p w14:paraId="3C234D48">
      <w:pPr>
        <w:pStyle w:val="2"/>
        <w:spacing w:line="360" w:lineRule="auto"/>
        <w:rPr>
          <w:rFonts w:ascii="宋体" w:hAnsi="宋体" w:cs="宋体"/>
          <w:color w:val="auto"/>
        </w:rPr>
      </w:pPr>
      <w:bookmarkStart w:id="16" w:name="_Toc19543334"/>
      <w:bookmarkStart w:id="17" w:name="_Toc20348"/>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78"/>
        <w:tblW w:w="9643" w:type="dxa"/>
        <w:jc w:val="center"/>
        <w:tblLayout w:type="fixed"/>
        <w:tblCellMar>
          <w:top w:w="147" w:type="dxa"/>
          <w:left w:w="108" w:type="dxa"/>
          <w:bottom w:w="56" w:type="dxa"/>
          <w:right w:w="0" w:type="dxa"/>
        </w:tblCellMar>
      </w:tblPr>
      <w:tblGrid>
        <w:gridCol w:w="704"/>
        <w:gridCol w:w="1990"/>
        <w:gridCol w:w="6949"/>
      </w:tblGrid>
      <w:tr w14:paraId="51481DAE">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819F91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537D3FF7">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408C5EA5">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25F2EBF">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54201E">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789903D">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1BA8E135">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安康职业技术学院附属小学</w:t>
            </w:r>
          </w:p>
        </w:tc>
      </w:tr>
      <w:tr w14:paraId="2C44E802">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90AC3A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1BC534">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3174647">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15F711FB">
        <w:tblPrEx>
          <w:tblCellMar>
            <w:top w:w="147" w:type="dxa"/>
            <w:left w:w="108" w:type="dxa"/>
            <w:bottom w:w="56" w:type="dxa"/>
            <w:right w:w="0" w:type="dxa"/>
          </w:tblCellMar>
        </w:tblPrEx>
        <w:trPr>
          <w:trHeight w:val="51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052FD6">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091715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40CE53A2">
            <w:pPr>
              <w:pStyle w:val="77"/>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0288"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0288;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5DC449CF">
                            <w:pPr>
                              <w:pStyle w:val="20"/>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val="en-US" w:eastAsia="zh-CN"/>
              </w:rPr>
              <w:t>安康职业技术学院附属小学教学楼及科技楼梯间文化建设项目</w:t>
            </w:r>
            <w:r>
              <w:rPr>
                <w:rFonts w:hint="eastAsia" w:ascii="宋体" w:hAnsi="宋体" w:cs="Times New Roman"/>
                <w:color w:val="auto"/>
                <w:sz w:val="24"/>
                <w:szCs w:val="24"/>
              </w:rPr>
              <w:t xml:space="preserve"> </w:t>
            </w:r>
          </w:p>
        </w:tc>
      </w:tr>
      <w:tr w14:paraId="630392B1">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5D592BD">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42B623C">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669F739">
            <w:pPr>
              <w:widowControl/>
              <w:tabs>
                <w:tab w:val="left" w:pos="1620"/>
              </w:tabs>
              <w:snapToGrid w:val="0"/>
              <w:spacing w:line="400" w:lineRule="exact"/>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lang w:val="en-US" w:eastAsia="zh-CN"/>
              </w:rPr>
              <w:t>安康职业技术学院附属小学教学楼及科技楼梯间文化建设项目</w:t>
            </w:r>
            <w:r>
              <w:rPr>
                <w:rFonts w:hint="eastAsia" w:cs="宋体" w:asciiTheme="minorEastAsia" w:hAnsiTheme="minorEastAsia" w:eastAsiaTheme="minorEastAsia"/>
                <w:color w:val="auto"/>
                <w:kern w:val="0"/>
                <w:sz w:val="24"/>
                <w:szCs w:val="24"/>
              </w:rPr>
              <w:t>（采购内容详见第五部分采购内容及技术要求）</w:t>
            </w:r>
          </w:p>
        </w:tc>
      </w:tr>
      <w:tr w14:paraId="4CEB2918">
        <w:tblPrEx>
          <w:tblCellMar>
            <w:top w:w="147" w:type="dxa"/>
            <w:left w:w="108" w:type="dxa"/>
            <w:bottom w:w="56" w:type="dxa"/>
            <w:right w:w="0" w:type="dxa"/>
          </w:tblCellMar>
        </w:tblPrEx>
        <w:trPr>
          <w:trHeight w:val="53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6055C4">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FFCD02F">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预算金额</w:t>
            </w:r>
          </w:p>
        </w:tc>
        <w:tc>
          <w:tcPr>
            <w:tcW w:w="6949" w:type="dxa"/>
            <w:tcBorders>
              <w:top w:val="single" w:color="000000" w:sz="4" w:space="0"/>
              <w:left w:val="single" w:color="000000" w:sz="4" w:space="0"/>
              <w:bottom w:val="single" w:color="000000" w:sz="4" w:space="0"/>
              <w:right w:val="single" w:color="000000" w:sz="4" w:space="0"/>
            </w:tcBorders>
          </w:tcPr>
          <w:p w14:paraId="09B02B3F">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val="en-US" w:eastAsia="zh-CN" w:bidi="ar-SA"/>
              </w:rPr>
              <w:t>443000.00元</w:t>
            </w:r>
          </w:p>
        </w:tc>
      </w:tr>
      <w:tr w14:paraId="45B64BA6">
        <w:tblPrEx>
          <w:tblCellMar>
            <w:top w:w="147" w:type="dxa"/>
            <w:left w:w="108" w:type="dxa"/>
            <w:bottom w:w="56" w:type="dxa"/>
            <w:right w:w="0" w:type="dxa"/>
          </w:tblCellMar>
        </w:tblPrEx>
        <w:trPr>
          <w:trHeight w:val="517"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6552681">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BFDE086">
            <w:pPr>
              <w:spacing w:line="259" w:lineRule="auto"/>
              <w:ind w:right="111"/>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最高限价</w:t>
            </w:r>
          </w:p>
        </w:tc>
        <w:tc>
          <w:tcPr>
            <w:tcW w:w="6949" w:type="dxa"/>
            <w:tcBorders>
              <w:top w:val="single" w:color="000000" w:sz="4" w:space="0"/>
              <w:left w:val="single" w:color="000000" w:sz="4" w:space="0"/>
              <w:bottom w:val="single" w:color="000000" w:sz="4" w:space="0"/>
              <w:right w:val="single" w:color="000000" w:sz="4" w:space="0"/>
            </w:tcBorders>
            <w:vAlign w:val="center"/>
          </w:tcPr>
          <w:p w14:paraId="2F353A7C">
            <w:pPr>
              <w:spacing w:line="259" w:lineRule="auto"/>
              <w:ind w:right="111"/>
              <w:jc w:val="lef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en-US" w:eastAsia="zh-CN"/>
              </w:rPr>
              <w:t>443000.00元</w:t>
            </w:r>
          </w:p>
        </w:tc>
      </w:tr>
      <w:tr w14:paraId="0968552B">
        <w:tblPrEx>
          <w:tblCellMar>
            <w:top w:w="147" w:type="dxa"/>
            <w:left w:w="108" w:type="dxa"/>
            <w:bottom w:w="56" w:type="dxa"/>
            <w:right w:w="0" w:type="dxa"/>
          </w:tblCellMar>
        </w:tblPrEx>
        <w:trPr>
          <w:trHeight w:val="661"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3F5CC82">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2FB5F9F6">
            <w:pPr>
              <w:spacing w:line="259" w:lineRule="auto"/>
              <w:ind w:right="111"/>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w:t>
            </w:r>
            <w:r>
              <w:rPr>
                <w:rFonts w:hint="eastAsia" w:asciiTheme="minorEastAsia" w:hAnsiTheme="minorEastAsia" w:eastAsiaTheme="minorEastAsia"/>
                <w:color w:val="auto"/>
                <w:sz w:val="24"/>
                <w:szCs w:val="24"/>
                <w:lang w:eastAsia="zh-CN"/>
              </w:rPr>
              <w:t>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4B52BF4B">
            <w:pPr>
              <w:pageBreakBefore w:val="0"/>
              <w:kinsoku/>
              <w:wordWrap/>
              <w:overflowPunct/>
              <w:topLinePunct w:val="0"/>
              <w:autoSpaceDE/>
              <w:autoSpaceDN/>
              <w:bidi w:val="0"/>
              <w:adjustRightInd/>
              <w:spacing w:line="360" w:lineRule="auto"/>
              <w:ind w:right="0" w:rightChars="0"/>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val="en-US" w:eastAsia="zh-CN"/>
              </w:rPr>
              <w:t>自合同签订生效之日起30日历天</w:t>
            </w:r>
          </w:p>
          <w:p w14:paraId="067A8F1B">
            <w:pPr>
              <w:widowControl/>
              <w:tabs>
                <w:tab w:val="left" w:pos="1620"/>
              </w:tabs>
              <w:snapToGrid w:val="0"/>
              <w:spacing w:line="400" w:lineRule="exact"/>
              <w:jc w:val="left"/>
              <w:rPr>
                <w:rFonts w:hint="eastAsia" w:asciiTheme="minorEastAsia" w:hAnsiTheme="minorEastAsia" w:eastAsiaTheme="minorEastAsia"/>
                <w:color w:val="auto"/>
                <w:sz w:val="24"/>
                <w:szCs w:val="24"/>
                <w:lang w:eastAsia="zh-CN"/>
              </w:rPr>
            </w:pPr>
          </w:p>
        </w:tc>
      </w:tr>
      <w:tr w14:paraId="03CECF7A">
        <w:tblPrEx>
          <w:tblCellMar>
            <w:top w:w="147" w:type="dxa"/>
            <w:left w:w="108" w:type="dxa"/>
            <w:bottom w:w="56" w:type="dxa"/>
            <w:right w:w="0" w:type="dxa"/>
          </w:tblCellMar>
        </w:tblPrEx>
        <w:trPr>
          <w:trHeight w:val="639"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577553">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39C50BC4">
            <w:pPr>
              <w:keepNext w:val="0"/>
              <w:keepLines w:val="0"/>
              <w:pageBreakBefore w:val="0"/>
              <w:kinsoku/>
              <w:wordWrap/>
              <w:overflowPunct/>
              <w:topLinePunct w:val="0"/>
              <w:autoSpaceDE/>
              <w:autoSpaceDN/>
              <w:bidi w:val="0"/>
              <w:adjustRightInd/>
              <w:snapToGrid/>
              <w:spacing w:line="360" w:lineRule="auto"/>
              <w:ind w:right="111" w:rightChars="0"/>
              <w:jc w:val="center"/>
              <w:textAlignment w:val="auto"/>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工程</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49D8F355">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采购人指定地点</w:t>
            </w:r>
          </w:p>
        </w:tc>
      </w:tr>
      <w:tr w14:paraId="3A489A98">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9B1BAE">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BEE6672">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firstLine="480" w:firstLineChars="200"/>
              <w:jc w:val="both"/>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lang w:val="en-US" w:eastAsia="zh-CN"/>
              </w:rPr>
              <w:t>质保期</w:t>
            </w:r>
          </w:p>
        </w:tc>
        <w:tc>
          <w:tcPr>
            <w:tcW w:w="6949" w:type="dxa"/>
            <w:tcBorders>
              <w:top w:val="single" w:color="000000" w:sz="4" w:space="0"/>
              <w:left w:val="single" w:color="000000" w:sz="4" w:space="0"/>
              <w:bottom w:val="single" w:color="000000" w:sz="4" w:space="0"/>
              <w:right w:val="single" w:color="000000" w:sz="4" w:space="0"/>
            </w:tcBorders>
            <w:vAlign w:val="center"/>
          </w:tcPr>
          <w:p w14:paraId="5BFE4B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asciiTheme="minorEastAsia" w:hAnsiTheme="minorEastAsia" w:eastAsiaTheme="minorEastAsia"/>
                <w:color w:val="auto"/>
                <w:sz w:val="24"/>
                <w:szCs w:val="24"/>
              </w:rPr>
            </w:pPr>
            <w:r>
              <w:rPr>
                <w:rFonts w:hint="eastAsia" w:ascii="Times New Roman" w:hAnsi="宋体" w:cs="Times New Roman"/>
                <w:b w:val="0"/>
                <w:bCs/>
                <w:color w:val="auto"/>
                <w:sz w:val="24"/>
                <w:szCs w:val="24"/>
                <w:lang w:val="en-US" w:eastAsia="zh-CN"/>
              </w:rPr>
              <w:t>自验收合格之日起一年</w:t>
            </w:r>
          </w:p>
        </w:tc>
      </w:tr>
      <w:tr w14:paraId="79AFF2A6">
        <w:tblPrEx>
          <w:tblCellMar>
            <w:top w:w="147" w:type="dxa"/>
            <w:left w:w="108" w:type="dxa"/>
            <w:bottom w:w="56" w:type="dxa"/>
            <w:right w:w="0" w:type="dxa"/>
          </w:tblCellMar>
        </w:tblPrEx>
        <w:trPr>
          <w:trHeight w:val="593"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C89DABA">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3CD071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41CD1922">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0E46D108">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546B59">
            <w:pPr>
              <w:pStyle w:val="77"/>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4F13BD">
            <w:pPr>
              <w:spacing w:line="259" w:lineRule="auto"/>
              <w:ind w:right="2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投标人资质要求</w:t>
            </w:r>
          </w:p>
        </w:tc>
        <w:tc>
          <w:tcPr>
            <w:tcW w:w="6949" w:type="dxa"/>
            <w:tcBorders>
              <w:top w:val="single" w:color="000000" w:sz="4" w:space="0"/>
              <w:left w:val="single" w:color="000000" w:sz="4" w:space="0"/>
              <w:bottom w:val="single" w:color="000000" w:sz="4" w:space="0"/>
              <w:right w:val="single" w:color="000000" w:sz="4" w:space="0"/>
            </w:tcBorders>
          </w:tcPr>
          <w:p w14:paraId="45C919DE">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4D19481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48101B7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181F895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725D158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547D2E2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288165F8">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42A65CB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具备建设行政主管部门核发的建筑工程施工总承包三级及以上资质或建筑装修装饰工程专业承包二级及以上资质，具有有效的安全生产许可证，并在人员、设备、资金等方面具备相应的施工能力。</w:t>
            </w:r>
          </w:p>
          <w:p w14:paraId="7739469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489B4929">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446F2422">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025FEBD6">
            <w:pPr>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kern w:val="0"/>
                <w:sz w:val="24"/>
                <w:szCs w:val="24"/>
                <w:shd w:val="clear" w:fill="FFFFFF"/>
                <w:lang w:val="en-US" w:eastAsia="zh-CN" w:bidi="ar-SA"/>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6C1F3139">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294F7AE5">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32E41C">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06A469C7">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2B9D95DE">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D5FDAAD">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 不接受联合体磋商</w:t>
            </w:r>
          </w:p>
        </w:tc>
      </w:tr>
      <w:tr w14:paraId="2554E22C">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1DA7FA">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65B95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7A55A1E3">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16693FCE">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4CB61E8">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18D608A">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3A26FCC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hint="eastAsia" w:asciiTheme="minorEastAsia" w:hAnsiTheme="minorEastAsia" w:eastAsiaTheme="minorEastAsia"/>
                <w:color w:val="auto"/>
                <w:sz w:val="24"/>
                <w:szCs w:val="24"/>
              </w:rPr>
              <w:t>年</w:t>
            </w:r>
            <w:r>
              <w:rPr>
                <w:rFonts w:hint="eastAsia" w:asciiTheme="minorEastAsia" w:hAnsiTheme="minorEastAsia" w:eastAsiaTheme="minorEastAsia"/>
                <w:color w:val="auto"/>
                <w:sz w:val="24"/>
                <w:szCs w:val="24"/>
                <w:lang w:val="en-US" w:eastAsia="zh-CN"/>
              </w:rPr>
              <w:t>7月24</w:t>
            </w:r>
            <w:r>
              <w:rPr>
                <w:rFonts w:hint="eastAsia" w:asciiTheme="minorEastAsia" w:hAnsiTheme="minorEastAsia" w:eastAsiaTheme="minorEastAsia"/>
                <w:color w:val="auto"/>
                <w:sz w:val="24"/>
                <w:szCs w:val="24"/>
              </w:rPr>
              <w:t>日</w:t>
            </w:r>
            <w:r>
              <w:rPr>
                <w:rFonts w:hint="eastAsia" w:asciiTheme="minorEastAsia" w:hAnsiTheme="minorEastAsia" w:eastAsiaTheme="minorEastAsia"/>
                <w:color w:val="auto"/>
                <w:sz w:val="24"/>
                <w:szCs w:val="24"/>
                <w:lang w:val="en-US" w:eastAsia="zh-CN"/>
              </w:rPr>
              <w:t>09</w:t>
            </w:r>
            <w:r>
              <w:rPr>
                <w:rFonts w:hint="eastAsia" w:asciiTheme="minorEastAsia" w:hAnsiTheme="minorEastAsia" w:eastAsiaTheme="minorEastAsia"/>
                <w:color w:val="auto"/>
                <w:sz w:val="24"/>
                <w:szCs w:val="24"/>
              </w:rPr>
              <w:t>时</w:t>
            </w:r>
            <w:r>
              <w:rPr>
                <w:rFonts w:hint="eastAsia" w:asciiTheme="minorEastAsia" w:hAnsiTheme="minorEastAsia" w:eastAsiaTheme="minorEastAsia"/>
                <w:color w:val="auto"/>
                <w:sz w:val="24"/>
                <w:szCs w:val="24"/>
                <w:lang w:val="en-US" w:eastAsia="zh-CN"/>
              </w:rPr>
              <w:t>00</w:t>
            </w:r>
            <w:r>
              <w:rPr>
                <w:rFonts w:hint="eastAsia" w:asciiTheme="minorEastAsia" w:hAnsiTheme="minorEastAsia" w:eastAsiaTheme="minorEastAsia"/>
                <w:color w:val="auto"/>
                <w:sz w:val="24"/>
                <w:szCs w:val="24"/>
              </w:rPr>
              <w:t>分</w:t>
            </w:r>
            <w:r>
              <w:rPr>
                <w:rFonts w:hint="eastAsia" w:asciiTheme="minorEastAsia" w:hAnsiTheme="minorEastAsia" w:eastAsiaTheme="minorEastAsia"/>
                <w:color w:val="auto"/>
                <w:sz w:val="24"/>
                <w:szCs w:val="24"/>
                <w:lang w:eastAsia="zh-CN"/>
              </w:rPr>
              <w:t xml:space="preserve"> </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6BAB226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Theme="minorEastAsia" w:hAnsiTheme="minorEastAsia" w:eastAsiaTheme="minorEastAsia"/>
                <w:color w:val="auto"/>
                <w:sz w:val="24"/>
                <w:szCs w:val="24"/>
                <w:lang w:eastAsia="zh-CN"/>
              </w:rPr>
              <w:t>安康市高新区高新观澜8幢2单元801室</w:t>
            </w:r>
          </w:p>
          <w:p w14:paraId="1FE72B36">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18BC0692">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B7F679D">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7C8BBB9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磋商响应文件递交截止时间</w:t>
            </w:r>
            <w:r>
              <w:rPr>
                <w:rFonts w:hint="eastAsia"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D5FD474">
            <w:pPr>
              <w:spacing w:line="259" w:lineRule="auto"/>
              <w:rPr>
                <w:rFonts w:hint="default" w:asciiTheme="minorEastAsia" w:hAnsiTheme="minorEastAsia" w:eastAsiaTheme="minorEastAsia"/>
                <w:color w:val="auto"/>
                <w:sz w:val="24"/>
                <w:szCs w:val="24"/>
                <w:lang w:val="en-US" w:eastAsia="zh-CN"/>
              </w:rPr>
            </w:pPr>
            <w:r>
              <w:rPr>
                <w:rFonts w:hint="eastAsia" w:asciiTheme="minorEastAsia" w:hAnsiTheme="minorEastAsia" w:eastAsiaTheme="minorEastAsia"/>
                <w:color w:val="auto"/>
                <w:sz w:val="24"/>
                <w:szCs w:val="24"/>
              </w:rPr>
              <w:t>递交</w:t>
            </w:r>
            <w:r>
              <w:rPr>
                <w:rFonts w:asciiTheme="minorEastAsia" w:hAnsiTheme="minorEastAsia" w:eastAsiaTheme="minorEastAsia"/>
                <w:color w:val="auto"/>
                <w:sz w:val="24"/>
                <w:szCs w:val="24"/>
              </w:rPr>
              <w:t>截止时间</w:t>
            </w:r>
            <w:r>
              <w:rPr>
                <w:rFonts w:hint="eastAsia" w:asciiTheme="minorEastAsia" w:hAnsiTheme="minorEastAsia" w:eastAsiaTheme="minorEastAsia"/>
                <w:color w:val="auto"/>
                <w:sz w:val="24"/>
                <w:szCs w:val="24"/>
                <w:lang w:val="en-US" w:eastAsia="zh-CN"/>
              </w:rPr>
              <w:t>：2026年7月24日09时00分止</w:t>
            </w:r>
          </w:p>
          <w:p w14:paraId="11D583DC">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递交地点：</w:t>
            </w:r>
            <w:r>
              <w:rPr>
                <w:rFonts w:hint="eastAsia" w:ascii="宋体" w:hAnsi="宋体" w:cs="宋体"/>
                <w:color w:val="auto"/>
                <w:sz w:val="24"/>
                <w:szCs w:val="24"/>
                <w:lang w:eastAsia="zh-CN"/>
              </w:rPr>
              <w:t>安康市高新区高新观澜8幢2单元801室</w:t>
            </w:r>
            <w:r>
              <w:rPr>
                <w:rFonts w:hint="eastAsia" w:asciiTheme="minorEastAsia" w:hAnsiTheme="minorEastAsia" w:eastAsiaTheme="minorEastAsia"/>
                <w:color w:val="auto"/>
                <w:sz w:val="24"/>
                <w:szCs w:val="24"/>
              </w:rPr>
              <w:t xml:space="preserve"> </w:t>
            </w:r>
          </w:p>
        </w:tc>
      </w:tr>
      <w:tr w14:paraId="5D70D1C0">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074FF46">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59087E4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130DEB26">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u w:val="none" w:color="auto"/>
                <w:lang w:val="en-US" w:eastAsia="zh-CN"/>
              </w:rPr>
              <w:t>90</w:t>
            </w:r>
            <w:r>
              <w:rPr>
                <w:rFonts w:asciiTheme="minorEastAsia" w:hAnsiTheme="minorEastAsia" w:eastAsiaTheme="minorEastAsia"/>
                <w:color w:val="auto"/>
                <w:sz w:val="24"/>
                <w:szCs w:val="24"/>
              </w:rPr>
              <w:t xml:space="preserve">日历天（从提交响应文件日起计算） </w:t>
            </w:r>
          </w:p>
        </w:tc>
      </w:tr>
      <w:tr w14:paraId="0899F16B">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5709B31">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180683B">
            <w:pPr>
              <w:spacing w:line="259" w:lineRule="auto"/>
              <w:jc w:val="center"/>
              <w:rPr>
                <w:rFonts w:hint="eastAsia" w:ascii="宋体" w:hAnsi="宋体" w:eastAsia="宋体"/>
                <w:color w:val="auto"/>
                <w:sz w:val="24"/>
                <w:szCs w:val="24"/>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center"/>
          </w:tcPr>
          <w:p w14:paraId="0D7F8BD1">
            <w:pPr>
              <w:spacing w:line="259" w:lineRule="auto"/>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，电子版</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U盘</w:t>
            </w:r>
            <w:r>
              <w:rPr>
                <w:rFonts w:hint="eastAsia" w:asciiTheme="minorEastAsia" w:hAnsiTheme="minorEastAsia" w:eastAsiaTheme="minorEastAsia"/>
                <w:color w:val="auto"/>
                <w:sz w:val="24"/>
                <w:szCs w:val="24"/>
                <w:lang w:eastAsia="zh-CN"/>
              </w:rPr>
              <w:t>）</w:t>
            </w:r>
            <w:r>
              <w:rPr>
                <w:rFonts w:asciiTheme="minorEastAsia" w:hAnsiTheme="minorEastAsia" w:eastAsiaTheme="minorEastAsia"/>
                <w:color w:val="auto"/>
                <w:sz w:val="24"/>
                <w:szCs w:val="24"/>
              </w:rPr>
              <w:t>壹份</w:t>
            </w:r>
          </w:p>
        </w:tc>
      </w:tr>
      <w:tr w14:paraId="10ADA05F">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8D1590">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EA440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380200E4">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cs="宋体" w:eastAsiaTheme="minorEastAsia"/>
                <w:color w:val="auto"/>
                <w:kern w:val="0"/>
                <w:sz w:val="24"/>
                <w:szCs w:val="24"/>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4C3C9C4A">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cs="宋体" w:eastAsiaTheme="minorEastAsia"/>
                <w:color w:val="auto"/>
                <w:kern w:val="0"/>
                <w:sz w:val="24"/>
                <w:szCs w:val="24"/>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tc>
      </w:tr>
      <w:tr w14:paraId="0E8DC0E5">
        <w:tblPrEx>
          <w:tblCellMar>
            <w:top w:w="147" w:type="dxa"/>
            <w:left w:w="108" w:type="dxa"/>
            <w:bottom w:w="56" w:type="dxa"/>
            <w:right w:w="0" w:type="dxa"/>
          </w:tblCellMar>
        </w:tblPrEx>
        <w:trPr>
          <w:trHeight w:val="37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ECDA7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33567B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lang w:val="zh-CN"/>
              </w:rPr>
              <w:t>封套上应写明的内容</w:t>
            </w:r>
          </w:p>
        </w:tc>
        <w:tc>
          <w:tcPr>
            <w:tcW w:w="6949" w:type="dxa"/>
            <w:tcBorders>
              <w:top w:val="single" w:color="000000" w:sz="4" w:space="0"/>
              <w:left w:val="single" w:color="000000" w:sz="4" w:space="0"/>
              <w:bottom w:val="single" w:color="000000" w:sz="4" w:space="0"/>
              <w:right w:val="single" w:color="000000" w:sz="4" w:space="0"/>
            </w:tcBorders>
            <w:vAlign w:val="top"/>
          </w:tcPr>
          <w:p w14:paraId="0E86E378">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项目名称：</w:t>
            </w:r>
          </w:p>
          <w:p w14:paraId="0DDA232F">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项目编号：</w:t>
            </w:r>
          </w:p>
          <w:p w14:paraId="6029B1F5">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竞争性磋商响应文件</w:t>
            </w:r>
          </w:p>
          <w:p w14:paraId="31F0B9CD">
            <w:pPr>
              <w:keepNext w:val="0"/>
              <w:keepLines w:val="0"/>
              <w:pageBreakBefore w:val="0"/>
              <w:widowControl w:val="0"/>
              <w:tabs>
                <w:tab w:val="left" w:pos="1180"/>
              </w:tabs>
              <w:kinsoku/>
              <w:wordWrap/>
              <w:overflowPunct/>
              <w:topLinePunct w:val="0"/>
              <w:autoSpaceDE/>
              <w:autoSpaceDN/>
              <w:bidi w:val="0"/>
              <w:adjustRightInd/>
              <w:snapToGrid/>
              <w:spacing w:line="460" w:lineRule="exact"/>
              <w:textAlignment w:val="auto"/>
              <w:rPr>
                <w:rFonts w:hint="eastAsia" w:ascii="宋体" w:hAnsi="宋体" w:eastAsia="宋体"/>
                <w:color w:val="auto"/>
                <w:sz w:val="24"/>
                <w:szCs w:val="24"/>
              </w:rPr>
            </w:pPr>
            <w:r>
              <w:rPr>
                <w:rFonts w:hint="eastAsia" w:ascii="宋体" w:hAnsi="宋体" w:eastAsia="宋体"/>
                <w:color w:val="auto"/>
                <w:sz w:val="24"/>
                <w:szCs w:val="24"/>
              </w:rPr>
              <w:t>供应商名称：</w:t>
            </w:r>
          </w:p>
          <w:p w14:paraId="0109549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宋体" w:eastAsiaTheme="minorEastAsia"/>
                <w:color w:val="auto"/>
                <w:kern w:val="0"/>
                <w:sz w:val="24"/>
                <w:szCs w:val="24"/>
              </w:rPr>
            </w:pPr>
            <w:r>
              <w:rPr>
                <w:rFonts w:hint="eastAsia" w:ascii="宋体" w:hAnsi="宋体" w:eastAsia="宋体"/>
                <w:color w:val="auto"/>
                <w:sz w:val="24"/>
                <w:szCs w:val="24"/>
              </w:rPr>
              <w:t>在</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年</w:t>
            </w:r>
            <w:r>
              <w:rPr>
                <w:rFonts w:hint="eastAsia" w:ascii="宋体" w:hAnsi="宋体" w:eastAsia="宋体"/>
                <w:color w:val="auto"/>
                <w:sz w:val="24"/>
                <w:szCs w:val="24"/>
                <w:u w:val="single"/>
              </w:rPr>
              <w:t xml:space="preserve"> </w:t>
            </w:r>
            <w:r>
              <w:rPr>
                <w:rFonts w:ascii="宋体" w:hAnsi="宋体" w:eastAsia="宋体"/>
                <w:color w:val="auto"/>
                <w:sz w:val="24"/>
                <w:szCs w:val="24"/>
                <w:u w:val="single"/>
              </w:rPr>
              <w:t xml:space="preserve"> </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月</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日</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时</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分（磋商文件</w:t>
            </w:r>
            <w:r>
              <w:rPr>
                <w:rFonts w:ascii="宋体" w:hAnsi="宋体" w:eastAsia="宋体"/>
                <w:color w:val="auto"/>
                <w:sz w:val="24"/>
                <w:szCs w:val="24"/>
              </w:rPr>
              <w:t>递交</w:t>
            </w:r>
            <w:r>
              <w:rPr>
                <w:rFonts w:hint="eastAsia" w:ascii="宋体" w:hAnsi="宋体" w:eastAsia="宋体"/>
                <w:color w:val="auto"/>
                <w:sz w:val="24"/>
                <w:szCs w:val="24"/>
              </w:rPr>
              <w:t>截止时间）前不得开启</w:t>
            </w:r>
          </w:p>
        </w:tc>
      </w:tr>
      <w:tr w14:paraId="434A8F08">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C59D3E9">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0F316D8">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评分办法</w:t>
            </w:r>
          </w:p>
        </w:tc>
        <w:tc>
          <w:tcPr>
            <w:tcW w:w="6949" w:type="dxa"/>
            <w:tcBorders>
              <w:top w:val="single" w:color="000000" w:sz="4" w:space="0"/>
              <w:left w:val="single" w:color="000000" w:sz="4" w:space="0"/>
              <w:bottom w:val="single" w:color="000000" w:sz="4" w:space="0"/>
              <w:right w:val="single" w:color="000000" w:sz="4" w:space="0"/>
            </w:tcBorders>
          </w:tcPr>
          <w:p w14:paraId="1F37151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综合评分法 </w:t>
            </w:r>
          </w:p>
        </w:tc>
      </w:tr>
      <w:tr w14:paraId="427D05F5">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31FCD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62D54E69">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7691790">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根据《中华人民共和国政府采购法》《</w:t>
            </w:r>
            <w:r>
              <w:rPr>
                <w:rFonts w:hint="eastAsia" w:asciiTheme="minorEastAsia" w:hAnsiTheme="minorEastAsia" w:eastAsiaTheme="minorEastAsia"/>
                <w:color w:val="auto"/>
                <w:sz w:val="24"/>
                <w:szCs w:val="24"/>
                <w:lang w:val="en-US" w:eastAsia="zh-CN"/>
              </w:rPr>
              <w:t>政府采购竞争性磋商采购方式管理暂行办法</w:t>
            </w:r>
            <w:r>
              <w:rPr>
                <w:rFonts w:asciiTheme="minorEastAsia" w:hAnsiTheme="minorEastAsia" w:eastAsiaTheme="minorEastAsia"/>
                <w:color w:val="auto"/>
                <w:sz w:val="24"/>
                <w:szCs w:val="24"/>
              </w:rPr>
              <w:t>》等有关法律规定组建磋商小组</w:t>
            </w:r>
          </w:p>
        </w:tc>
      </w:tr>
      <w:tr w14:paraId="452B4C4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3098FE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098CC3">
            <w:pPr>
              <w:keepNext w:val="0"/>
              <w:keepLines w:val="0"/>
              <w:pageBreakBefore w:val="0"/>
              <w:widowControl/>
              <w:suppressLineNumbers w:val="0"/>
              <w:kinsoku/>
              <w:wordWrap/>
              <w:topLinePunct w:val="0"/>
              <w:autoSpaceDE/>
              <w:autoSpaceDN/>
              <w:bidi w:val="0"/>
              <w:spacing w:before="0" w:beforeAutospacing="0" w:after="0" w:afterAutospacing="0" w:line="460" w:lineRule="exact"/>
              <w:ind w:left="0" w:leftChars="0" w:right="0" w:rightChars="0"/>
              <w:jc w:val="center"/>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4"/>
                <w:highlight w:val="none"/>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1F2965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leftChars="0" w:right="0" w:rightChars="0"/>
              <w:textAlignment w:val="auto"/>
              <w:rPr>
                <w:rFonts w:hint="eastAsia" w:asciiTheme="minorEastAsia" w:hAnsiTheme="minorEastAsia" w:eastAsiaTheme="minorEastAsia"/>
                <w:color w:val="auto"/>
                <w:sz w:val="24"/>
                <w:szCs w:val="24"/>
                <w:lang w:eastAsia="zh-CN"/>
              </w:rPr>
            </w:pPr>
            <w:r>
              <w:rPr>
                <w:rFonts w:hint="eastAsia" w:ascii="宋体" w:hAnsi="宋体" w:cs="宋体"/>
                <w:snapToGrid w:val="0"/>
                <w:color w:val="auto"/>
                <w:kern w:val="0"/>
                <w:sz w:val="24"/>
                <w:szCs w:val="24"/>
                <w:lang w:val="en-US" w:eastAsia="zh-CN"/>
              </w:rPr>
              <w:t>合同签订生效、乙方材料进场15日内，甲方支付合同总价40%预付款仅用于采购主材。验收结束后付总工程价款的97%。剩余合同总价3%竣工验收合格后满1年无任何质量缺陷、乙方完成全部维修义务后15个工作日无息一次性付清。</w:t>
            </w:r>
          </w:p>
        </w:tc>
      </w:tr>
      <w:tr w14:paraId="7E23EDB8">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C98EA32">
            <w:pPr>
              <w:pStyle w:val="77"/>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2A86AC7">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答疑</w:t>
            </w:r>
          </w:p>
        </w:tc>
        <w:tc>
          <w:tcPr>
            <w:tcW w:w="6949" w:type="dxa"/>
            <w:tcBorders>
              <w:top w:val="single" w:color="000000" w:sz="4" w:space="0"/>
              <w:left w:val="single" w:color="000000" w:sz="4" w:space="0"/>
              <w:bottom w:val="single" w:color="000000" w:sz="4" w:space="0"/>
              <w:right w:val="single" w:color="000000" w:sz="4" w:space="0"/>
            </w:tcBorders>
          </w:tcPr>
          <w:p w14:paraId="34539A16">
            <w:pPr>
              <w:spacing w:line="259" w:lineRule="auto"/>
              <w:ind w:right="-11"/>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如有疑问，投标人需书面提出，经采购人收集问题后，统一答疑。 </w:t>
            </w:r>
          </w:p>
        </w:tc>
      </w:tr>
      <w:tr w14:paraId="1DD0DC7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209A99D">
            <w:pPr>
              <w:pStyle w:val="77"/>
              <w:numPr>
                <w:ilvl w:val="0"/>
                <w:numId w:val="1"/>
              </w:numPr>
              <w:spacing w:line="259" w:lineRule="auto"/>
              <w:ind w:left="420" w:leftChars="0" w:hanging="420" w:firstLineChars="0"/>
              <w:jc w:val="center"/>
              <w:rPr>
                <w:rFonts w:asciiTheme="minorEastAsia" w:hAnsiTheme="minorEastAsia" w:eastAsiaTheme="minorEastAsia"/>
                <w:color w:val="auto"/>
                <w:sz w:val="24"/>
                <w:szCs w:val="24"/>
              </w:rPr>
            </w:pPr>
            <w:bookmarkStart w:id="18" w:name="_Toc19272"/>
            <w:bookmarkStart w:id="19" w:name="_Toc536202284"/>
            <w:bookmarkStart w:id="20" w:name="_Toc536429318"/>
            <w:bookmarkStart w:id="21" w:name="_Toc21495"/>
            <w:bookmarkStart w:id="22" w:name="_Toc536429371"/>
            <w:bookmarkStart w:id="23" w:name="_Toc536202378"/>
          </w:p>
        </w:tc>
        <w:tc>
          <w:tcPr>
            <w:tcW w:w="1990" w:type="dxa"/>
            <w:tcBorders>
              <w:top w:val="single" w:color="000000" w:sz="4" w:space="0"/>
              <w:left w:val="single" w:color="000000" w:sz="4" w:space="0"/>
              <w:bottom w:val="single" w:color="000000" w:sz="4" w:space="0"/>
              <w:right w:val="single" w:color="000000" w:sz="4" w:space="0"/>
            </w:tcBorders>
            <w:vAlign w:val="center"/>
          </w:tcPr>
          <w:p w14:paraId="70CC3547">
            <w:pPr>
              <w:spacing w:line="259" w:lineRule="auto"/>
              <w:ind w:right="109" w:rightChars="0"/>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其他说明事项</w:t>
            </w:r>
          </w:p>
        </w:tc>
        <w:tc>
          <w:tcPr>
            <w:tcW w:w="6949" w:type="dxa"/>
            <w:tcBorders>
              <w:top w:val="single" w:color="000000" w:sz="4" w:space="0"/>
              <w:left w:val="single" w:color="000000" w:sz="4" w:space="0"/>
              <w:bottom w:val="single" w:color="000000" w:sz="4" w:space="0"/>
              <w:right w:val="single" w:color="000000" w:sz="4" w:space="0"/>
            </w:tcBorders>
            <w:vAlign w:val="top"/>
          </w:tcPr>
          <w:p w14:paraId="77C6F2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p>
          <w:p w14:paraId="14527D4D">
            <w:pPr>
              <w:pageBreakBefore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4"/>
                <w:highlight w:val="none"/>
                <w:lang w:eastAsia="zh-CN"/>
              </w:rPr>
              <w:t>采购标的对应的中小企业划分标准所属行业为</w:t>
            </w:r>
            <w:r>
              <w:rPr>
                <w:rFonts w:hint="eastAsia" w:ascii="宋体" w:hAnsi="宋体" w:eastAsia="宋体" w:cs="宋体"/>
                <w:color w:val="auto"/>
                <w:sz w:val="24"/>
                <w:szCs w:val="22"/>
                <w:lang w:val="en-US" w:eastAsia="zh-CN"/>
              </w:rPr>
              <w:t>建筑业。</w:t>
            </w:r>
          </w:p>
          <w:p w14:paraId="37B15C0E">
            <w:pPr>
              <w:pageBreakBefore w:val="0"/>
              <w:kinsoku/>
              <w:wordWrap/>
              <w:overflowPunct/>
              <w:topLinePunct w:val="0"/>
              <w:autoSpaceDE/>
              <w:autoSpaceDN/>
              <w:bidi w:val="0"/>
              <w:adjustRightInd w:val="0"/>
              <w:snapToGrid w:val="0"/>
              <w:spacing w:line="440" w:lineRule="exact"/>
              <w:textAlignment w:val="auto"/>
              <w:rPr>
                <w:rFonts w:asciiTheme="minorEastAsia" w:hAnsiTheme="minorEastAsia" w:eastAsiaTheme="minorEastAsia"/>
                <w:color w:val="auto"/>
                <w:sz w:val="24"/>
                <w:szCs w:val="24"/>
              </w:rPr>
            </w:pPr>
            <w:r>
              <w:rPr>
                <w:rFonts w:hint="eastAsia" w:ascii="宋体" w:hAnsi="宋体" w:eastAsia="宋体" w:cs="宋体"/>
                <w:color w:val="auto"/>
                <w:sz w:val="24"/>
                <w:szCs w:val="22"/>
                <w:lang w:val="en-US" w:eastAsia="zh-CN"/>
              </w:rPr>
              <w:t>建筑业的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76696554">
      <w:pPr>
        <w:pStyle w:val="11"/>
        <w:rPr>
          <w:color w:val="auto"/>
          <w:kern w:val="44"/>
          <w:sz w:val="32"/>
          <w:szCs w:val="32"/>
        </w:rPr>
      </w:pPr>
      <w:r>
        <w:rPr>
          <w:color w:val="auto"/>
        </w:rPr>
        <w:br w:type="page"/>
      </w:r>
    </w:p>
    <w:p w14:paraId="17DAAA99">
      <w:pPr>
        <w:pStyle w:val="2"/>
        <w:keepLines w:val="0"/>
        <w:spacing w:line="400" w:lineRule="exact"/>
        <w:rPr>
          <w:rFonts w:ascii="宋体"/>
          <w:color w:val="auto"/>
        </w:rPr>
      </w:pPr>
      <w:bookmarkStart w:id="24" w:name="_Toc14296"/>
      <w:bookmarkStart w:id="25" w:name="_Toc19543335"/>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8"/>
      <w:bookmarkEnd w:id="19"/>
      <w:bookmarkEnd w:id="20"/>
      <w:bookmarkEnd w:id="21"/>
      <w:bookmarkEnd w:id="22"/>
      <w:bookmarkEnd w:id="23"/>
      <w:bookmarkEnd w:id="24"/>
      <w:bookmarkEnd w:id="25"/>
    </w:p>
    <w:p w14:paraId="1D8A4FFB">
      <w:pPr>
        <w:widowControl/>
        <w:numPr>
          <w:ilvl w:val="0"/>
          <w:numId w:val="2"/>
        </w:numPr>
        <w:spacing w:line="400" w:lineRule="exact"/>
        <w:ind w:firstLine="643" w:firstLineChars="200"/>
        <w:jc w:val="center"/>
        <w:outlineLvl w:val="1"/>
        <w:rPr>
          <w:rFonts w:ascii="宋体" w:cs="Times New Roman"/>
          <w:b/>
          <w:bCs/>
          <w:color w:val="auto"/>
          <w:kern w:val="0"/>
          <w:sz w:val="32"/>
          <w:szCs w:val="32"/>
        </w:rPr>
      </w:pPr>
      <w:bookmarkStart w:id="26" w:name="_Toc19543336"/>
      <w:bookmarkStart w:id="27" w:name="_Toc536202285"/>
      <w:bookmarkStart w:id="28" w:name="_Toc26739"/>
      <w:bookmarkStart w:id="29" w:name="_Toc536429319"/>
      <w:bookmarkStart w:id="30" w:name="_Toc536429372"/>
      <w:bookmarkStart w:id="31" w:name="_Toc17059"/>
      <w:bookmarkStart w:id="32" w:name="_Toc536202379"/>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4F8E1D2D">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eastAsia="宋体" w:cs="宋体"/>
          <w:b/>
          <w:bCs/>
          <w:color w:val="auto"/>
          <w:sz w:val="24"/>
          <w:szCs w:val="24"/>
        </w:rPr>
        <w:t>适用范围</w:t>
      </w:r>
    </w:p>
    <w:p w14:paraId="585C91E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373FFF41">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71445DA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eastAsia="宋体" w:cs="宋体"/>
          <w:b/>
          <w:bCs/>
          <w:color w:val="auto"/>
          <w:sz w:val="24"/>
          <w:szCs w:val="24"/>
        </w:rPr>
        <w:t>定义</w:t>
      </w:r>
    </w:p>
    <w:p w14:paraId="622CA6E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2.1采购人：</w:t>
      </w:r>
      <w:r>
        <w:rPr>
          <w:rFonts w:hint="eastAsia" w:ascii="宋体" w:hAnsi="宋体" w:cs="宋体"/>
          <w:bCs/>
          <w:color w:val="auto"/>
          <w:sz w:val="24"/>
          <w:szCs w:val="24"/>
          <w:lang w:eastAsia="zh-CN"/>
        </w:rPr>
        <w:t>安康职业技术学院附属小学。</w:t>
      </w:r>
    </w:p>
    <w:p w14:paraId="3ABB41D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2.2采购代理机构：安康尚昊招标代理有限公司</w:t>
      </w:r>
      <w:r>
        <w:rPr>
          <w:rFonts w:hint="eastAsia" w:ascii="宋体" w:hAnsi="宋体" w:cs="宋体"/>
          <w:bCs/>
          <w:color w:val="auto"/>
          <w:sz w:val="24"/>
          <w:szCs w:val="24"/>
          <w:lang w:eastAsia="zh-CN"/>
        </w:rPr>
        <w:t>。</w:t>
      </w:r>
    </w:p>
    <w:p w14:paraId="1D3DB9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r>
        <w:rPr>
          <w:rFonts w:hint="eastAsia" w:ascii="宋体" w:hAnsi="宋体" w:cs="宋体"/>
          <w:bCs/>
          <w:color w:val="auto"/>
          <w:sz w:val="24"/>
          <w:szCs w:val="24"/>
          <w:lang w:eastAsia="zh-CN"/>
        </w:rPr>
        <w:t>。</w:t>
      </w:r>
    </w:p>
    <w:p w14:paraId="2FF0964C">
      <w:pPr>
        <w:pageBreakBefore w:val="0"/>
        <w:widowControl/>
        <w:wordWrap/>
        <w:topLinePunct w:val="0"/>
        <w:autoSpaceDE/>
        <w:autoSpaceDN/>
        <w:bidi w:val="0"/>
        <w:snapToGrid w:val="0"/>
        <w:spacing w:line="360" w:lineRule="auto"/>
        <w:ind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108BDBB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货物：是指本次投标所需的各种形态和种类的物品。</w:t>
      </w:r>
    </w:p>
    <w:p w14:paraId="7660BFA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3605982A">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eastAsia="宋体" w:cs="宋体"/>
          <w:b/>
          <w:bCs/>
          <w:color w:val="auto"/>
          <w:sz w:val="24"/>
          <w:szCs w:val="24"/>
        </w:rPr>
        <w:t>3．合格的投标人、合格的工程</w:t>
      </w:r>
    </w:p>
    <w:p w14:paraId="4489916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3.1 合格的投标人 </w:t>
      </w:r>
    </w:p>
    <w:p w14:paraId="3E3DA91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3.1.1 依照《中华人民共和国公司法》注册、具有法人资格、符合《中华人民共和国政府采购法》第二十二条要求具备的条件、并具备国家规定的相关该行业必备资质。</w:t>
      </w:r>
    </w:p>
    <w:p w14:paraId="29C66F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3.1.2资</w:t>
      </w:r>
      <w:r>
        <w:rPr>
          <w:rFonts w:hint="eastAsia" w:ascii="宋体" w:hAnsi="宋体" w:cs="宋体"/>
          <w:bCs/>
          <w:color w:val="auto"/>
          <w:sz w:val="24"/>
          <w:szCs w:val="24"/>
          <w:lang w:val="en-US" w:eastAsia="zh-CN"/>
        </w:rPr>
        <w:t>格</w:t>
      </w:r>
      <w:r>
        <w:rPr>
          <w:rFonts w:hint="eastAsia" w:ascii="宋体" w:hAnsi="宋体" w:eastAsia="宋体" w:cs="宋体"/>
          <w:bCs/>
          <w:color w:val="auto"/>
          <w:sz w:val="24"/>
          <w:szCs w:val="24"/>
        </w:rPr>
        <w:t>要求</w:t>
      </w:r>
    </w:p>
    <w:p w14:paraId="5685275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5EEDB24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1410C87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38DF2DB6">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B6A3120">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4E6255D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0CEB196D">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45347B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具备建设行政主管部门核发的建筑工程施工总承包三级及以上资质或建筑装修装饰工程专业承包二级及以上资质，具有有效的安全生产许可证，并在人员、设备、资金等方面具备相应的施工能力。</w:t>
      </w:r>
    </w:p>
    <w:p w14:paraId="1F1A77B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1686BB1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7304FF0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1E174FA0">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kern w:val="0"/>
          <w:sz w:val="24"/>
          <w:szCs w:val="24"/>
          <w:shd w:val="clear" w:fill="FFFFFF"/>
          <w:lang w:val="en-US" w:eastAsia="zh-CN" w:bidi="ar-SA"/>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0FDE1F69">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3.1.3 投标人必须从采购代理机构获取磋商文件，未从采购代理机构获取磋商文件的潜在投标人均无资格参加磋商。</w:t>
      </w:r>
    </w:p>
    <w:p w14:paraId="162C5CAE">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3.1.4 本项目不接受联合体磋商。</w:t>
      </w:r>
    </w:p>
    <w:p w14:paraId="50F095DB">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 合格的工程</w:t>
      </w:r>
    </w:p>
    <w:p w14:paraId="355E0355">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3.2.1 工程项目建设依据：采购人提供的资料齐全，可满足施工需要。</w:t>
      </w:r>
    </w:p>
    <w:p w14:paraId="369423A9">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3.2.2 工程范围及工期、质量要求</w:t>
      </w:r>
    </w:p>
    <w:p w14:paraId="44C0DD17">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（1）工程范围：详见工程量清单</w:t>
      </w:r>
    </w:p>
    <w:p w14:paraId="07738ABF">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（2）质量要求：合格</w:t>
      </w:r>
    </w:p>
    <w:p w14:paraId="44C8CE76">
      <w:pPr>
        <w:pStyle w:val="45"/>
        <w:keepNext w:val="0"/>
        <w:keepLines w:val="0"/>
        <w:pageBreakBefore w:val="0"/>
        <w:widowControl w:val="0"/>
        <w:kinsoku/>
        <w:wordWrap/>
        <w:overflowPunct/>
        <w:topLinePunct w:val="0"/>
        <w:autoSpaceDE/>
        <w:autoSpaceDN/>
        <w:bidi w:val="0"/>
        <w:adjustRightInd/>
        <w:spacing w:line="500" w:lineRule="exact"/>
        <w:ind w:left="0" w:leftChars="0" w:firstLine="480"/>
        <w:textAlignment w:val="auto"/>
        <w:rPr>
          <w:rFonts w:hint="eastAsia" w:ascii="宋体" w:hAnsi="宋体" w:eastAsia="宋体" w:cs="宋体"/>
          <w:bCs/>
          <w:color w:val="auto"/>
          <w:sz w:val="24"/>
          <w:szCs w:val="24"/>
        </w:rPr>
      </w:pPr>
      <w:r>
        <w:rPr>
          <w:rFonts w:hint="eastAsia" w:ascii="宋体" w:hAnsi="宋体" w:eastAsia="宋体" w:cs="宋体"/>
          <w:color w:val="auto"/>
          <w:kern w:val="0"/>
          <w:sz w:val="24"/>
          <w:szCs w:val="24"/>
          <w:lang w:val="en-US" w:eastAsia="zh-CN"/>
        </w:rPr>
        <w:t>a.本工程的工程质量应符合国家工程质量验收标准合格以上要求，投标人应按现行的国家施工验收规范和质量评定标准和施工说明书、设备说明书等技术文件为依据施</w:t>
      </w:r>
      <w:r>
        <w:rPr>
          <w:rFonts w:hint="eastAsia" w:ascii="宋体" w:hAnsi="宋体" w:eastAsia="宋体" w:cs="宋体"/>
          <w:bCs/>
          <w:color w:val="auto"/>
          <w:sz w:val="24"/>
          <w:szCs w:val="24"/>
        </w:rPr>
        <w:t>工。</w:t>
      </w:r>
    </w:p>
    <w:p w14:paraId="77D6363B">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格 5 %支付赔偿金。</w:t>
      </w:r>
    </w:p>
    <w:p w14:paraId="3E205C4E">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w:t>
      </w:r>
      <w:r>
        <w:rPr>
          <w:rFonts w:hint="eastAsia" w:ascii="宋体" w:hAnsi="宋体" w:eastAsia="宋体" w:cs="宋体"/>
          <w:bCs/>
          <w:color w:val="auto"/>
          <w:sz w:val="24"/>
          <w:szCs w:val="24"/>
          <w:highlight w:val="none"/>
        </w:rPr>
        <w:t xml:space="preserve">.工期：    </w:t>
      </w:r>
      <w:r>
        <w:rPr>
          <w:rFonts w:hint="eastAsia" w:ascii="宋体" w:hAnsi="宋体" w:eastAsia="宋体" w:cs="宋体"/>
          <w:bCs/>
          <w:color w:val="auto"/>
          <w:sz w:val="24"/>
          <w:szCs w:val="24"/>
        </w:rPr>
        <w:t xml:space="preserve"> </w:t>
      </w:r>
    </w:p>
    <w:p w14:paraId="5F365A2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highlight w:val="red"/>
        </w:rPr>
      </w:pPr>
      <w:r>
        <w:rPr>
          <w:rFonts w:hint="eastAsia" w:ascii="宋体" w:hAnsi="宋体" w:eastAsia="宋体" w:cs="宋体"/>
          <w:bCs/>
          <w:color w:val="auto"/>
          <w:sz w:val="24"/>
          <w:szCs w:val="24"/>
        </w:rPr>
        <w:t>本工程按采购人要求施工总工期为</w:t>
      </w:r>
      <w:r>
        <w:rPr>
          <w:rFonts w:hint="eastAsia" w:ascii="宋体" w:hAnsi="宋体" w:cs="宋体"/>
          <w:color w:val="auto"/>
          <w:kern w:val="0"/>
          <w:sz w:val="24"/>
          <w:szCs w:val="24"/>
          <w:lang w:val="en-US" w:eastAsia="zh-CN"/>
        </w:rPr>
        <w:t>自合同签订生效之日起30日历天</w:t>
      </w:r>
      <w:r>
        <w:rPr>
          <w:rFonts w:hint="eastAsia" w:ascii="宋体" w:hAnsi="宋体" w:eastAsia="宋体" w:cs="宋体"/>
          <w:bCs/>
          <w:color w:val="auto"/>
          <w:sz w:val="24"/>
          <w:szCs w:val="24"/>
          <w:highlight w:val="none"/>
        </w:rPr>
        <w:t>。</w:t>
      </w:r>
    </w:p>
    <w:p w14:paraId="7C6BB2E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工期延误，如果由于以下原因造成竣工日期推迟延误，经采购人代表确认后，投标人有理由延期完成工程或部分工程，采购人应同投标人协商决定延长竣工时间的期限。</w:t>
      </w:r>
    </w:p>
    <w:p w14:paraId="7382D97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（1）额外的或附加的工程数量。</w:t>
      </w:r>
    </w:p>
    <w:p w14:paraId="389EE79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（2）由采购人原因造成的延误、障碍、阻止。</w:t>
      </w:r>
    </w:p>
    <w:p w14:paraId="409AF8C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（3）不可抗力。</w:t>
      </w:r>
    </w:p>
    <w:p w14:paraId="1A8FA2D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（4）可能会出现的，不属投标人的过失或违约造成的。</w:t>
      </w:r>
    </w:p>
    <w:p w14:paraId="13DC391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3.2.3 踏勘现场</w:t>
      </w:r>
    </w:p>
    <w:p w14:paraId="17B071C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2E10F34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采购人和采购代理机构向投标人提供的有关现场的数据和资料，是现有的能被投标人利用的资料，采购人和采购代理机构对投标人做出的任何推论、理解和结论均不承担责任。</w:t>
      </w:r>
    </w:p>
    <w:p w14:paraId="5505AA27">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3</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经采购人允许，投标人可为踏勘目的进入项目现场，但投标人不得因此使采购人承担有关的责任和蒙受损失。投标人应承担踏勘现场的责任和风险。</w:t>
      </w:r>
    </w:p>
    <w:p w14:paraId="56B12F46">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）关于信用记录的查询和使用</w:t>
      </w:r>
    </w:p>
    <w:p w14:paraId="021978AE">
      <w:pPr>
        <w:spacing w:line="360" w:lineRule="auto"/>
        <w:ind w:firstLine="480" w:firstLineChars="200"/>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采购人将在资格审查阶段通过【</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"http://www.creditchina.gov.cn" </w:instrText>
      </w:r>
      <w:r>
        <w:rPr>
          <w:rFonts w:hint="eastAsia" w:ascii="宋体" w:hAnsi="宋体"/>
          <w:color w:val="auto"/>
          <w:sz w:val="24"/>
          <w:szCs w:val="24"/>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rFonts w:hint="eastAsia" w:ascii="宋体" w:hAnsi="宋体"/>
          <w:color w:val="auto"/>
          <w:sz w:val="24"/>
          <w:szCs w:val="24"/>
        </w:rPr>
        <w:fldChar w:fldCharType="begin"/>
      </w:r>
      <w:r>
        <w:rPr>
          <w:rFonts w:hint="eastAsia" w:ascii="宋体" w:hAnsi="宋体"/>
          <w:color w:val="auto"/>
          <w:sz w:val="24"/>
          <w:szCs w:val="24"/>
        </w:rPr>
        <w:instrText xml:space="preserve"> HYPERLINK "http://www.ccgp.gov.cn/cr/list" </w:instrText>
      </w:r>
      <w:r>
        <w:rPr>
          <w:rFonts w:hint="eastAsia" w:ascii="宋体" w:hAnsi="宋体"/>
          <w:color w:val="auto"/>
          <w:sz w:val="24"/>
          <w:szCs w:val="24"/>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w:t>
      </w:r>
      <w:r>
        <w:rPr>
          <w:rFonts w:hint="eastAsia" w:ascii="宋体" w:hAnsi="宋体"/>
          <w:color w:val="auto"/>
          <w:sz w:val="24"/>
          <w:szCs w:val="24"/>
          <w:lang w:val="en-US" w:eastAsia="zh-CN"/>
        </w:rPr>
        <w:t>信用记录</w:t>
      </w:r>
      <w:r>
        <w:rPr>
          <w:rFonts w:hint="eastAsia" w:ascii="宋体" w:hAnsi="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spacing w:line="360" w:lineRule="auto"/>
        <w:ind w:firstLine="480" w:firstLineChars="200"/>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spacing w:line="360" w:lineRule="auto"/>
        <w:ind w:firstLine="480" w:firstLineChars="200"/>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信用记录查询的结果，将以纸质截图或将截图保存至电子介质的形式留存。投标人未如实</w:t>
      </w:r>
      <w:r>
        <w:rPr>
          <w:rFonts w:hint="eastAsia" w:ascii="宋体" w:hAnsi="宋体"/>
          <w:color w:val="auto"/>
          <w:sz w:val="24"/>
          <w:szCs w:val="24"/>
          <w:lang w:val="en-US" w:eastAsia="zh-CN"/>
        </w:rPr>
        <w:t>提供</w:t>
      </w:r>
      <w:r>
        <w:rPr>
          <w:rFonts w:hint="eastAsia" w:ascii="宋体" w:hAnsi="宋体"/>
          <w:color w:val="auto"/>
          <w:sz w:val="24"/>
          <w:szCs w:val="24"/>
        </w:rPr>
        <w:t>的，视为“投标人提供虚假材料谋取中标、成交的”行为。</w:t>
      </w:r>
    </w:p>
    <w:p w14:paraId="1168689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12B32F06">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33293E">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eastAsia="宋体" w:cs="宋体"/>
          <w:b/>
          <w:bCs/>
          <w:color w:val="auto"/>
          <w:sz w:val="24"/>
          <w:szCs w:val="24"/>
        </w:rPr>
        <w:t>费用承担</w:t>
      </w:r>
    </w:p>
    <w:p w14:paraId="2BB573A9">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2083F43A">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eastAsia="宋体" w:cs="宋体"/>
          <w:b/>
          <w:bCs/>
          <w:color w:val="auto"/>
          <w:sz w:val="24"/>
          <w:szCs w:val="24"/>
        </w:rPr>
        <w:t>保密</w:t>
      </w:r>
    </w:p>
    <w:p w14:paraId="5F6B15F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参与磋商活动的各方应对磋商文件和响应文件的商业和技术等秘密保密，违者应对由此造成的后果承担法律责任。</w:t>
      </w:r>
    </w:p>
    <w:p w14:paraId="55812C1C">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eastAsia="宋体" w:cs="宋体"/>
          <w:b/>
          <w:bCs/>
          <w:color w:val="auto"/>
          <w:sz w:val="24"/>
          <w:szCs w:val="24"/>
        </w:rPr>
        <w:t>语言文字</w:t>
      </w:r>
    </w:p>
    <w:p w14:paraId="57E7A39D">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5C639779">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eastAsia="宋体" w:cs="宋体"/>
          <w:b/>
          <w:bCs/>
          <w:color w:val="auto"/>
          <w:sz w:val="24"/>
          <w:szCs w:val="24"/>
        </w:rPr>
        <w:t>计量单位</w:t>
      </w:r>
    </w:p>
    <w:p w14:paraId="7A0EBB00">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1E6D1D6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eastAsia="宋体" w:cs="宋体"/>
          <w:b/>
          <w:bCs/>
          <w:color w:val="auto"/>
          <w:sz w:val="24"/>
          <w:szCs w:val="24"/>
        </w:rPr>
        <w:t>踏勘现场</w:t>
      </w:r>
    </w:p>
    <w:p w14:paraId="7CC99DF8">
      <w:pPr>
        <w:pStyle w:val="11"/>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021CE516">
      <w:pPr>
        <w:pageBreakBefore w:val="0"/>
        <w:widowControl/>
        <w:wordWrap/>
        <w:topLinePunct w:val="0"/>
        <w:autoSpaceDE/>
        <w:autoSpaceDN/>
        <w:bidi w:val="0"/>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eastAsia="zh-CN"/>
        </w:rPr>
        <w:t>10.</w:t>
      </w:r>
      <w:r>
        <w:rPr>
          <w:rFonts w:hint="eastAsia" w:ascii="宋体" w:hAnsi="宋体" w:eastAsia="宋体" w:cs="宋体"/>
          <w:b/>
          <w:bCs/>
          <w:color w:val="auto"/>
          <w:sz w:val="24"/>
          <w:szCs w:val="24"/>
        </w:rPr>
        <w:t>偏离</w:t>
      </w:r>
    </w:p>
    <w:p w14:paraId="13E1C10A">
      <w:pPr>
        <w:pageBreakBefore w:val="0"/>
        <w:widowControl/>
        <w:wordWrap/>
        <w:topLinePunct w:val="0"/>
        <w:autoSpaceDE/>
        <w:autoSpaceDN/>
        <w:bidi w:val="0"/>
        <w:snapToGrid w:val="0"/>
        <w:spacing w:line="360" w:lineRule="auto"/>
        <w:ind w:left="0" w:leftChars="0" w:right="0" w:rightChars="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4863339E">
      <w:pPr>
        <w:pageBreakBefore w:val="0"/>
        <w:widowControl/>
        <w:numPr>
          <w:ilvl w:val="0"/>
          <w:numId w:val="2"/>
        </w:numPr>
        <w:wordWrap/>
        <w:topLinePunct w:val="0"/>
        <w:autoSpaceDE/>
        <w:autoSpaceDN/>
        <w:bidi w:val="0"/>
        <w:spacing w:line="360" w:lineRule="auto"/>
        <w:ind w:left="0" w:leftChars="0" w:right="0" w:rightChars="0" w:firstLine="643" w:firstLineChars="200"/>
        <w:jc w:val="center"/>
        <w:textAlignment w:val="auto"/>
        <w:outlineLvl w:val="1"/>
        <w:rPr>
          <w:rFonts w:hint="eastAsia" w:ascii="宋体" w:hAnsi="宋体" w:eastAsia="宋体" w:cs="宋体"/>
          <w:b/>
          <w:bCs/>
          <w:color w:val="auto"/>
          <w:kern w:val="0"/>
          <w:sz w:val="32"/>
          <w:szCs w:val="32"/>
        </w:rPr>
      </w:pPr>
      <w:bookmarkStart w:id="33" w:name="_Toc3976"/>
      <w:bookmarkStart w:id="34" w:name="_Toc19543337"/>
      <w:bookmarkStart w:id="35" w:name="_Toc536429373"/>
      <w:bookmarkStart w:id="36" w:name="_Toc536202288"/>
      <w:bookmarkStart w:id="37" w:name="_Toc536202380"/>
      <w:bookmarkStart w:id="38" w:name="_Toc536429320"/>
      <w:r>
        <w:rPr>
          <w:rFonts w:hint="eastAsia" w:ascii="宋体" w:hAnsi="宋体" w:eastAsia="宋体" w:cs="宋体"/>
          <w:b/>
          <w:bCs/>
          <w:color w:val="auto"/>
          <w:kern w:val="0"/>
          <w:sz w:val="32"/>
          <w:szCs w:val="32"/>
        </w:rPr>
        <w:t>竞争性磋商文件</w:t>
      </w:r>
      <w:bookmarkEnd w:id="33"/>
      <w:bookmarkEnd w:id="34"/>
      <w:bookmarkEnd w:id="35"/>
      <w:bookmarkEnd w:id="36"/>
      <w:bookmarkEnd w:id="37"/>
      <w:bookmarkEnd w:id="38"/>
    </w:p>
    <w:p w14:paraId="6F03BC46">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39" w:name="_Toc536202289"/>
      <w:bookmarkStart w:id="40" w:name="_Toc5801"/>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竞争性磋商文件的构成</w:t>
      </w:r>
      <w:bookmarkEnd w:id="39"/>
      <w:bookmarkEnd w:id="40"/>
    </w:p>
    <w:p w14:paraId="4FEFF53D">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3C5AB056">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竞争性磋商公告；</w:t>
      </w:r>
    </w:p>
    <w:p w14:paraId="44DD6D9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供应商须知前附表；</w:t>
      </w:r>
    </w:p>
    <w:p w14:paraId="27A11CB8">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供应商须知；</w:t>
      </w:r>
    </w:p>
    <w:p w14:paraId="658C5530">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评分标准；</w:t>
      </w:r>
    </w:p>
    <w:p w14:paraId="36973854">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采购</w:t>
      </w:r>
      <w:r>
        <w:rPr>
          <w:rFonts w:hint="eastAsia" w:ascii="宋体" w:hAnsi="宋体" w:cs="宋体"/>
          <w:color w:val="auto"/>
          <w:sz w:val="24"/>
          <w:szCs w:val="28"/>
          <w:lang w:val="en-US" w:eastAsia="zh-CN"/>
        </w:rPr>
        <w:t>内容及</w:t>
      </w:r>
      <w:r>
        <w:rPr>
          <w:rFonts w:hint="eastAsia" w:ascii="宋体" w:hAnsi="宋体" w:eastAsia="宋体" w:cs="宋体"/>
          <w:color w:val="auto"/>
          <w:sz w:val="24"/>
          <w:szCs w:val="28"/>
        </w:rPr>
        <w:t>要求；</w:t>
      </w:r>
    </w:p>
    <w:p w14:paraId="63D58BBF">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eastAsia="宋体"/>
          <w:color w:val="auto"/>
          <w:sz w:val="24"/>
          <w:szCs w:val="24"/>
        </w:rPr>
        <w:t>商务及合同主要条款</w:t>
      </w:r>
      <w:r>
        <w:rPr>
          <w:rFonts w:hint="eastAsia" w:ascii="宋体" w:hAnsi="宋体" w:eastAsia="宋体" w:cs="宋体"/>
          <w:color w:val="auto"/>
          <w:sz w:val="24"/>
          <w:szCs w:val="28"/>
        </w:rPr>
        <w:t>；</w:t>
      </w:r>
    </w:p>
    <w:p w14:paraId="4A396AA2">
      <w:pPr>
        <w:pageBreakBefore w:val="0"/>
        <w:numPr>
          <w:ilvl w:val="0"/>
          <w:numId w:val="3"/>
        </w:numPr>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响应文件格式。</w:t>
      </w:r>
    </w:p>
    <w:p w14:paraId="3A74432E">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1" w:name="_Toc53620229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磋商文件的检查及阅读</w:t>
      </w:r>
      <w:bookmarkEnd w:id="41"/>
    </w:p>
    <w:p w14:paraId="53428C8C">
      <w:pPr>
        <w:pageBreakBefore w:val="0"/>
        <w:tabs>
          <w:tab w:val="left" w:pos="0"/>
        </w:tabs>
        <w:wordWrap/>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eastAsia="宋体" w:cs="宋体"/>
          <w:color w:val="auto"/>
          <w:sz w:val="24"/>
          <w:szCs w:val="28"/>
        </w:rPr>
        <w:t>实质性响应是供应商的风险。没有按照竞争性磋商文件要求作出实质性响应的响应文件应作</w:t>
      </w:r>
      <w:r>
        <w:rPr>
          <w:rFonts w:hint="eastAsia" w:ascii="宋体" w:hAnsi="宋体" w:cs="宋体"/>
          <w:color w:val="auto"/>
          <w:sz w:val="24"/>
          <w:szCs w:val="28"/>
          <w:lang w:val="en-US" w:eastAsia="zh-CN"/>
        </w:rPr>
        <w:t>无效文件</w:t>
      </w:r>
      <w:r>
        <w:rPr>
          <w:rFonts w:hint="eastAsia" w:ascii="宋体" w:hAnsi="宋体" w:eastAsia="宋体" w:cs="宋体"/>
          <w:color w:val="auto"/>
          <w:sz w:val="24"/>
          <w:szCs w:val="28"/>
        </w:rPr>
        <w:t>处理。</w:t>
      </w:r>
    </w:p>
    <w:p w14:paraId="29AE7D5F">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2" w:name="_Toc536202292"/>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现场踏勘及磋商文件答疑</w:t>
      </w:r>
      <w:bookmarkEnd w:id="42"/>
    </w:p>
    <w:p w14:paraId="383897CC">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招标代理机构将视情况确定是否有必要召开标前答疑会。如果召开标前答疑会，招标代理机构将通知所有已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FFED8A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3" w:name="_Toc536202293"/>
      <w:bookmarkStart w:id="44" w:name="_Toc19797"/>
      <w:r>
        <w:rPr>
          <w:rFonts w:hint="eastAsia" w:ascii="宋体" w:hAnsi="宋体" w:cs="宋体"/>
          <w:color w:val="auto"/>
          <w:sz w:val="24"/>
          <w:szCs w:val="28"/>
          <w:lang w:val="en-US" w:eastAsia="zh-CN"/>
        </w:rPr>
        <w:t>4.</w:t>
      </w:r>
      <w:r>
        <w:rPr>
          <w:rFonts w:hint="eastAsia" w:ascii="宋体" w:hAnsi="宋体" w:eastAsia="宋体" w:cs="宋体"/>
          <w:color w:val="auto"/>
          <w:sz w:val="24"/>
          <w:szCs w:val="28"/>
        </w:rPr>
        <w:t>竞争性磋商文件的澄清</w:t>
      </w:r>
      <w:bookmarkEnd w:id="43"/>
      <w:bookmarkEnd w:id="44"/>
    </w:p>
    <w:p w14:paraId="5AD088ED">
      <w:pPr>
        <w:pageBreakBefore w:val="0"/>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4.1供应商应认真阅读和充分理解竞争性磋商文件中所有的事项，如有问题或</w:t>
      </w:r>
      <w:r>
        <w:rPr>
          <w:rFonts w:hint="eastAsia" w:ascii="宋体" w:hAnsi="宋体" w:cs="宋体"/>
          <w:color w:val="auto"/>
          <w:sz w:val="24"/>
          <w:szCs w:val="28"/>
          <w:lang w:eastAsia="zh-CN"/>
        </w:rPr>
        <w:t>异议</w:t>
      </w:r>
      <w:r>
        <w:rPr>
          <w:rFonts w:hint="eastAsia" w:ascii="宋体" w:hAnsi="宋体" w:eastAsia="宋体" w:cs="宋体"/>
          <w:color w:val="auto"/>
          <w:sz w:val="24"/>
          <w:szCs w:val="28"/>
        </w:rPr>
        <w:t>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eastAsia="宋体" w:cs="宋体"/>
          <w:color w:val="auto"/>
          <w:sz w:val="24"/>
          <w:szCs w:val="28"/>
        </w:rPr>
        <w:t>因市场行情了解不清造成的后果和风险均由供应商自负。</w:t>
      </w:r>
    </w:p>
    <w:p w14:paraId="4046C612">
      <w:pPr>
        <w:pageBreakBefore w:val="0"/>
        <w:tabs>
          <w:tab w:val="left" w:pos="0"/>
        </w:tabs>
        <w:wordWrap/>
        <w:topLinePunct w:val="0"/>
        <w:autoSpaceDE/>
        <w:autoSpaceDN/>
        <w:bidi w:val="0"/>
        <w:adjustRightInd w:val="0"/>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eastAsia="宋体" w:cs="宋体"/>
          <w:color w:val="auto"/>
          <w:sz w:val="24"/>
          <w:szCs w:val="24"/>
        </w:rPr>
        <w:t>七个工作日内</w:t>
      </w:r>
      <w:r>
        <w:rPr>
          <w:rFonts w:hint="eastAsia" w:ascii="宋体" w:hAnsi="宋体" w:eastAsia="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问或者质疑均为无效，采购代理机构不予受理。</w:t>
      </w:r>
    </w:p>
    <w:p w14:paraId="040C1347">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4.3对于在规定时间内收到的投标人依法提出的询问或者质疑，采购代理机构将按程序及时</w:t>
      </w:r>
      <w:r>
        <w:rPr>
          <w:rFonts w:hint="eastAsia" w:ascii="宋体" w:hAnsi="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文件做出实质性变动，则按照相关规定延长投标截止时间。</w:t>
      </w:r>
    </w:p>
    <w:p w14:paraId="0CC6B133">
      <w:pPr>
        <w:pStyle w:val="9"/>
        <w:pageBreakBefore w:val="0"/>
        <w:wordWrap/>
        <w:topLinePunct w:val="0"/>
        <w:autoSpaceDE/>
        <w:autoSpaceDN/>
        <w:bidi w:val="0"/>
        <w:spacing w:line="360" w:lineRule="auto"/>
        <w:ind w:left="0" w:leftChars="0" w:right="0" w:rightChars="0"/>
        <w:textAlignment w:val="auto"/>
        <w:rPr>
          <w:rFonts w:hint="eastAsia" w:ascii="宋体" w:hAnsi="宋体" w:eastAsia="宋体" w:cs="宋体"/>
          <w:color w:val="auto"/>
        </w:rPr>
      </w:pPr>
      <w:r>
        <w:rPr>
          <w:rFonts w:hint="eastAsia" w:ascii="宋体" w:hAnsi="宋体" w:eastAsia="宋体" w:cs="宋体"/>
          <w:color w:val="auto"/>
          <w:sz w:val="24"/>
          <w:szCs w:val="24"/>
        </w:rPr>
        <w:t>4.4投标人提出质疑应当有明确的请求和必要的证明材料。</w:t>
      </w:r>
    </w:p>
    <w:p w14:paraId="42D9D888">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5" w:name="_Toc6390"/>
      <w:bookmarkStart w:id="46" w:name="_Toc536202294"/>
      <w:r>
        <w:rPr>
          <w:rFonts w:hint="eastAsia" w:ascii="宋体" w:hAnsi="宋体" w:cs="宋体"/>
          <w:color w:val="auto"/>
          <w:sz w:val="24"/>
          <w:szCs w:val="28"/>
          <w:lang w:val="en-US" w:eastAsia="zh-CN"/>
        </w:rPr>
        <w:t>5.</w:t>
      </w:r>
      <w:r>
        <w:rPr>
          <w:rFonts w:hint="eastAsia" w:ascii="宋体" w:hAnsi="宋体" w:eastAsia="宋体" w:cs="宋体"/>
          <w:color w:val="auto"/>
          <w:sz w:val="24"/>
          <w:szCs w:val="28"/>
        </w:rPr>
        <w:t>竞争性磋商文件的修改</w:t>
      </w:r>
      <w:bookmarkEnd w:id="45"/>
      <w:bookmarkEnd w:id="46"/>
    </w:p>
    <w:p w14:paraId="0564909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rPr>
        <w:t>不足5日的，顺延提交响应文件的截止时间</w:t>
      </w:r>
      <w:r>
        <w:rPr>
          <w:rFonts w:hint="eastAsia" w:ascii="宋体" w:hAnsi="宋体" w:eastAsia="宋体" w:cs="宋体"/>
          <w:color w:val="auto"/>
          <w:sz w:val="24"/>
          <w:szCs w:val="28"/>
        </w:rPr>
        <w:t>，并</w:t>
      </w:r>
      <w:r>
        <w:rPr>
          <w:rFonts w:hint="eastAsia" w:ascii="宋体" w:hAnsi="宋体" w:eastAsia="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磋商文件的单位。该澄清或者修改的内容为</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文件的组成部分。</w:t>
      </w:r>
    </w:p>
    <w:p w14:paraId="53420E7D">
      <w:pPr>
        <w:pageBreakBefore w:val="0"/>
        <w:wordWrap/>
        <w:overflowPunct w:val="0"/>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文件的修改书将构成</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文件的一部分，对采购人和投标人都具有约束力。</w:t>
      </w:r>
    </w:p>
    <w:p w14:paraId="2F466682">
      <w:pPr>
        <w:pageBreakBefore w:val="0"/>
        <w:wordWrap/>
        <w:topLinePunct w:val="0"/>
        <w:autoSpaceDE/>
        <w:autoSpaceDN/>
        <w:bidi w:val="0"/>
        <w:spacing w:line="360" w:lineRule="auto"/>
        <w:ind w:left="0" w:leftChars="0" w:right="0" w:rightChars="0" w:firstLine="480" w:firstLineChars="200"/>
        <w:textAlignment w:val="auto"/>
        <w:rPr>
          <w:rFonts w:hint="eastAsia"/>
          <w:color w:val="auto"/>
        </w:rPr>
      </w:pPr>
      <w:r>
        <w:rPr>
          <w:rFonts w:hint="eastAsia" w:ascii="宋体" w:hAnsi="宋体" w:eastAsia="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磋商文件的单位。</w:t>
      </w:r>
    </w:p>
    <w:p w14:paraId="0EBB0DD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47" w:name="_Toc31188"/>
      <w:bookmarkStart w:id="48" w:name="_Toc536202295"/>
      <w:r>
        <w:rPr>
          <w:rFonts w:hint="eastAsia" w:ascii="宋体" w:hAnsi="宋体" w:cs="宋体"/>
          <w:color w:val="auto"/>
          <w:sz w:val="24"/>
          <w:szCs w:val="28"/>
          <w:lang w:val="en-US" w:eastAsia="zh-CN"/>
        </w:rPr>
        <w:t>6.</w:t>
      </w:r>
      <w:r>
        <w:rPr>
          <w:rFonts w:hint="eastAsia" w:ascii="宋体" w:hAnsi="宋体" w:eastAsia="宋体" w:cs="宋体"/>
          <w:color w:val="auto"/>
          <w:sz w:val="24"/>
          <w:szCs w:val="28"/>
        </w:rPr>
        <w:t>质疑</w:t>
      </w:r>
    </w:p>
    <w:p w14:paraId="146EDD23">
      <w:pPr>
        <w:pStyle w:val="4"/>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eastAsia="宋体" w:cs="宋体"/>
          <w:b w:val="0"/>
          <w:color w:val="auto"/>
          <w:sz w:val="24"/>
          <w:szCs w:val="28"/>
        </w:rPr>
        <w:t>条执行。</w:t>
      </w:r>
    </w:p>
    <w:p w14:paraId="15F09EA7">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竞争性磋商文件的获取</w:t>
      </w:r>
      <w:bookmarkEnd w:id="47"/>
      <w:bookmarkEnd w:id="48"/>
    </w:p>
    <w:p w14:paraId="13FC0228">
      <w:pPr>
        <w:pageBreakBefore w:val="0"/>
        <w:widowControl/>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eastAsia="宋体" w:cs="宋体"/>
          <w:color w:val="auto"/>
          <w:sz w:val="24"/>
          <w:szCs w:val="28"/>
        </w:rPr>
        <w:t>竞争性磋商文件，供应商自行转让或复制竞争性磋商文件视为无效。竞争性磋商文件仅作为本次竞争性磋商使用。</w:t>
      </w:r>
    </w:p>
    <w:p w14:paraId="336CE1B0">
      <w:pPr>
        <w:pStyle w:val="9"/>
        <w:pageBreakBefore w:val="0"/>
        <w:wordWrap/>
        <w:topLinePunct w:val="0"/>
        <w:autoSpaceDE/>
        <w:autoSpaceDN/>
        <w:bidi w:val="0"/>
        <w:spacing w:line="360" w:lineRule="auto"/>
        <w:ind w:left="0" w:leftChars="0" w:right="0" w:rightChars="0" w:firstLine="482" w:firstLineChars="200"/>
        <w:jc w:val="left"/>
        <w:textAlignment w:val="auto"/>
        <w:rPr>
          <w:rFonts w:hint="eastAsia" w:ascii="宋体" w:hAnsi="宋体" w:eastAsia="宋体" w:cs="宋体"/>
          <w:color w:val="auto"/>
          <w:sz w:val="24"/>
          <w:szCs w:val="28"/>
        </w:rPr>
      </w:pPr>
      <w:bookmarkStart w:id="49" w:name="_Toc536202296"/>
      <w:bookmarkStart w:id="50" w:name="_Toc5095"/>
      <w:r>
        <w:rPr>
          <w:rFonts w:hint="eastAsia" w:ascii="宋体" w:hAnsi="宋体" w:cs="宋体"/>
          <w:b/>
          <w:bCs/>
          <w:color w:val="auto"/>
          <w:sz w:val="24"/>
          <w:szCs w:val="28"/>
          <w:lang w:eastAsia="zh-CN"/>
        </w:rPr>
        <w:t>8.</w:t>
      </w:r>
      <w:r>
        <w:rPr>
          <w:rFonts w:hint="eastAsia" w:ascii="宋体" w:hAnsi="宋体" w:eastAsia="宋体" w:cs="宋体"/>
          <w:b/>
          <w:bCs/>
          <w:color w:val="auto"/>
          <w:sz w:val="24"/>
          <w:szCs w:val="28"/>
        </w:rPr>
        <w:t>竞争性磋商文件的解释权归代理机构</w:t>
      </w:r>
      <w:bookmarkEnd w:id="49"/>
      <w:bookmarkEnd w:id="50"/>
      <w:r>
        <w:rPr>
          <w:rFonts w:hint="eastAsia" w:ascii="宋体" w:hAnsi="宋体" w:eastAsia="宋体" w:cs="宋体"/>
          <w:color w:val="auto"/>
          <w:sz w:val="24"/>
          <w:szCs w:val="28"/>
        </w:rPr>
        <w:t>（ 如发现</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8"/>
        </w:rPr>
        <w:t>内容与现行法律法规不相符的情况，以现行法律法规为准</w:t>
      </w:r>
      <w:r>
        <w:rPr>
          <w:rFonts w:hint="eastAsia" w:ascii="宋体" w:hAnsi="宋体" w:cs="宋体"/>
          <w:color w:val="auto"/>
          <w:sz w:val="24"/>
          <w:szCs w:val="28"/>
          <w:lang w:eastAsia="zh-CN"/>
        </w:rPr>
        <w:t>）。</w:t>
      </w:r>
    </w:p>
    <w:p w14:paraId="34DE26E2">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51" w:name="_Toc536202297"/>
      <w:bookmarkStart w:id="52" w:name="_Toc622"/>
      <w:bookmarkStart w:id="53" w:name="_Toc536202381"/>
      <w:bookmarkStart w:id="54" w:name="_Toc19543338"/>
      <w:bookmarkStart w:id="55" w:name="_Toc536429321"/>
      <w:bookmarkStart w:id="56" w:name="_Toc536429374"/>
      <w:r>
        <w:rPr>
          <w:rFonts w:hint="eastAsia" w:ascii="宋体" w:hAnsi="宋体" w:eastAsia="宋体" w:cs="宋体"/>
          <w:b/>
          <w:bCs/>
          <w:color w:val="auto"/>
          <w:kern w:val="0"/>
          <w:sz w:val="28"/>
          <w:szCs w:val="32"/>
        </w:rPr>
        <w:t>响应文件</w:t>
      </w:r>
      <w:bookmarkEnd w:id="51"/>
      <w:bookmarkEnd w:id="52"/>
      <w:bookmarkEnd w:id="53"/>
      <w:bookmarkEnd w:id="54"/>
      <w:bookmarkEnd w:id="55"/>
      <w:bookmarkEnd w:id="56"/>
    </w:p>
    <w:p w14:paraId="201D3C0C">
      <w:pPr>
        <w:pStyle w:val="4"/>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0A87C19F">
      <w:pPr>
        <w:pStyle w:val="4"/>
        <w:pageBreakBefore w:val="0"/>
        <w:wordWrap/>
        <w:overflowPunct/>
        <w:topLinePunct w:val="0"/>
        <w:autoSpaceDE/>
        <w:autoSpaceDN/>
        <w:bidi w:val="0"/>
        <w:spacing w:line="312" w:lineRule="auto"/>
        <w:ind w:firstLine="480" w:firstLineChars="200"/>
        <w:textAlignment w:val="auto"/>
        <w:rPr>
          <w:rFonts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31B0193C">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响应文件构成和格式</w:t>
      </w:r>
    </w:p>
    <w:p w14:paraId="5EE2CD74">
      <w:pPr>
        <w:pageBreakBefore w:val="0"/>
        <w:widowControl/>
        <w:wordWrap/>
        <w:topLinePunct w:val="0"/>
        <w:autoSpaceDE/>
        <w:autoSpaceDN/>
        <w:bidi w:val="0"/>
        <w:spacing w:line="360" w:lineRule="auto"/>
        <w:ind w:left="0" w:leftChars="0" w:right="0" w:rightChars="0" w:firstLine="480" w:firstLineChars="20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val="en-US" w:eastAsia="zh-CN"/>
        </w:rPr>
        <w:t>响应</w:t>
      </w:r>
      <w:r>
        <w:rPr>
          <w:rFonts w:hint="eastAsia" w:ascii="宋体" w:hAnsi="宋体" w:eastAsia="宋体" w:cs="宋体"/>
          <w:bCs/>
          <w:color w:val="auto"/>
          <w:kern w:val="0"/>
          <w:sz w:val="24"/>
          <w:szCs w:val="24"/>
        </w:rPr>
        <w:t>文件，不得缺少</w:t>
      </w:r>
      <w:r>
        <w:rPr>
          <w:rFonts w:hint="eastAsia" w:ascii="宋体" w:hAnsi="宋体" w:cs="宋体"/>
          <w:bCs/>
          <w:color w:val="auto"/>
          <w:kern w:val="0"/>
          <w:sz w:val="24"/>
          <w:szCs w:val="24"/>
          <w:lang w:val="en-US" w:eastAsia="zh-CN"/>
        </w:rPr>
        <w:t>竞争性磋商</w:t>
      </w:r>
      <w:r>
        <w:rPr>
          <w:rFonts w:hint="eastAsia" w:ascii="宋体" w:hAnsi="宋体" w:eastAsia="宋体" w:cs="宋体"/>
          <w:bCs/>
          <w:color w:val="auto"/>
          <w:kern w:val="0"/>
          <w:sz w:val="24"/>
          <w:szCs w:val="24"/>
        </w:rPr>
        <w:t>文件要求填写的表格或提交的资料。</w:t>
      </w:r>
    </w:p>
    <w:p w14:paraId="01DD586C">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57" w:name="_Toc536202299"/>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磋商报价</w:t>
      </w:r>
      <w:bookmarkEnd w:id="57"/>
    </w:p>
    <w:p w14:paraId="23071991">
      <w:pPr>
        <w:pStyle w:val="4"/>
        <w:keepNext w:val="0"/>
        <w:keepLines w:val="0"/>
        <w:widowControl w:val="0"/>
        <w:suppressLineNumbers w:val="0"/>
        <w:wordWrap w:val="0"/>
        <w:snapToGrid w:val="0"/>
        <w:spacing w:line="336" w:lineRule="auto"/>
        <w:ind w:left="0" w:firstLine="480" w:firstLineChars="200"/>
        <w:rPr>
          <w:rFonts w:hint="eastAsia" w:ascii="宋体" w:hAnsi="宋体" w:eastAsia="宋体" w:cs="宋体"/>
          <w:b w:val="0"/>
          <w:bCs w:val="0"/>
          <w:color w:val="auto"/>
          <w:sz w:val="24"/>
          <w:szCs w:val="24"/>
          <w:lang w:val="en-US"/>
        </w:rPr>
      </w:pPr>
      <w:bookmarkStart w:id="58" w:name="_Toc29200"/>
      <w:bookmarkStart w:id="59" w:name="_Toc536202300"/>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.1</w:t>
      </w:r>
      <w:r>
        <w:rPr>
          <w:rFonts w:hint="eastAsia" w:ascii="宋体" w:hAnsi="宋体" w:eastAsia="宋体" w:cs="宋体"/>
          <w:b w:val="0"/>
          <w:bCs w:val="0"/>
          <w:color w:val="auto"/>
          <w:sz w:val="24"/>
          <w:szCs w:val="24"/>
          <w:lang w:eastAsia="zh-CN"/>
        </w:rPr>
        <w:t>投标人应充分考虑磋商文件的各项条款和本工程的实际，依据磋商文件所附工程量清单、澄清和修改通知，根据企业自身情况、施工经验、现场环境以及磋商文件的要求，进行自主报价。</w:t>
      </w:r>
    </w:p>
    <w:p w14:paraId="2229D0EC">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.2</w:t>
      </w:r>
      <w:r>
        <w:rPr>
          <w:rFonts w:hint="eastAsia" w:ascii="宋体" w:hAnsi="宋体" w:eastAsia="宋体" w:cs="宋体"/>
          <w:b w:val="0"/>
          <w:bCs w:val="0"/>
          <w:color w:val="auto"/>
          <w:sz w:val="24"/>
          <w:szCs w:val="24"/>
          <w:lang w:eastAsia="zh-CN"/>
        </w:rPr>
        <w:t>投标人的磋商报价，应是完成本项目所列工程范围及工期、质量的全部要求，不得以任何理由予以重复。</w:t>
      </w:r>
    </w:p>
    <w:p w14:paraId="7D7B8D83">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.3</w:t>
      </w:r>
      <w:r>
        <w:rPr>
          <w:rFonts w:hint="eastAsia" w:ascii="宋体" w:hAnsi="宋体" w:eastAsia="宋体" w:cs="宋体"/>
          <w:b w:val="0"/>
          <w:bCs w:val="0"/>
          <w:color w:val="auto"/>
          <w:sz w:val="24"/>
          <w:szCs w:val="24"/>
          <w:lang w:eastAsia="zh-CN"/>
        </w:rPr>
        <w:t>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费等社会价格浮动因素，工程所在地的交通运输条件、施工环境和地方不良势力的影响，停水、停电及发包人原因造成停窝工在连续</w:t>
      </w:r>
      <w:r>
        <w:rPr>
          <w:rFonts w:hint="eastAsia" w:ascii="宋体" w:hAnsi="宋体" w:eastAsia="宋体" w:cs="宋体"/>
          <w:b w:val="0"/>
          <w:bCs w:val="0"/>
          <w:color w:val="auto"/>
          <w:sz w:val="24"/>
          <w:szCs w:val="24"/>
          <w:lang w:val="en-US"/>
        </w:rPr>
        <w:t>48</w:t>
      </w:r>
      <w:r>
        <w:rPr>
          <w:rFonts w:hint="eastAsia" w:ascii="宋体" w:hAnsi="宋体" w:eastAsia="宋体" w:cs="宋体"/>
          <w:b w:val="0"/>
          <w:bCs w:val="0"/>
          <w:color w:val="auto"/>
          <w:sz w:val="24"/>
          <w:szCs w:val="24"/>
          <w:lang w:eastAsia="zh-CN"/>
        </w:rPr>
        <w:t>小时以内的损失、国家政策调整、金融汇率以及银行存款利率变化等风险等全部费用。</w:t>
      </w:r>
    </w:p>
    <w:p w14:paraId="665674F1">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3161F049">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.5</w:t>
      </w:r>
      <w:r>
        <w:rPr>
          <w:rFonts w:hint="eastAsia" w:ascii="宋体" w:hAnsi="宋体" w:eastAsia="宋体" w:cs="宋体"/>
          <w:b w:val="0"/>
          <w:bCs w:val="0"/>
          <w:color w:val="auto"/>
          <w:sz w:val="24"/>
          <w:szCs w:val="24"/>
          <w:lang w:eastAsia="zh-CN"/>
        </w:rPr>
        <w:t>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109AAEF2">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val="en-US"/>
        </w:rPr>
        <w:t>.6</w:t>
      </w:r>
      <w:r>
        <w:rPr>
          <w:rFonts w:hint="eastAsia" w:ascii="宋体" w:hAnsi="宋体" w:eastAsia="宋体" w:cs="宋体"/>
          <w:b w:val="0"/>
          <w:bCs w:val="0"/>
          <w:color w:val="auto"/>
          <w:sz w:val="24"/>
          <w:szCs w:val="24"/>
          <w:lang w:eastAsia="zh-CN"/>
        </w:rPr>
        <w:t>磋商报价应考虑的其他风险</w:t>
      </w:r>
    </w:p>
    <w:p w14:paraId="43E02DBD">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eastAsia="zh-CN"/>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1345908B">
      <w:pPr>
        <w:keepNext w:val="0"/>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2.7编制报价的其他约定</w:t>
      </w:r>
    </w:p>
    <w:p w14:paraId="02220FC6">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2.7.1投标供应商根据自行确定的施工组织设计或施工方案进行自主报价，供应商的投标报价不得高于最高限价。</w:t>
      </w:r>
    </w:p>
    <w:p w14:paraId="72E07223">
      <w:pPr>
        <w:pStyle w:val="4"/>
        <w:widowControl/>
        <w:spacing w:line="336" w:lineRule="auto"/>
        <w:ind w:left="0" w:firstLine="600" w:firstLineChars="25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2"/>
          <w:sz w:val="24"/>
          <w:szCs w:val="24"/>
          <w:lang w:val="en-US" w:eastAsia="zh-CN" w:bidi="ar"/>
        </w:rPr>
        <w:t>2.7.2磋商小组认为投标人的报价明显低于其他通过符合性审查投标人的报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工程</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06CD7F28">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b w:val="0"/>
          <w:bCs w:val="0"/>
          <w:color w:val="auto"/>
          <w:sz w:val="24"/>
          <w:szCs w:val="24"/>
          <w:lang w:val="en-US" w:eastAsia="zh-CN"/>
        </w:rPr>
        <w:t>2.7.3投标供应商应针对拟建工程编制保证安全施工、文明施工和环境保护的技术措施方案。</w:t>
      </w:r>
    </w:p>
    <w:p w14:paraId="6BCE4049">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3.</w:t>
      </w:r>
      <w:r>
        <w:rPr>
          <w:rFonts w:hint="eastAsia" w:ascii="宋体" w:hAnsi="宋体" w:eastAsia="宋体" w:cs="宋体"/>
          <w:color w:val="auto"/>
          <w:sz w:val="24"/>
          <w:szCs w:val="28"/>
        </w:rPr>
        <w:t>磋商货币</w:t>
      </w:r>
      <w:bookmarkEnd w:id="58"/>
      <w:bookmarkEnd w:id="59"/>
    </w:p>
    <w:p w14:paraId="3CA0B5E1">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eastAsia="宋体" w:cs="宋体"/>
          <w:color w:val="auto"/>
          <w:kern w:val="0"/>
          <w:sz w:val="24"/>
          <w:szCs w:val="28"/>
        </w:rPr>
        <w:t>采购人只接受人民币作为唯一磋商货币。以人民币为投标货币。以元为报价单位，保留小数点后两位。</w:t>
      </w:r>
    </w:p>
    <w:p w14:paraId="01548AB3">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0" w:name="_Toc536202302"/>
      <w:r>
        <w:rPr>
          <w:rFonts w:hint="eastAsia" w:ascii="宋体" w:hAnsi="宋体" w:cs="宋体"/>
          <w:color w:val="auto"/>
          <w:sz w:val="24"/>
          <w:szCs w:val="28"/>
          <w:lang w:val="en-US" w:eastAsia="zh-CN"/>
        </w:rPr>
        <w:t>4.</w:t>
      </w:r>
      <w:r>
        <w:rPr>
          <w:rFonts w:hint="eastAsia" w:ascii="宋体" w:hAnsi="宋体" w:eastAsia="宋体" w:cs="宋体"/>
          <w:color w:val="auto"/>
          <w:sz w:val="24"/>
          <w:szCs w:val="28"/>
        </w:rPr>
        <w:t>响应有效期</w:t>
      </w:r>
      <w:bookmarkEnd w:id="60"/>
    </w:p>
    <w:p w14:paraId="13D34F8F">
      <w:pPr>
        <w:pageBreakBefore w:val="0"/>
        <w:wordWrap/>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64FF8689">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61" w:name="_Toc24827"/>
      <w:bookmarkStart w:id="62" w:name="_Toc536202303"/>
      <w:r>
        <w:rPr>
          <w:rFonts w:hint="eastAsia" w:ascii="宋体" w:hAnsi="宋体" w:cs="宋体"/>
          <w:color w:val="auto"/>
          <w:sz w:val="24"/>
          <w:szCs w:val="28"/>
          <w:lang w:val="en-US" w:eastAsia="zh-CN"/>
        </w:rPr>
        <w:t>5.</w:t>
      </w:r>
      <w:r>
        <w:rPr>
          <w:rFonts w:hint="eastAsia" w:ascii="宋体" w:hAnsi="宋体" w:eastAsia="宋体" w:cs="宋体"/>
          <w:color w:val="auto"/>
          <w:sz w:val="24"/>
          <w:szCs w:val="28"/>
        </w:rPr>
        <w:t>响应文件的格式、装订、密封和签署</w:t>
      </w:r>
      <w:bookmarkEnd w:id="61"/>
      <w:bookmarkEnd w:id="62"/>
    </w:p>
    <w:p w14:paraId="0E78D8F1">
      <w:pPr>
        <w:pageBreakBefore w:val="0"/>
        <w:wordWrap/>
        <w:overflowPunct/>
        <w:topLinePunct w:val="0"/>
        <w:autoSpaceDE/>
        <w:autoSpaceDN/>
        <w:bidi w:val="0"/>
        <w:spacing w:line="312" w:lineRule="auto"/>
        <w:ind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w:t>
      </w:r>
      <w:r>
        <w:rPr>
          <w:rFonts w:hint="eastAsia" w:ascii="宋体" w:hAnsi="宋体" w:cs="宋体"/>
          <w:color w:val="auto"/>
          <w:sz w:val="24"/>
          <w:szCs w:val="28"/>
        </w:rPr>
        <w:t>；所有的副本可以为正本的复印件。</w:t>
      </w:r>
    </w:p>
    <w:p w14:paraId="62050336">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.2响应文件的装订</w:t>
      </w:r>
    </w:p>
    <w:p w14:paraId="5EA296DD">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452E79DB">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.3响应文件的签署</w:t>
      </w:r>
    </w:p>
    <w:p w14:paraId="023E7E61">
      <w:pPr>
        <w:pageBreakBefore w:val="0"/>
        <w:numPr>
          <w:ilvl w:val="0"/>
          <w:numId w:val="4"/>
        </w:numPr>
        <w:wordWrap/>
        <w:topLinePunct w:val="0"/>
        <w:autoSpaceDE/>
        <w:autoSpaceDN/>
        <w:bidi w:val="0"/>
        <w:spacing w:line="360" w:lineRule="auto"/>
        <w:ind w:left="0" w:leftChars="0" w:right="0" w:rightChars="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供应商应在</w:t>
      </w:r>
      <w:r>
        <w:rPr>
          <w:rFonts w:hint="eastAsia" w:ascii="宋体" w:hAnsi="宋体" w:cs="宋体"/>
          <w:color w:val="auto"/>
          <w:sz w:val="24"/>
          <w:szCs w:val="28"/>
          <w:lang w:val="en-US" w:eastAsia="zh-CN"/>
        </w:rPr>
        <w:t>响应</w:t>
      </w:r>
      <w:r>
        <w:rPr>
          <w:rFonts w:hint="eastAsia" w:ascii="宋体" w:hAnsi="宋体" w:eastAsia="宋体" w:cs="宋体"/>
          <w:color w:val="auto"/>
          <w:sz w:val="24"/>
          <w:szCs w:val="28"/>
        </w:rPr>
        <w:t>文件中指定的页面落款处填写供应商全称，并按要求加盖公章及签字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eastAsia="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的封面）侧面还需加盖骑缝章。</w:t>
      </w:r>
    </w:p>
    <w:p w14:paraId="784B00C7">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响应文件应字迹清楚、内容齐全、不得涂改或增删。如有修改和增删，必须有供应商公章及法定代表人或其授权代表签字。</w:t>
      </w:r>
    </w:p>
    <w:p w14:paraId="2CDCB9C2">
      <w:pPr>
        <w:pageBreakBefore w:val="0"/>
        <w:numPr>
          <w:ilvl w:val="0"/>
          <w:numId w:val="4"/>
        </w:numPr>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因响应文件字迹潦草或表达不清所引起的不利后果由供应商承担。</w:t>
      </w:r>
    </w:p>
    <w:p w14:paraId="50ACAD6C">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.4响应文件的密封</w:t>
      </w:r>
    </w:p>
    <w:p w14:paraId="1469CDBD">
      <w:pPr>
        <w:pageBreakBefore w:val="0"/>
        <w:wordWrap/>
        <w:topLinePunct w:val="0"/>
        <w:autoSpaceDE/>
        <w:autoSpaceDN/>
        <w:bidi w:val="0"/>
        <w:spacing w:line="360" w:lineRule="auto"/>
        <w:ind w:left="0" w:leftChars="0" w:right="0" w:rightChars="0" w:firstLine="600" w:firstLineChars="250"/>
        <w:jc w:val="left"/>
        <w:textAlignment w:val="auto"/>
        <w:rPr>
          <w:rFonts w:hint="eastAsia" w:ascii="宋体" w:hAnsi="宋体" w:eastAsia="宋体" w:cs="宋体"/>
          <w:color w:val="auto"/>
          <w:kern w:val="0"/>
          <w:sz w:val="24"/>
          <w:szCs w:val="28"/>
        </w:rPr>
      </w:pP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eastAsia="宋体" w:cs="宋体"/>
          <w:color w:val="auto"/>
          <w:sz w:val="24"/>
          <w:szCs w:val="28"/>
        </w:rPr>
        <w:t>、响应文件正本、副本应分开封装在单独的封袋中（封袋不得有破损），且在封袋正面标明“正本”“副本”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ascii="宋体" w:hAnsi="宋体" w:cs="宋体"/>
          <w:color w:val="auto"/>
          <w:sz w:val="24"/>
          <w:szCs w:val="28"/>
          <w:lang w:eastAsia="zh-CN"/>
        </w:rPr>
        <w:t>”</w:t>
      </w:r>
      <w:r>
        <w:rPr>
          <w:rFonts w:hint="eastAsia" w:ascii="宋体" w:hAnsi="宋体" w:eastAsia="宋体" w:cs="宋体"/>
          <w:color w:val="auto"/>
          <w:sz w:val="24"/>
          <w:szCs w:val="28"/>
        </w:rPr>
        <w:t>，电子版放置“正本”密封袋内。封袋应加贴封条，并在封线处加盖供应商</w:t>
      </w:r>
      <w:r>
        <w:rPr>
          <w:rFonts w:hint="eastAsia" w:ascii="宋体" w:hAnsi="宋体" w:eastAsia="宋体" w:cs="宋体"/>
          <w:color w:val="auto"/>
          <w:kern w:val="0"/>
          <w:sz w:val="24"/>
          <w:szCs w:val="28"/>
        </w:rPr>
        <w:t>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，封袋正面要粘贴供应商全称、项目名称、编号等标识</w:t>
      </w:r>
      <w:r>
        <w:rPr>
          <w:rFonts w:hint="eastAsia" w:ascii="宋体" w:hAnsi="宋体" w:cs="宋体"/>
          <w:color w:val="auto"/>
          <w:sz w:val="24"/>
          <w:szCs w:val="28"/>
          <w:lang w:eastAsia="zh-CN"/>
        </w:rPr>
        <w:t>且</w:t>
      </w:r>
      <w:r>
        <w:rPr>
          <w:rFonts w:hint="eastAsia" w:ascii="宋体" w:hAnsi="宋体" w:eastAsia="宋体" w:cs="宋体"/>
          <w:color w:val="auto"/>
          <w:kern w:val="0"/>
          <w:sz w:val="24"/>
          <w:szCs w:val="28"/>
        </w:rPr>
        <w:t>响应文件袋上应加盖供应商公章</w:t>
      </w:r>
      <w:r>
        <w:rPr>
          <w:rFonts w:hint="eastAsia" w:ascii="宋体" w:hAnsi="宋体" w:cs="宋体"/>
          <w:color w:val="auto"/>
          <w:kern w:val="0"/>
          <w:sz w:val="24"/>
          <w:szCs w:val="28"/>
          <w:lang w:eastAsia="zh-CN"/>
        </w:rPr>
        <w:t>（</w:t>
      </w:r>
      <w:r>
        <w:rPr>
          <w:rFonts w:hint="eastAsia" w:ascii="宋体" w:hAnsi="宋体" w:eastAsia="宋体" w:cs="宋体"/>
          <w:color w:val="auto"/>
          <w:sz w:val="24"/>
          <w:szCs w:val="28"/>
        </w:rPr>
        <w:t>鲜章</w:t>
      </w:r>
      <w:r>
        <w:rPr>
          <w:rFonts w:hint="eastAsia" w:ascii="宋体" w:hAnsi="宋体" w:cs="宋体"/>
          <w:color w:val="auto"/>
          <w:kern w:val="0"/>
          <w:sz w:val="24"/>
          <w:szCs w:val="28"/>
          <w:lang w:eastAsia="zh-CN"/>
        </w:rPr>
        <w:t>）</w:t>
      </w:r>
      <w:r>
        <w:rPr>
          <w:rFonts w:hint="eastAsia" w:ascii="宋体" w:hAnsi="宋体" w:eastAsia="宋体" w:cs="宋体"/>
          <w:color w:val="auto"/>
          <w:kern w:val="0"/>
          <w:sz w:val="24"/>
          <w:szCs w:val="28"/>
        </w:rPr>
        <w:t>，如果未按上述规定进行密封，供应商的响应文件有权被拒绝</w:t>
      </w:r>
      <w:r>
        <w:rPr>
          <w:rFonts w:hint="eastAsia" w:ascii="宋体" w:hAnsi="宋体" w:eastAsia="宋体" w:cs="宋体"/>
          <w:color w:val="auto"/>
          <w:sz w:val="24"/>
          <w:szCs w:val="28"/>
        </w:rPr>
        <w:t>。</w:t>
      </w:r>
    </w:p>
    <w:p w14:paraId="77C4B044">
      <w:pPr>
        <w:pageBreakBefore w:val="0"/>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如果供应商未按上述要求密封及加写标记，误投或过早启封的响应文件，将自行承担其响应文件被视为无效响应文件的风险。</w:t>
      </w:r>
    </w:p>
    <w:p w14:paraId="5DD50AC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5</w:t>
      </w:r>
      <w:r>
        <w:rPr>
          <w:rFonts w:hint="eastAsia" w:ascii="宋体" w:hAnsi="宋体" w:eastAsia="宋体" w:cs="宋体"/>
          <w:color w:val="auto"/>
          <w:sz w:val="24"/>
          <w:szCs w:val="28"/>
        </w:rPr>
        <w:t>.5本次磋商只接受简体中文文字的响应文件；如响应文件中出现外文资料，必须配以中文译文。否则，由此引发的一切责任由供应商自负。</w:t>
      </w:r>
    </w:p>
    <w:p w14:paraId="7600413E">
      <w:pPr>
        <w:pageBreakBefore w:val="0"/>
        <w:widowControl/>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kern w:val="0"/>
          <w:sz w:val="24"/>
          <w:szCs w:val="28"/>
        </w:rPr>
      </w:pPr>
      <w:r>
        <w:rPr>
          <w:rFonts w:hint="eastAsia" w:ascii="宋体" w:hAnsi="宋体" w:cs="宋体"/>
          <w:color w:val="auto"/>
          <w:kern w:val="0"/>
          <w:sz w:val="24"/>
          <w:szCs w:val="28"/>
          <w:lang w:val="en-US" w:eastAsia="zh-CN"/>
        </w:rPr>
        <w:t>5</w:t>
      </w:r>
      <w:r>
        <w:rPr>
          <w:rFonts w:hint="eastAsia" w:ascii="宋体" w:hAnsi="宋体" w:eastAsia="宋体" w:cs="宋体"/>
          <w:color w:val="auto"/>
          <w:kern w:val="0"/>
          <w:sz w:val="24"/>
          <w:szCs w:val="28"/>
        </w:rPr>
        <w:t>.6拒绝接受以电话、传真、电子邮件形式的磋商。</w:t>
      </w:r>
    </w:p>
    <w:p w14:paraId="6B9C32B9">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32"/>
        </w:rPr>
      </w:pPr>
      <w:bookmarkStart w:id="63" w:name="_Toc19543339"/>
      <w:bookmarkStart w:id="64" w:name="_Toc536429322"/>
      <w:bookmarkStart w:id="65" w:name="_Toc536202382"/>
      <w:bookmarkStart w:id="66" w:name="_Toc4747"/>
      <w:bookmarkStart w:id="67" w:name="_Toc3565"/>
      <w:bookmarkStart w:id="68" w:name="_Toc536202305"/>
      <w:bookmarkStart w:id="69" w:name="_Toc536429375"/>
      <w:bookmarkStart w:id="70" w:name="_Toc3736"/>
      <w:r>
        <w:rPr>
          <w:rFonts w:hint="eastAsia" w:ascii="宋体" w:hAnsi="宋体" w:eastAsia="宋体" w:cs="宋体"/>
          <w:b/>
          <w:bCs/>
          <w:color w:val="auto"/>
          <w:kern w:val="0"/>
          <w:sz w:val="28"/>
          <w:szCs w:val="32"/>
        </w:rPr>
        <w:t>响应文件的递交</w:t>
      </w:r>
      <w:bookmarkEnd w:id="63"/>
      <w:bookmarkEnd w:id="64"/>
      <w:bookmarkEnd w:id="65"/>
      <w:bookmarkEnd w:id="66"/>
      <w:bookmarkEnd w:id="67"/>
      <w:bookmarkEnd w:id="68"/>
      <w:bookmarkEnd w:id="69"/>
      <w:r>
        <w:rPr>
          <w:rFonts w:hint="eastAsia" w:ascii="宋体" w:hAnsi="宋体" w:eastAsia="宋体" w:cs="宋体"/>
          <w:b/>
          <w:bCs/>
          <w:color w:val="auto"/>
          <w:kern w:val="0"/>
          <w:sz w:val="28"/>
          <w:szCs w:val="32"/>
        </w:rPr>
        <w:t xml:space="preserve"> </w:t>
      </w:r>
    </w:p>
    <w:bookmarkEnd w:id="70"/>
    <w:p w14:paraId="57536D52">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1" w:name="_Toc536202306"/>
      <w:bookmarkStart w:id="72" w:name="_Toc3685"/>
      <w:r>
        <w:rPr>
          <w:rFonts w:hint="eastAsia" w:ascii="宋体" w:hAnsi="宋体" w:cs="宋体"/>
          <w:color w:val="auto"/>
          <w:sz w:val="24"/>
          <w:szCs w:val="28"/>
          <w:lang w:val="en-US" w:eastAsia="zh-CN"/>
        </w:rPr>
        <w:t>1.</w:t>
      </w:r>
      <w:r>
        <w:rPr>
          <w:rFonts w:hint="eastAsia" w:ascii="宋体" w:hAnsi="宋体" w:eastAsia="宋体" w:cs="宋体"/>
          <w:color w:val="auto"/>
          <w:sz w:val="24"/>
          <w:szCs w:val="28"/>
        </w:rPr>
        <w:t>响应文件递交</w:t>
      </w:r>
      <w:bookmarkEnd w:id="71"/>
      <w:bookmarkEnd w:id="72"/>
    </w:p>
    <w:p w14:paraId="4E5F6DD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5CF20B1">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1.2代理机构在宣布递交响应文件时间截止之后，拒绝接收任何人送达、递交的响应文件及其他资料；</w:t>
      </w:r>
    </w:p>
    <w:p w14:paraId="0E993133">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1.3代理机构不接受邮寄的响应文件；</w:t>
      </w:r>
    </w:p>
    <w:p w14:paraId="5D6F751B">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1.4无论供应商成交与否，其响应文件恕不退还。</w:t>
      </w:r>
    </w:p>
    <w:p w14:paraId="0733FB3F">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73" w:name="_Toc12741"/>
      <w:bookmarkStart w:id="74" w:name="_Toc536202307"/>
      <w:r>
        <w:rPr>
          <w:rFonts w:hint="eastAsia" w:ascii="宋体" w:hAnsi="宋体" w:cs="宋体"/>
          <w:color w:val="auto"/>
          <w:sz w:val="24"/>
          <w:szCs w:val="28"/>
          <w:lang w:val="en-US" w:eastAsia="zh-CN"/>
        </w:rPr>
        <w:t>2.</w:t>
      </w:r>
      <w:r>
        <w:rPr>
          <w:rFonts w:hint="eastAsia" w:ascii="宋体" w:hAnsi="宋体" w:eastAsia="宋体" w:cs="宋体"/>
          <w:color w:val="auto"/>
          <w:sz w:val="24"/>
          <w:szCs w:val="28"/>
        </w:rPr>
        <w:t>响应文件的修改和撤回</w:t>
      </w:r>
      <w:bookmarkEnd w:id="73"/>
      <w:bookmarkEnd w:id="74"/>
    </w:p>
    <w:p w14:paraId="410C689E">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eastAsia="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17E61F55">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212174EF">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1D4D0427">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2.4投标截止时间之后，供应商不得补充、修改响应文件。</w:t>
      </w:r>
    </w:p>
    <w:p w14:paraId="6EB0544A">
      <w:pPr>
        <w:pageBreakBefore w:val="0"/>
        <w:widowControl/>
        <w:numPr>
          <w:ilvl w:val="0"/>
          <w:numId w:val="2"/>
        </w:numPr>
        <w:wordWrap/>
        <w:topLinePunct w:val="0"/>
        <w:autoSpaceDE/>
        <w:autoSpaceDN/>
        <w:bidi w:val="0"/>
        <w:spacing w:line="360" w:lineRule="auto"/>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75" w:name="_Toc19543340"/>
      <w:bookmarkStart w:id="76" w:name="_Toc536429323"/>
      <w:bookmarkStart w:id="77" w:name="_Toc536202308"/>
      <w:bookmarkStart w:id="78" w:name="_Toc536202383"/>
      <w:bookmarkStart w:id="79" w:name="_Toc175"/>
      <w:bookmarkStart w:id="80" w:name="_Toc14415"/>
      <w:bookmarkStart w:id="81" w:name="_Toc536429376"/>
      <w:bookmarkStart w:id="82" w:name="_Toc27066"/>
      <w:r>
        <w:rPr>
          <w:rFonts w:hint="eastAsia" w:ascii="宋体" w:hAnsi="宋体" w:eastAsia="宋体" w:cs="宋体"/>
          <w:b/>
          <w:bCs/>
          <w:color w:val="auto"/>
          <w:kern w:val="0"/>
          <w:sz w:val="28"/>
          <w:szCs w:val="28"/>
        </w:rPr>
        <w:t>磋商、评审、定标</w:t>
      </w:r>
      <w:bookmarkEnd w:id="75"/>
      <w:bookmarkEnd w:id="76"/>
      <w:bookmarkEnd w:id="77"/>
      <w:bookmarkEnd w:id="78"/>
      <w:bookmarkEnd w:id="79"/>
      <w:bookmarkEnd w:id="80"/>
      <w:bookmarkEnd w:id="81"/>
      <w:bookmarkEnd w:id="82"/>
    </w:p>
    <w:p w14:paraId="6B088C2D">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3" w:name="_Toc536202309"/>
      <w:r>
        <w:rPr>
          <w:rFonts w:hint="eastAsia" w:ascii="宋体" w:hAnsi="宋体" w:cs="宋体"/>
          <w:color w:val="auto"/>
          <w:sz w:val="24"/>
          <w:szCs w:val="28"/>
          <w:lang w:val="en-US" w:eastAsia="zh-CN"/>
        </w:rPr>
        <w:t>1.</w:t>
      </w:r>
      <w:r>
        <w:rPr>
          <w:rFonts w:hint="eastAsia" w:ascii="宋体" w:hAnsi="宋体" w:eastAsia="宋体" w:cs="宋体"/>
          <w:color w:val="auto"/>
          <w:sz w:val="24"/>
          <w:szCs w:val="28"/>
        </w:rPr>
        <w:t>磋商</w:t>
      </w:r>
      <w:bookmarkEnd w:id="83"/>
    </w:p>
    <w:p w14:paraId="39B45FB8">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eastAsia="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306E4370">
      <w:pPr>
        <w:pageBreakBefore w:val="0"/>
        <w:widowControl/>
        <w:tabs>
          <w:tab w:val="left" w:pos="0"/>
        </w:tabs>
        <w:wordWrap/>
        <w:topLinePunct w:val="0"/>
        <w:autoSpaceDE/>
        <w:autoSpaceDN/>
        <w:bidi w:val="0"/>
        <w:spacing w:line="360" w:lineRule="auto"/>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eastAsia="宋体" w:cs="宋体"/>
          <w:color w:val="auto"/>
          <w:sz w:val="24"/>
          <w:szCs w:val="28"/>
        </w:rPr>
        <w:t>密封情况是否与递交时一致，没有被提前启封等异常情况。</w:t>
      </w:r>
    </w:p>
    <w:p w14:paraId="025BCC27">
      <w:pPr>
        <w:pageBreakBefore w:val="0"/>
        <w:wordWrap/>
        <w:overflowPunct w:val="0"/>
        <w:topLinePunct w:val="0"/>
        <w:autoSpaceDE/>
        <w:autoSpaceDN/>
        <w:bidi w:val="0"/>
        <w:adjustRightInd w:val="0"/>
        <w:snapToGrid w:val="0"/>
        <w:spacing w:line="360" w:lineRule="auto"/>
        <w:ind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8"/>
        </w:rPr>
        <w:t>1.3经确认无误后，</w:t>
      </w:r>
      <w:r>
        <w:rPr>
          <w:rFonts w:hint="eastAsia" w:ascii="宋体" w:hAnsi="宋体" w:eastAsia="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将不予拆封。</w:t>
      </w:r>
    </w:p>
    <w:p w14:paraId="087672C5">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eastAsia="宋体" w:cs="宋体"/>
          <w:color w:val="auto"/>
          <w:sz w:val="24"/>
          <w:szCs w:val="24"/>
        </w:rPr>
        <w:t>拆封后，宣读投标人名称</w:t>
      </w:r>
      <w:r>
        <w:rPr>
          <w:rFonts w:hint="eastAsia" w:ascii="宋体" w:hAnsi="宋体" w:eastAsia="宋体" w:cs="宋体"/>
          <w:bCs/>
          <w:color w:val="auto"/>
          <w:sz w:val="24"/>
          <w:szCs w:val="24"/>
        </w:rPr>
        <w:t>。</w:t>
      </w:r>
    </w:p>
    <w:p w14:paraId="2AAE68CA">
      <w:pPr>
        <w:pStyle w:val="4"/>
        <w:pageBreakBefore w:val="0"/>
        <w:numPr>
          <w:ilvl w:val="0"/>
          <w:numId w:val="0"/>
        </w:numPr>
        <w:wordWrap/>
        <w:topLinePunct w:val="0"/>
        <w:autoSpaceDE/>
        <w:autoSpaceDN/>
        <w:bidi w:val="0"/>
        <w:spacing w:line="360" w:lineRule="auto"/>
        <w:ind w:right="0" w:rightChars="0" w:firstLine="482" w:firstLineChars="200"/>
        <w:textAlignment w:val="auto"/>
        <w:rPr>
          <w:rFonts w:hint="eastAsia" w:ascii="宋体" w:hAnsi="宋体" w:eastAsia="宋体" w:cs="宋体"/>
          <w:color w:val="auto"/>
          <w:sz w:val="24"/>
          <w:szCs w:val="28"/>
        </w:rPr>
      </w:pPr>
      <w:bookmarkStart w:id="84" w:name="_Toc536202310"/>
      <w:r>
        <w:rPr>
          <w:rFonts w:hint="eastAsia" w:ascii="宋体" w:hAnsi="宋体" w:cs="宋体"/>
          <w:color w:val="auto"/>
          <w:sz w:val="24"/>
          <w:szCs w:val="28"/>
          <w:lang w:val="en-US" w:eastAsia="zh-CN"/>
        </w:rPr>
        <w:t>2.</w:t>
      </w:r>
      <w:r>
        <w:rPr>
          <w:rFonts w:hint="eastAsia" w:ascii="宋体" w:hAnsi="宋体" w:eastAsia="宋体" w:cs="宋体"/>
          <w:color w:val="auto"/>
          <w:sz w:val="24"/>
          <w:szCs w:val="28"/>
        </w:rPr>
        <w:t>磋商小组</w:t>
      </w:r>
      <w:bookmarkEnd w:id="84"/>
    </w:p>
    <w:p w14:paraId="7ED537FD">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bookmarkStart w:id="85" w:name="_Toc536202311"/>
      <w:bookmarkStart w:id="86" w:name="_Toc27940"/>
      <w:bookmarkStart w:id="87" w:name="_Toc386129876"/>
      <w:bookmarkStart w:id="88" w:name="_Toc28085"/>
      <w:bookmarkStart w:id="89" w:name="_Toc385958808"/>
      <w:r>
        <w:rPr>
          <w:rFonts w:hint="eastAsia" w:ascii="宋体" w:hAnsi="宋体" w:eastAsia="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161994A4">
      <w:pPr>
        <w:pageBreakBefore w:val="0"/>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（1）要严格遵守政府采购相关法律制度，依法履行各自职责，公正、客观、审慎地组织和参与评审工作；</w:t>
      </w:r>
    </w:p>
    <w:p w14:paraId="696E30BD">
      <w:pPr>
        <w:pageBreakBefore w:val="0"/>
        <w:tabs>
          <w:tab w:val="left" w:pos="1200"/>
        </w:tabs>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eastAsia="宋体" w:cs="宋体"/>
          <w:color w:val="auto"/>
          <w:sz w:val="24"/>
        </w:rPr>
        <w:t>；</w:t>
      </w:r>
    </w:p>
    <w:p w14:paraId="5F65456C">
      <w:pPr>
        <w:pageBreakBefore w:val="0"/>
        <w:tabs>
          <w:tab w:val="left" w:pos="1200"/>
        </w:tabs>
        <w:wordWrap/>
        <w:topLinePunct w:val="0"/>
        <w:autoSpaceDE/>
        <w:autoSpaceDN/>
        <w:bidi w:val="0"/>
        <w:spacing w:line="360" w:lineRule="auto"/>
        <w:ind w:left="0" w:leftChars="0" w:right="0" w:rightChars="0" w:firstLine="458" w:firstLineChars="191"/>
        <w:textAlignment w:val="auto"/>
        <w:rPr>
          <w:rFonts w:hint="eastAsia" w:ascii="宋体" w:hAnsi="宋体" w:eastAsia="宋体" w:cs="宋体"/>
          <w:color w:val="auto"/>
          <w:sz w:val="24"/>
        </w:rPr>
      </w:pPr>
      <w:r>
        <w:rPr>
          <w:rFonts w:hint="eastAsia" w:ascii="宋体" w:hAnsi="宋体" w:eastAsia="宋体" w:cs="宋体"/>
          <w:color w:val="auto"/>
          <w:sz w:val="24"/>
        </w:rPr>
        <w:t>（3）按磋商文件规定的评审方法和标准，进行比较和评价；对供应商的价格分等客观评分项的评分应当一致；</w:t>
      </w:r>
    </w:p>
    <w:p w14:paraId="6956CD98">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（4）要求供应商对响应文件有关事项作出解释或澄清；</w:t>
      </w:r>
    </w:p>
    <w:p w14:paraId="6349F60E">
      <w:pPr>
        <w:pageBreakBefore w:val="0"/>
        <w:wordWrap/>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（5）要依法独立评审，按照磋商文件的要求和评标标准进行评标，推荐成交候选供应商名单，对评审意见承担个人责任；</w:t>
      </w:r>
    </w:p>
    <w:p w14:paraId="2E3A91A4">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eastAsia="宋体" w:cs="宋体"/>
          <w:color w:val="auto"/>
          <w:sz w:val="24"/>
        </w:rPr>
        <w:t xml:space="preserve">结论。持不同意见的磋商小组成员应当在评审报告上签署不同意见并说明理由，否则视为同意； </w:t>
      </w:r>
    </w:p>
    <w:p w14:paraId="2EC7B1D6">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（7）对评审情况以及在评审过程中获悉的国家秘密、商业秘密负有保密责任；</w:t>
      </w:r>
    </w:p>
    <w:p w14:paraId="5928C6B1">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配合财政部门的投诉处理工作；</w:t>
      </w:r>
    </w:p>
    <w:p w14:paraId="44A00EE9">
      <w:pPr>
        <w:pageBreakBefore w:val="0"/>
        <w:wordWrap/>
        <w:topLinePunct w:val="0"/>
        <w:autoSpaceDE/>
        <w:autoSpaceDN/>
        <w:bidi w:val="0"/>
        <w:spacing w:line="360" w:lineRule="auto"/>
        <w:ind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9</w:t>
      </w:r>
      <w:r>
        <w:rPr>
          <w:rFonts w:hint="eastAsia" w:ascii="宋体" w:hAnsi="宋体" w:eastAsia="宋体" w:cs="宋体"/>
          <w:color w:val="auto"/>
          <w:sz w:val="24"/>
          <w:lang w:eastAsia="zh-CN"/>
        </w:rPr>
        <w:t>）</w:t>
      </w:r>
      <w:r>
        <w:rPr>
          <w:rFonts w:hint="eastAsia" w:ascii="宋体" w:hAnsi="宋体" w:eastAsia="宋体" w:cs="宋体"/>
          <w:color w:val="auto"/>
          <w:sz w:val="24"/>
        </w:rPr>
        <w:t>配合采购人、采购代理机构答复供应商提出的质疑。</w:t>
      </w:r>
    </w:p>
    <w:bookmarkEnd w:id="85"/>
    <w:bookmarkEnd w:id="86"/>
    <w:bookmarkEnd w:id="87"/>
    <w:bookmarkEnd w:id="88"/>
    <w:bookmarkEnd w:id="89"/>
    <w:p w14:paraId="57FE6785">
      <w:pPr>
        <w:pageBreakBefore w:val="0"/>
        <w:wordWrap/>
        <w:topLinePunct w:val="0"/>
        <w:autoSpaceDE/>
        <w:autoSpaceDN/>
        <w:bidi w:val="0"/>
        <w:spacing w:line="360" w:lineRule="auto"/>
        <w:ind w:right="0" w:rightChars="0" w:firstLine="482" w:firstLineChars="200"/>
        <w:textAlignment w:val="auto"/>
        <w:rPr>
          <w:rFonts w:hint="eastAsia" w:ascii="宋体" w:hAnsi="宋体" w:eastAsia="宋体" w:cs="宋体"/>
          <w:b/>
          <w:color w:val="auto"/>
          <w:sz w:val="24"/>
        </w:rPr>
      </w:pPr>
      <w:bookmarkStart w:id="90" w:name="_Toc536202313"/>
      <w:r>
        <w:rPr>
          <w:rFonts w:hint="eastAsia" w:ascii="宋体" w:hAnsi="宋体" w:cs="宋体"/>
          <w:b/>
          <w:color w:val="auto"/>
          <w:sz w:val="24"/>
          <w:lang w:eastAsia="zh-CN"/>
        </w:rPr>
        <w:t>3.</w:t>
      </w:r>
      <w:r>
        <w:rPr>
          <w:rFonts w:hint="eastAsia" w:ascii="宋体" w:hAnsi="宋体" w:eastAsia="宋体" w:cs="宋体"/>
          <w:b/>
          <w:color w:val="auto"/>
          <w:sz w:val="24"/>
        </w:rPr>
        <w:t>响应文件的初审</w:t>
      </w:r>
    </w:p>
    <w:p w14:paraId="6714E68C">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14:paraId="6F14F6BE">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w:t>
      </w:r>
      <w:r>
        <w:rPr>
          <w:rFonts w:hint="eastAsia" w:ascii="宋体" w:hAnsi="宋体" w:cs="宋体"/>
          <w:color w:val="auto"/>
          <w:sz w:val="24"/>
          <w:lang w:val="en-US" w:eastAsia="zh-CN"/>
        </w:rPr>
        <w:t>第二部分供应商须知前附表第11项</w:t>
      </w:r>
      <w:r>
        <w:rPr>
          <w:rFonts w:hint="eastAsia" w:ascii="宋体" w:hAnsi="宋体" w:eastAsia="宋体" w:cs="宋体"/>
          <w:color w:val="auto"/>
          <w:sz w:val="24"/>
        </w:rPr>
        <w:t>的规定，对供应商的资格证明文件进行审查，以确定供应商是否具备磋商资格。</w:t>
      </w:r>
    </w:p>
    <w:p w14:paraId="5C69E5BF">
      <w:pPr>
        <w:pageBreakBefore w:val="0"/>
        <w:wordWrap/>
        <w:topLinePunct w:val="0"/>
        <w:autoSpaceDE/>
        <w:autoSpaceDN/>
        <w:bidi w:val="0"/>
        <w:spacing w:line="360" w:lineRule="auto"/>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（3）符合性审查：依据磋商文件规定，从响应文件的有效性、完整性和对磋商文件的响应程度进行审查。</w:t>
      </w:r>
    </w:p>
    <w:tbl>
      <w:tblPr>
        <w:tblStyle w:val="3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54BD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ABB9E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76C5F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11A676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C6035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AF48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0D07D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B1AF2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59" w:type="dxa"/>
            <w:tcBorders>
              <w:top w:val="single" w:color="auto" w:sz="4" w:space="0"/>
              <w:left w:val="single" w:color="auto" w:sz="4" w:space="0"/>
              <w:bottom w:val="single" w:color="auto" w:sz="4" w:space="0"/>
              <w:right w:val="single" w:color="auto" w:sz="4" w:space="0"/>
            </w:tcBorders>
            <w:vAlign w:val="center"/>
          </w:tcPr>
          <w:p w14:paraId="6BDAA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0F1F4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w:t>
            </w:r>
          </w:p>
        </w:tc>
        <w:tc>
          <w:tcPr>
            <w:tcW w:w="1002" w:type="dxa"/>
            <w:tcBorders>
              <w:top w:val="single" w:color="auto" w:sz="4" w:space="0"/>
              <w:left w:val="single" w:color="auto" w:sz="4" w:space="0"/>
              <w:bottom w:val="single" w:color="auto" w:sz="4" w:space="0"/>
              <w:right w:val="single" w:color="auto" w:sz="4" w:space="0"/>
            </w:tcBorders>
            <w:vAlign w:val="center"/>
          </w:tcPr>
          <w:p w14:paraId="558FB2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28D83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8BB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5FD2B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w:t>
            </w:r>
          </w:p>
        </w:tc>
        <w:tc>
          <w:tcPr>
            <w:tcW w:w="2359" w:type="dxa"/>
            <w:tcBorders>
              <w:top w:val="single" w:color="auto" w:sz="4" w:space="0"/>
              <w:left w:val="single" w:color="auto" w:sz="4" w:space="0"/>
              <w:bottom w:val="single" w:color="auto" w:sz="4" w:space="0"/>
              <w:right w:val="single" w:color="auto" w:sz="4" w:space="0"/>
            </w:tcBorders>
            <w:vAlign w:val="center"/>
          </w:tcPr>
          <w:p w14:paraId="353C08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封面、投标函、法定代表人委托授权书三处的项目名称、项目编号</w:t>
            </w:r>
          </w:p>
        </w:tc>
        <w:tc>
          <w:tcPr>
            <w:tcW w:w="3770" w:type="dxa"/>
            <w:tcBorders>
              <w:top w:val="single" w:color="auto" w:sz="4" w:space="0"/>
              <w:left w:val="single" w:color="auto" w:sz="4" w:space="0"/>
              <w:bottom w:val="single" w:color="auto" w:sz="4" w:space="0"/>
              <w:right w:val="single" w:color="auto" w:sz="4" w:space="0"/>
            </w:tcBorders>
            <w:vAlign w:val="center"/>
          </w:tcPr>
          <w:p w14:paraId="428F49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1002" w:type="dxa"/>
            <w:tcBorders>
              <w:top w:val="single" w:color="auto" w:sz="4" w:space="0"/>
              <w:left w:val="single" w:color="auto" w:sz="4" w:space="0"/>
              <w:bottom w:val="single" w:color="auto" w:sz="4" w:space="0"/>
              <w:right w:val="single" w:color="auto" w:sz="4" w:space="0"/>
            </w:tcBorders>
            <w:vAlign w:val="center"/>
          </w:tcPr>
          <w:p w14:paraId="3F044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53A30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EBF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28CCEC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p>
        </w:tc>
        <w:tc>
          <w:tcPr>
            <w:tcW w:w="2359" w:type="dxa"/>
            <w:tcBorders>
              <w:top w:val="single" w:color="auto" w:sz="4" w:space="0"/>
              <w:left w:val="single" w:color="auto" w:sz="4" w:space="0"/>
              <w:bottom w:val="single" w:color="auto" w:sz="4" w:space="0"/>
              <w:right w:val="single" w:color="auto" w:sz="4" w:space="0"/>
            </w:tcBorders>
            <w:vAlign w:val="center"/>
          </w:tcPr>
          <w:p w14:paraId="7B8748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签署、盖章</w:t>
            </w:r>
          </w:p>
        </w:tc>
        <w:tc>
          <w:tcPr>
            <w:tcW w:w="3770" w:type="dxa"/>
            <w:tcBorders>
              <w:top w:val="single" w:color="auto" w:sz="4" w:space="0"/>
              <w:left w:val="single" w:color="auto" w:sz="4" w:space="0"/>
              <w:bottom w:val="single" w:color="auto" w:sz="4" w:space="0"/>
              <w:right w:val="single" w:color="auto" w:sz="4" w:space="0"/>
            </w:tcBorders>
            <w:vAlign w:val="center"/>
          </w:tcPr>
          <w:p w14:paraId="4609FD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均按</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vAlign w:val="center"/>
          </w:tcPr>
          <w:p w14:paraId="6F5ABA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7EBC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6D6D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0557C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w:t>
            </w:r>
          </w:p>
        </w:tc>
        <w:tc>
          <w:tcPr>
            <w:tcW w:w="2359" w:type="dxa"/>
            <w:tcBorders>
              <w:top w:val="single" w:color="auto" w:sz="4" w:space="0"/>
              <w:left w:val="single" w:color="auto" w:sz="4" w:space="0"/>
              <w:bottom w:val="single" w:color="auto" w:sz="4" w:space="0"/>
              <w:right w:val="single" w:color="auto" w:sz="4" w:space="0"/>
            </w:tcBorders>
            <w:vAlign w:val="center"/>
          </w:tcPr>
          <w:p w14:paraId="1A67D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组成</w:t>
            </w:r>
          </w:p>
        </w:tc>
        <w:tc>
          <w:tcPr>
            <w:tcW w:w="3770" w:type="dxa"/>
            <w:tcBorders>
              <w:top w:val="single" w:color="auto" w:sz="4" w:space="0"/>
              <w:left w:val="single" w:color="auto" w:sz="4" w:space="0"/>
              <w:bottom w:val="single" w:color="auto" w:sz="4" w:space="0"/>
              <w:right w:val="single" w:color="auto" w:sz="4" w:space="0"/>
            </w:tcBorders>
            <w:vAlign w:val="center"/>
          </w:tcPr>
          <w:p w14:paraId="7A1DF7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响应文件</w:t>
            </w:r>
            <w:r>
              <w:rPr>
                <w:rFonts w:hint="eastAsia" w:ascii="宋体" w:hAnsi="宋体" w:eastAsia="宋体" w:cs="宋体"/>
                <w:b w:val="0"/>
                <w:bCs w:val="0"/>
                <w:color w:val="auto"/>
                <w:sz w:val="24"/>
                <w:szCs w:val="24"/>
                <w:highlight w:val="none"/>
              </w:rPr>
              <w:t>应包含以下内容：</w:t>
            </w:r>
          </w:p>
          <w:p w14:paraId="24C08B33">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第一章   响应函</w:t>
            </w:r>
          </w:p>
          <w:p w14:paraId="024E6A0F">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第二章   响应报价表</w:t>
            </w:r>
          </w:p>
          <w:p w14:paraId="60E163EB">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xml:space="preserve">第三章   </w:t>
            </w:r>
            <w:r>
              <w:rPr>
                <w:rFonts w:hint="eastAsia" w:ascii="宋体" w:hAnsi="宋体" w:eastAsia="宋体" w:cs="宋体"/>
                <w:b w:val="0"/>
                <w:bCs w:val="0"/>
                <w:color w:val="auto"/>
                <w:kern w:val="0"/>
                <w:sz w:val="24"/>
                <w:szCs w:val="24"/>
                <w:highlight w:val="none"/>
                <w:lang w:val="en-US" w:eastAsia="zh-CN"/>
              </w:rPr>
              <w:t>已标价工程量清单</w:t>
            </w:r>
          </w:p>
          <w:p w14:paraId="6F8E857F">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第四章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eastAsia="宋体" w:cs="宋体"/>
                <w:b w:val="0"/>
                <w:bCs w:val="0"/>
                <w:color w:val="auto"/>
                <w:kern w:val="0"/>
                <w:sz w:val="24"/>
                <w:szCs w:val="24"/>
                <w:highlight w:val="none"/>
              </w:rPr>
              <w:t>供应商</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p>
          <w:p w14:paraId="733008F1">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第五章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cs="宋体"/>
                <w:b w:val="0"/>
                <w:bCs w:val="0"/>
                <w:color w:val="auto"/>
                <w:kern w:val="0"/>
                <w:sz w:val="24"/>
                <w:szCs w:val="24"/>
                <w:highlight w:val="none"/>
                <w:lang w:val="en-US" w:eastAsia="zh-CN"/>
              </w:rPr>
              <w:t>技术商务响应偏离表</w:t>
            </w:r>
          </w:p>
          <w:p w14:paraId="70B08CB2">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第六章</w:t>
            </w:r>
            <w:r>
              <w:rPr>
                <w:rFonts w:hint="eastAsia" w:ascii="宋体" w:hAnsi="宋体" w:eastAsia="宋体" w:cs="宋体"/>
                <w:b w:val="0"/>
                <w:bCs w:val="0"/>
                <w:color w:val="auto"/>
                <w:kern w:val="0"/>
                <w:sz w:val="24"/>
                <w:szCs w:val="24"/>
                <w:highlight w:val="none"/>
                <w:lang w:val="en-US" w:eastAsia="zh-CN"/>
              </w:rPr>
              <w:t xml:space="preserve">   </w:t>
            </w:r>
            <w:r>
              <w:rPr>
                <w:rFonts w:hint="eastAsia" w:ascii="宋体" w:hAnsi="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rPr>
              <w:t>方案</w:t>
            </w:r>
          </w:p>
          <w:p w14:paraId="0948D854">
            <w:pPr>
              <w:pStyle w:val="20"/>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288" w:lineRule="auto"/>
              <w:ind w:left="0" w:right="0" w:rightChars="0"/>
              <w:jc w:val="both"/>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 xml:space="preserve">第七章   </w:t>
            </w:r>
            <w:r>
              <w:rPr>
                <w:rFonts w:hint="eastAsia" w:ascii="宋体" w:hAnsi="宋体" w:eastAsia="宋体" w:cs="宋体"/>
                <w:b w:val="0"/>
                <w:bCs w:val="0"/>
                <w:color w:val="auto"/>
                <w:kern w:val="0"/>
                <w:sz w:val="24"/>
                <w:szCs w:val="24"/>
                <w:highlight w:val="none"/>
              </w:rPr>
              <w:t>供应商承诺书</w:t>
            </w:r>
          </w:p>
        </w:tc>
        <w:tc>
          <w:tcPr>
            <w:tcW w:w="1002" w:type="dxa"/>
            <w:tcBorders>
              <w:top w:val="single" w:color="auto" w:sz="4" w:space="0"/>
              <w:left w:val="single" w:color="auto" w:sz="4" w:space="0"/>
              <w:bottom w:val="single" w:color="auto" w:sz="4" w:space="0"/>
              <w:right w:val="single" w:color="auto" w:sz="4" w:space="0"/>
            </w:tcBorders>
            <w:vAlign w:val="center"/>
          </w:tcPr>
          <w:p w14:paraId="0FCB6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3371C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4A64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4E9BB5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w:t>
            </w:r>
          </w:p>
        </w:tc>
        <w:tc>
          <w:tcPr>
            <w:tcW w:w="2359" w:type="dxa"/>
            <w:tcBorders>
              <w:top w:val="single" w:color="auto" w:sz="4" w:space="0"/>
              <w:left w:val="single" w:color="auto" w:sz="4" w:space="0"/>
              <w:bottom w:val="single" w:color="auto" w:sz="4" w:space="0"/>
              <w:right w:val="single" w:color="auto" w:sz="4" w:space="0"/>
            </w:tcBorders>
            <w:vAlign w:val="center"/>
          </w:tcPr>
          <w:p w14:paraId="46C750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响应文件</w:t>
            </w:r>
            <w:r>
              <w:rPr>
                <w:rFonts w:hint="eastAsia" w:ascii="宋体" w:hAnsi="宋体" w:eastAsia="宋体" w:cs="宋体"/>
                <w:bCs/>
                <w:color w:val="auto"/>
                <w:kern w:val="0"/>
                <w:sz w:val="24"/>
                <w:szCs w:val="24"/>
                <w:highlight w:val="none"/>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32F61D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color w:val="auto"/>
                <w:sz w:val="24"/>
                <w:szCs w:val="24"/>
                <w:highlight w:val="none"/>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C971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4DCDCC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26A5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6DBA9E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p>
        </w:tc>
        <w:tc>
          <w:tcPr>
            <w:tcW w:w="2359" w:type="dxa"/>
            <w:tcBorders>
              <w:top w:val="single" w:color="auto" w:sz="4" w:space="0"/>
              <w:left w:val="single" w:color="auto" w:sz="4" w:space="0"/>
              <w:bottom w:val="single" w:color="auto" w:sz="4" w:space="0"/>
              <w:right w:val="single" w:color="auto" w:sz="4" w:space="0"/>
            </w:tcBorders>
            <w:vAlign w:val="center"/>
          </w:tcPr>
          <w:p w14:paraId="368139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投标报价</w:t>
            </w:r>
          </w:p>
        </w:tc>
        <w:tc>
          <w:tcPr>
            <w:tcW w:w="3770" w:type="dxa"/>
            <w:tcBorders>
              <w:top w:val="single" w:color="auto" w:sz="4" w:space="0"/>
              <w:left w:val="single" w:color="auto" w:sz="4" w:space="0"/>
              <w:bottom w:val="single" w:color="auto" w:sz="4" w:space="0"/>
              <w:right w:val="single" w:color="auto" w:sz="4" w:space="0"/>
            </w:tcBorders>
            <w:vAlign w:val="center"/>
          </w:tcPr>
          <w:p w14:paraId="78568A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（1）投标报价符合唯一性要求：</w:t>
            </w:r>
          </w:p>
          <w:p w14:paraId="66901F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47C9C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（3）未超出采购预算或</w:t>
            </w:r>
            <w:r>
              <w:rPr>
                <w:rFonts w:hint="eastAsia" w:ascii="宋体" w:hAnsi="宋体" w:cs="宋体"/>
                <w:color w:val="auto"/>
                <w:sz w:val="24"/>
                <w:szCs w:val="24"/>
                <w:lang w:val="en-US" w:eastAsia="zh-CN"/>
              </w:rPr>
              <w:t>竞争性磋商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规定的最高限价；</w:t>
            </w:r>
          </w:p>
        </w:tc>
        <w:tc>
          <w:tcPr>
            <w:tcW w:w="1002" w:type="dxa"/>
            <w:tcBorders>
              <w:top w:val="single" w:color="auto" w:sz="4" w:space="0"/>
              <w:left w:val="single" w:color="auto" w:sz="4" w:space="0"/>
              <w:bottom w:val="single" w:color="auto" w:sz="4" w:space="0"/>
              <w:right w:val="single" w:color="auto" w:sz="4" w:space="0"/>
            </w:tcBorders>
            <w:vAlign w:val="center"/>
          </w:tcPr>
          <w:p w14:paraId="47ED07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6D3F25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38D48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3B2A1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w:t>
            </w:r>
          </w:p>
        </w:tc>
        <w:tc>
          <w:tcPr>
            <w:tcW w:w="2359" w:type="dxa"/>
            <w:tcBorders>
              <w:top w:val="single" w:color="auto" w:sz="4" w:space="0"/>
              <w:left w:val="single" w:color="auto" w:sz="4" w:space="0"/>
              <w:bottom w:val="single" w:color="auto" w:sz="4" w:space="0"/>
              <w:right w:val="single" w:color="auto" w:sz="4" w:space="0"/>
            </w:tcBorders>
            <w:vAlign w:val="center"/>
          </w:tcPr>
          <w:p w14:paraId="1E6CC0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w:t>
            </w:r>
            <w:r>
              <w:rPr>
                <w:rFonts w:hint="eastAsia" w:ascii="宋体" w:hAnsi="宋体" w:eastAsia="宋体" w:cs="宋体"/>
                <w:bCs/>
                <w:color w:val="auto"/>
                <w:kern w:val="0"/>
                <w:sz w:val="24"/>
                <w:szCs w:val="24"/>
                <w:highlight w:val="none"/>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763438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highlight w:val="none"/>
              </w:rPr>
              <w:t>文件要求的各项实质性条款。</w:t>
            </w:r>
          </w:p>
        </w:tc>
        <w:tc>
          <w:tcPr>
            <w:tcW w:w="1002" w:type="dxa"/>
            <w:tcBorders>
              <w:top w:val="single" w:color="auto" w:sz="4" w:space="0"/>
              <w:left w:val="single" w:color="auto" w:sz="4" w:space="0"/>
              <w:bottom w:val="single" w:color="auto" w:sz="4" w:space="0"/>
              <w:right w:val="single" w:color="auto" w:sz="4" w:space="0"/>
            </w:tcBorders>
            <w:vAlign w:val="center"/>
          </w:tcPr>
          <w:p w14:paraId="159CF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1B8AD8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r w14:paraId="70CBF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vAlign w:val="center"/>
          </w:tcPr>
          <w:p w14:paraId="772EB6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359" w:type="dxa"/>
            <w:tcBorders>
              <w:top w:val="single" w:color="auto" w:sz="4" w:space="0"/>
              <w:left w:val="single" w:color="auto" w:sz="4" w:space="0"/>
              <w:bottom w:val="single" w:color="auto" w:sz="4" w:space="0"/>
              <w:right w:val="single" w:color="auto" w:sz="4" w:space="0"/>
            </w:tcBorders>
            <w:vAlign w:val="center"/>
          </w:tcPr>
          <w:p w14:paraId="1FED31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089564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w:t>
            </w:r>
            <w:r>
              <w:rPr>
                <w:rFonts w:hint="eastAsia" w:ascii="宋体" w:hAnsi="宋体" w:cs="宋体"/>
                <w:color w:val="auto"/>
                <w:sz w:val="24"/>
                <w:szCs w:val="24"/>
                <w:highlight w:val="none"/>
                <w:lang w:val="en-US" w:eastAsia="zh-CN"/>
              </w:rPr>
              <w:t>全理解并接受</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1002" w:type="dxa"/>
            <w:tcBorders>
              <w:top w:val="single" w:color="auto" w:sz="4" w:space="0"/>
              <w:left w:val="single" w:color="auto" w:sz="4" w:space="0"/>
              <w:bottom w:val="single" w:color="auto" w:sz="4" w:space="0"/>
              <w:right w:val="single" w:color="auto" w:sz="4" w:space="0"/>
            </w:tcBorders>
            <w:vAlign w:val="center"/>
          </w:tcPr>
          <w:p w14:paraId="11CFF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1497" w:type="dxa"/>
            <w:tcBorders>
              <w:top w:val="single" w:color="auto" w:sz="4" w:space="0"/>
              <w:left w:val="single" w:color="auto" w:sz="4" w:space="0"/>
              <w:bottom w:val="single" w:color="auto" w:sz="4" w:space="0"/>
              <w:right w:val="single" w:color="auto" w:sz="4" w:space="0"/>
            </w:tcBorders>
            <w:vAlign w:val="center"/>
          </w:tcPr>
          <w:p w14:paraId="033249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r>
    </w:tbl>
    <w:p w14:paraId="3AC6117B">
      <w:pPr>
        <w:pStyle w:val="11"/>
        <w:rPr>
          <w:rFonts w:hint="eastAsia"/>
          <w:color w:val="auto"/>
        </w:rPr>
      </w:pPr>
    </w:p>
    <w:p w14:paraId="1326881F">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14:paraId="33FC1D6E">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w:t>
      </w:r>
      <w:r>
        <w:rPr>
          <w:rFonts w:hint="eastAsia" w:ascii="宋体" w:hAnsi="宋体" w:cs="宋体"/>
          <w:color w:val="auto"/>
          <w:sz w:val="24"/>
          <w:lang w:eastAsia="zh-CN"/>
        </w:rPr>
        <w:t>.</w:t>
      </w:r>
      <w:r>
        <w:rPr>
          <w:rFonts w:hint="eastAsia" w:ascii="宋体" w:hAnsi="宋体" w:eastAsia="宋体" w:cs="宋体"/>
          <w:color w:val="auto"/>
          <w:sz w:val="24"/>
        </w:rPr>
        <w:t>响应文件中响应报价表内容与响应文件中明细内容不一致的，以响应报价表为准；</w:t>
      </w:r>
    </w:p>
    <w:p w14:paraId="31065DD7">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w:t>
      </w:r>
      <w:r>
        <w:rPr>
          <w:rFonts w:hint="eastAsia" w:ascii="宋体" w:hAnsi="宋体" w:cs="宋体"/>
          <w:color w:val="auto"/>
          <w:sz w:val="24"/>
          <w:lang w:eastAsia="zh-CN"/>
        </w:rPr>
        <w:t>.</w:t>
      </w:r>
      <w:r>
        <w:rPr>
          <w:rFonts w:hint="eastAsia" w:ascii="宋体" w:hAnsi="宋体" w:eastAsia="宋体" w:cs="宋体"/>
          <w:color w:val="auto"/>
          <w:sz w:val="24"/>
        </w:rPr>
        <w:t>大写金额和小写金额不一致的，以大写金额为准；</w:t>
      </w:r>
    </w:p>
    <w:p w14:paraId="7FADD25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w:t>
      </w:r>
      <w:r>
        <w:rPr>
          <w:rFonts w:hint="eastAsia" w:ascii="宋体" w:hAnsi="宋体" w:cs="宋体"/>
          <w:color w:val="auto"/>
          <w:sz w:val="24"/>
          <w:lang w:eastAsia="zh-CN"/>
        </w:rPr>
        <w:t>.</w:t>
      </w:r>
      <w:r>
        <w:rPr>
          <w:rFonts w:hint="eastAsia" w:ascii="宋体" w:hAnsi="宋体" w:eastAsia="宋体" w:cs="宋体"/>
          <w:color w:val="auto"/>
          <w:sz w:val="24"/>
        </w:rPr>
        <w:t>单价金额小数点或者百分比有明显错位的，以响应报价表的总价为准，并修改单价；</w:t>
      </w:r>
    </w:p>
    <w:p w14:paraId="6593EE3C">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 xml:space="preserve">总价金额与按单价汇总金额不一致的，以单价金额计算结果为准； </w:t>
      </w:r>
    </w:p>
    <w:p w14:paraId="6898898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响应文件正本与副本不一致的，以正本为准；</w:t>
      </w:r>
    </w:p>
    <w:p w14:paraId="1A27C510">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w:t>
      </w:r>
      <w:r>
        <w:rPr>
          <w:rFonts w:hint="eastAsia" w:ascii="宋体" w:hAnsi="宋体" w:cs="宋体"/>
          <w:color w:val="auto"/>
          <w:sz w:val="24"/>
          <w:lang w:eastAsia="zh-CN"/>
        </w:rPr>
        <w:t>.</w:t>
      </w:r>
      <w:r>
        <w:rPr>
          <w:rFonts w:hint="eastAsia" w:ascii="宋体" w:hAnsi="宋体" w:eastAsia="宋体" w:cs="宋体"/>
          <w:color w:val="auto"/>
          <w:sz w:val="24"/>
        </w:rPr>
        <w:t>多处内容交叉不符时，以磋商小组评审结果为准；</w:t>
      </w:r>
    </w:p>
    <w:p w14:paraId="631F5E87">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textAlignment w:val="auto"/>
        <w:outlineLvl w:val="9"/>
        <w:rPr>
          <w:rFonts w:hint="eastAsia" w:ascii="宋体" w:hAnsi="宋体" w:eastAsia="宋体" w:cs="宋体"/>
          <w:color w:val="auto"/>
          <w:sz w:val="24"/>
          <w:u w:val="none"/>
        </w:rPr>
      </w:pPr>
      <w:r>
        <w:rPr>
          <w:rFonts w:hint="eastAsia" w:ascii="宋体" w:hAnsi="宋体" w:eastAsia="宋体" w:cs="宋体"/>
          <w:color w:val="auto"/>
          <w:sz w:val="24"/>
          <w:u w:val="none"/>
        </w:rPr>
        <w:t xml:space="preserve"> G</w:t>
      </w:r>
      <w:r>
        <w:rPr>
          <w:rFonts w:hint="eastAsia" w:ascii="宋体" w:hAnsi="宋体" w:cs="宋体"/>
          <w:color w:val="auto"/>
          <w:sz w:val="24"/>
          <w:u w:val="none"/>
          <w:lang w:eastAsia="zh-CN"/>
        </w:rPr>
        <w:t>.</w:t>
      </w:r>
      <w:r>
        <w:rPr>
          <w:rFonts w:hint="eastAsia" w:ascii="宋体" w:hAnsi="宋体" w:eastAsia="宋体" w:cs="宋体"/>
          <w:color w:val="auto"/>
          <w:sz w:val="24"/>
          <w:u w:val="none"/>
        </w:rPr>
        <w:t>文字与图表不符的，以文字为准。</w:t>
      </w:r>
    </w:p>
    <w:p w14:paraId="05F70B69">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4EB993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（5）磋商开始后，直到向成交供应商授予合同为止，凡审查、澄清、评价和比较磋商的有关资料，磋商小组成员均不得向供应商及与磋商无关的其他人透露。</w:t>
      </w:r>
    </w:p>
    <w:p w14:paraId="2B1DF9D9">
      <w:pPr>
        <w:pageBreakBefore w:val="0"/>
        <w:kinsoku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b/>
          <w:color w:val="auto"/>
          <w:sz w:val="24"/>
        </w:rPr>
      </w:pPr>
      <w:r>
        <w:rPr>
          <w:rFonts w:hint="eastAsia" w:ascii="宋体" w:hAnsi="宋体" w:cs="宋体"/>
          <w:b/>
          <w:color w:val="auto"/>
          <w:sz w:val="24"/>
          <w:lang w:val="en-US" w:eastAsia="zh-CN"/>
        </w:rPr>
        <w:t>4.</w:t>
      </w:r>
      <w:r>
        <w:rPr>
          <w:rFonts w:hint="eastAsia" w:ascii="宋体" w:hAnsi="宋体" w:eastAsia="宋体" w:cs="宋体"/>
          <w:b/>
          <w:color w:val="auto"/>
          <w:sz w:val="24"/>
        </w:rPr>
        <w:t>有下列情形之一的，视为供应商串通投标，磋商小组应当认定其响应文件无效：</w:t>
      </w:r>
    </w:p>
    <w:p w14:paraId="5135B9EA">
      <w:pPr>
        <w:pageBreakBefore w:val="0"/>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kern w:val="0"/>
          <w:sz w:val="22"/>
          <w:szCs w:val="22"/>
        </w:rPr>
      </w:pPr>
      <w:r>
        <w:rPr>
          <w:rFonts w:hint="eastAsia" w:ascii="宋体" w:hAnsi="宋体" w:eastAsia="宋体" w:cs="宋体"/>
          <w:color w:val="auto"/>
          <w:sz w:val="24"/>
        </w:rPr>
        <w:t>A</w:t>
      </w:r>
      <w:r>
        <w:rPr>
          <w:rFonts w:hint="eastAsia" w:ascii="宋体" w:hAnsi="宋体" w:cs="宋体"/>
          <w:color w:val="auto"/>
          <w:sz w:val="24"/>
          <w:lang w:val="en-US" w:eastAsia="zh-CN"/>
        </w:rPr>
        <w:t>.</w:t>
      </w:r>
      <w:r>
        <w:rPr>
          <w:rFonts w:hint="eastAsia" w:ascii="宋体" w:hAnsi="宋体" w:eastAsia="宋体" w:cs="宋体"/>
          <w:color w:val="auto"/>
          <w:sz w:val="24"/>
        </w:rPr>
        <w:t>不同供应商的响应文件由同一单位或者个人编制；</w:t>
      </w:r>
    </w:p>
    <w:p w14:paraId="0CA9418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w:t>
      </w:r>
      <w:r>
        <w:rPr>
          <w:rFonts w:hint="eastAsia" w:ascii="宋体" w:hAnsi="宋体" w:cs="宋体"/>
          <w:color w:val="auto"/>
          <w:sz w:val="24"/>
          <w:lang w:eastAsia="zh-CN"/>
        </w:rPr>
        <w:t>.</w:t>
      </w:r>
      <w:r>
        <w:rPr>
          <w:rFonts w:hint="eastAsia" w:ascii="宋体" w:hAnsi="宋体" w:eastAsia="宋体" w:cs="宋体"/>
          <w:color w:val="auto"/>
          <w:sz w:val="24"/>
        </w:rPr>
        <w:t xml:space="preserve">不同供应商委托同一单位或者个人办理磋商事宜； </w:t>
      </w:r>
    </w:p>
    <w:p w14:paraId="71AC1CE4">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w:t>
      </w:r>
      <w:r>
        <w:rPr>
          <w:rFonts w:hint="eastAsia" w:ascii="宋体" w:hAnsi="宋体" w:cs="宋体"/>
          <w:color w:val="auto"/>
          <w:sz w:val="24"/>
          <w:lang w:eastAsia="zh-CN"/>
        </w:rPr>
        <w:t>.</w:t>
      </w:r>
      <w:r>
        <w:rPr>
          <w:rFonts w:hint="eastAsia" w:ascii="宋体" w:hAnsi="宋体" w:eastAsia="宋体" w:cs="宋体"/>
          <w:color w:val="auto"/>
          <w:sz w:val="24"/>
        </w:rPr>
        <w:t>不同供应商的响应文件载明的项目管理成员或者联系人员为同一人；</w:t>
      </w:r>
    </w:p>
    <w:p w14:paraId="54D7C239">
      <w:pPr>
        <w:pageBreakBefore w:val="0"/>
        <w:widowControl/>
        <w:wordWrap/>
        <w:overflowPunct/>
        <w:topLinePunct w:val="0"/>
        <w:autoSpaceDE/>
        <w:autoSpaceDN/>
        <w:bidi w:val="0"/>
        <w:adjustRightInd/>
        <w:snapToGrid/>
        <w:spacing w:line="500" w:lineRule="exact"/>
        <w:ind w:left="0" w:leftChars="0" w:right="0" w:rightChars="0"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cs="宋体"/>
          <w:color w:val="auto"/>
          <w:sz w:val="24"/>
          <w:lang w:eastAsia="zh-CN"/>
        </w:rPr>
        <w:t>.</w:t>
      </w:r>
      <w:r>
        <w:rPr>
          <w:rFonts w:hint="eastAsia" w:ascii="宋体" w:hAnsi="宋体" w:eastAsia="宋体" w:cs="宋体"/>
          <w:color w:val="auto"/>
          <w:sz w:val="24"/>
        </w:rPr>
        <w:t>不同供应商的响应文件异常一致或者磋商报价呈规律性差异；</w:t>
      </w:r>
    </w:p>
    <w:p w14:paraId="254CED1F">
      <w:pPr>
        <w:pageBreakBefore w:val="0"/>
        <w:widowControl/>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 E</w:t>
      </w:r>
      <w:r>
        <w:rPr>
          <w:rFonts w:hint="eastAsia" w:ascii="宋体" w:hAnsi="宋体" w:cs="宋体"/>
          <w:color w:val="auto"/>
          <w:sz w:val="24"/>
          <w:lang w:eastAsia="zh-CN"/>
        </w:rPr>
        <w:t>.</w:t>
      </w:r>
      <w:r>
        <w:rPr>
          <w:rFonts w:hint="eastAsia" w:ascii="宋体" w:hAnsi="宋体" w:eastAsia="宋体" w:cs="宋体"/>
          <w:color w:val="auto"/>
          <w:sz w:val="24"/>
        </w:rPr>
        <w:t>不同供应商的响应文件相互混装</w:t>
      </w:r>
      <w:r>
        <w:rPr>
          <w:rFonts w:hint="eastAsia" w:ascii="宋体" w:hAnsi="宋体" w:cs="宋体"/>
          <w:color w:val="auto"/>
          <w:sz w:val="24"/>
          <w:lang w:eastAsia="zh-CN"/>
        </w:rPr>
        <w:t>。</w:t>
      </w:r>
    </w:p>
    <w:p w14:paraId="32AD5E84">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澄清</w:t>
      </w:r>
    </w:p>
    <w:p w14:paraId="0FD2FD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26F68B">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kern w:val="2"/>
          <w:sz w:val="24"/>
          <w:szCs w:val="24"/>
          <w:lang w:val="en-US" w:eastAsia="zh-CN" w:bidi="ar"/>
        </w:rPr>
        <w:t>工期、付款方式、安全指标、质量指标、主要技术指标等</w:t>
      </w:r>
      <w:r>
        <w:rPr>
          <w:rFonts w:hint="eastAsia" w:ascii="宋体" w:hAnsi="宋体" w:eastAsia="宋体" w:cs="宋体"/>
          <w:color w:val="auto"/>
          <w:sz w:val="24"/>
        </w:rPr>
        <w:t>。</w:t>
      </w:r>
    </w:p>
    <w:p w14:paraId="505E6C53">
      <w:pPr>
        <w:pageBreakBefore w:val="0"/>
        <w:widowControl/>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65F5D166">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12947"/>
      <w:bookmarkStart w:id="92" w:name="_Toc536202314"/>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22709A61">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w:t>
      </w:r>
    </w:p>
    <w:p w14:paraId="4531A912">
      <w:pPr>
        <w:pageBreakBefore w:val="0"/>
        <w:wordWrap/>
        <w:overflowPunct/>
        <w:topLinePunct w:val="0"/>
        <w:autoSpaceDE/>
        <w:autoSpaceDN/>
        <w:bidi w:val="0"/>
        <w:adjustRightInd/>
        <w:snapToGrid/>
        <w:spacing w:line="500" w:lineRule="exact"/>
        <w:ind w:left="0" w:leftChars="0" w:right="0" w:rightChars="0"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kern w:val="2"/>
          <w:sz w:val="24"/>
          <w:szCs w:val="24"/>
          <w:lang w:val="en-US" w:eastAsia="zh-CN" w:bidi="ar"/>
        </w:rPr>
        <w:t>采用综合评分法：在满足磋商文件所有实质性要求前提下，提交最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报价。如采购需求没有实质性变化，各供应商的报价应不高于一次报价，</w:t>
      </w:r>
      <w:r>
        <w:rPr>
          <w:rFonts w:hint="eastAsia" w:ascii="宋体" w:hAnsi="宋体" w:cs="宋体"/>
          <w:kern w:val="2"/>
          <w:sz w:val="24"/>
          <w:szCs w:val="24"/>
          <w:lang w:val="en-US" w:eastAsia="zh-CN" w:bidi="ar"/>
        </w:rPr>
        <w:t>最后</w:t>
      </w:r>
      <w:r>
        <w:rPr>
          <w:rFonts w:hint="eastAsia" w:ascii="宋体" w:hAnsi="宋体" w:eastAsia="宋体" w:cs="宋体"/>
          <w:kern w:val="2"/>
          <w:sz w:val="24"/>
          <w:szCs w:val="24"/>
          <w:lang w:val="en-US" w:eastAsia="zh-CN" w:bidi="ar"/>
        </w:rPr>
        <w:t>报价高于一次报价的，为无效报价，按无效文件处理。最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color w:val="auto"/>
          <w:sz w:val="24"/>
        </w:rPr>
        <w:t xml:space="preserve"> </w:t>
      </w: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6D642ED6">
      <w:pPr>
        <w:pageBreakBefore w:val="0"/>
        <w:wordWrap/>
        <w:overflowPunct/>
        <w:topLinePunct w:val="0"/>
        <w:autoSpaceDE/>
        <w:autoSpaceDN/>
        <w:bidi w:val="0"/>
        <w:adjustRightInd/>
        <w:snapToGrid/>
        <w:spacing w:line="500" w:lineRule="exact"/>
        <w:ind w:left="0" w:leftChars="0" w:right="0" w:rightChars="0" w:firstLine="240" w:firstLineChars="100"/>
        <w:textAlignment w:val="auto"/>
        <w:rPr>
          <w:rFonts w:hint="eastAsia" w:ascii="宋体" w:hAnsi="宋体" w:eastAsia="宋体" w:cs="宋体"/>
          <w:color w:val="auto"/>
          <w:sz w:val="24"/>
        </w:rPr>
      </w:pPr>
      <w:r>
        <w:rPr>
          <w:rFonts w:hint="eastAsia" w:ascii="宋体" w:hAnsi="宋体" w:eastAsia="宋体" w:cs="宋体"/>
          <w:kern w:val="2"/>
          <w:sz w:val="24"/>
          <w:szCs w:val="21"/>
          <w:lang w:val="en-US" w:eastAsia="zh-CN" w:bidi="ar"/>
        </w:rPr>
        <w:t>（5）磋商小组须对畸高、畸低的重大差异评分进行复核或书面说明理由。</w:t>
      </w:r>
    </w:p>
    <w:p w14:paraId="48956C08">
      <w:pPr>
        <w:pStyle w:val="4"/>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定标</w:t>
      </w:r>
      <w:bookmarkEnd w:id="91"/>
      <w:bookmarkEnd w:id="92"/>
    </w:p>
    <w:p w14:paraId="0AB8A12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.1代理机构在评审结束后2个工作日内将评审报告送达采购单位，采购单位在收到评审报告后5个工作日内，按照评审报告中推荐的成交候选人顺序确认第一成交候选人为成交单位，同时书面复函代理机构；</w:t>
      </w:r>
    </w:p>
    <w:p w14:paraId="0D11C00F">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val="en-US" w:eastAsia="zh-CN"/>
        </w:rPr>
        <w:t>7</w:t>
      </w:r>
      <w:r>
        <w:rPr>
          <w:rFonts w:hint="eastAsia" w:ascii="宋体" w:hAnsi="宋体" w:eastAsia="宋体" w:cs="宋体"/>
          <w:color w:val="auto"/>
          <w:sz w:val="24"/>
          <w:szCs w:val="28"/>
        </w:rPr>
        <w:t>.2代理机构收到采购单位“</w:t>
      </w:r>
      <w:r>
        <w:rPr>
          <w:rFonts w:hint="eastAsia" w:ascii="宋体" w:hAnsi="宋体" w:cs="宋体"/>
          <w:color w:val="auto"/>
          <w:sz w:val="24"/>
          <w:szCs w:val="28"/>
          <w:lang w:val="en-US" w:eastAsia="zh-CN"/>
        </w:rPr>
        <w:t>成交供应商</w:t>
      </w:r>
      <w:r>
        <w:rPr>
          <w:rFonts w:hint="eastAsia" w:ascii="宋体" w:hAnsi="宋体" w:eastAsia="宋体" w:cs="宋体"/>
          <w:color w:val="auto"/>
          <w:sz w:val="24"/>
          <w:szCs w:val="28"/>
        </w:rPr>
        <w:t>复函”后2</w:t>
      </w:r>
      <w:r>
        <w:rPr>
          <w:rFonts w:hint="eastAsia" w:ascii="宋体" w:hAnsi="宋体" w:cs="宋体"/>
          <w:color w:val="auto"/>
          <w:sz w:val="24"/>
          <w:szCs w:val="28"/>
          <w:lang w:val="en-US" w:eastAsia="zh-CN"/>
        </w:rPr>
        <w:t>个工作</w:t>
      </w:r>
      <w:r>
        <w:rPr>
          <w:rFonts w:hint="eastAsia" w:ascii="宋体" w:hAnsi="宋体" w:eastAsia="宋体" w:cs="宋体"/>
          <w:color w:val="auto"/>
          <w:sz w:val="24"/>
          <w:szCs w:val="28"/>
        </w:rPr>
        <w:t>日内，在财政部门指定的政府采购信息媒体上发布公告，并向成交供应商发出“成交通知书”。</w:t>
      </w:r>
    </w:p>
    <w:p w14:paraId="69AEEB6F">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93" w:name="_Toc536429324"/>
      <w:bookmarkStart w:id="94" w:name="_Toc25308"/>
      <w:bookmarkStart w:id="95" w:name="_Toc536202315"/>
      <w:bookmarkStart w:id="96" w:name="_Toc11870"/>
      <w:bookmarkStart w:id="97" w:name="_Toc536429377"/>
      <w:bookmarkStart w:id="98" w:name="_Toc19543341"/>
      <w:bookmarkStart w:id="99" w:name="_Toc19972"/>
      <w:bookmarkStart w:id="100" w:name="_Toc536202384"/>
      <w:r>
        <w:rPr>
          <w:rFonts w:hint="eastAsia" w:ascii="宋体" w:hAnsi="宋体" w:eastAsia="宋体" w:cs="宋体"/>
          <w:b/>
          <w:bCs/>
          <w:color w:val="auto"/>
          <w:kern w:val="0"/>
          <w:sz w:val="28"/>
          <w:szCs w:val="28"/>
        </w:rPr>
        <w:t>签订合同</w:t>
      </w:r>
      <w:bookmarkEnd w:id="93"/>
      <w:bookmarkEnd w:id="94"/>
      <w:bookmarkEnd w:id="95"/>
      <w:bookmarkEnd w:id="96"/>
      <w:bookmarkEnd w:id="97"/>
      <w:bookmarkEnd w:id="98"/>
      <w:bookmarkEnd w:id="99"/>
      <w:bookmarkEnd w:id="100"/>
    </w:p>
    <w:p w14:paraId="27E278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成交后，成交供应商在收到成交通知书后</w:t>
      </w:r>
      <w:r>
        <w:rPr>
          <w:rFonts w:hint="eastAsia" w:ascii="宋体" w:hAnsi="宋体" w:cs="宋体"/>
          <w:color w:val="auto"/>
          <w:sz w:val="24"/>
          <w:lang w:val="en-US" w:eastAsia="zh-CN"/>
        </w:rPr>
        <w:t>25</w:t>
      </w:r>
      <w:r>
        <w:rPr>
          <w:rFonts w:hint="eastAsia" w:ascii="宋体" w:hAnsi="宋体" w:eastAsia="宋体" w:cs="宋体"/>
          <w:color w:val="auto"/>
          <w:sz w:val="24"/>
        </w:rPr>
        <w:t>个日历日内，应按磋商文件的要求与采购人洽谈合同条款，并签订供货合同，同时送监督机构备案，磋商文件及成交供应商的响应文件均作为合同的组成部分；</w:t>
      </w:r>
    </w:p>
    <w:p w14:paraId="2F8EDBD5">
      <w:pPr>
        <w:pageBreakBefore w:val="0"/>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7B69336B">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CCFF922">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政府采购合同在执行过程中，确需修改、变更时，应当按照相应的审核批准程序办理。</w:t>
      </w:r>
    </w:p>
    <w:p w14:paraId="63E80E33">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磋商文件、响应文件、澄清等为政府采购合同的组成部分，具有同等法律效力。</w:t>
      </w:r>
    </w:p>
    <w:p w14:paraId="5FF0EBC1">
      <w:pPr>
        <w:pageBreakBefore w:val="0"/>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lang w:val="en-US" w:eastAsia="zh-CN"/>
        </w:rPr>
      </w:pPr>
      <w:bookmarkStart w:id="101" w:name="_Toc536202385"/>
      <w:bookmarkStart w:id="102" w:name="_Toc28110"/>
      <w:bookmarkStart w:id="103" w:name="_Toc536429325"/>
      <w:bookmarkStart w:id="104" w:name="_Toc536429378"/>
      <w:bookmarkStart w:id="105" w:name="_Toc26132"/>
      <w:bookmarkStart w:id="106" w:name="_Toc32237"/>
      <w:bookmarkStart w:id="107" w:name="_Toc536202316"/>
      <w:r>
        <w:rPr>
          <w:rFonts w:hint="eastAsia" w:ascii="宋体" w:hAnsi="宋体" w:cs="宋体"/>
          <w:color w:val="auto"/>
          <w:sz w:val="24"/>
          <w:lang w:val="en-US" w:eastAsia="zh-CN"/>
        </w:rPr>
        <w:t>6.</w:t>
      </w:r>
      <w:r>
        <w:rPr>
          <w:rFonts w:hint="eastAsia" w:ascii="宋体" w:hAnsi="宋体" w:eastAsia="宋体" w:cs="宋体"/>
          <w:color w:val="auto"/>
          <w:sz w:val="24"/>
          <w:lang w:val="en-US" w:eastAsia="zh-CN"/>
        </w:rPr>
        <w:t>政府采购管理部门在合同履行期间以及履行期后，可以随时检查项目的执行情况，对采购标准、采购内容进行调查核实，并对发现的问题进行处理。</w:t>
      </w:r>
    </w:p>
    <w:p w14:paraId="0E89BBDE">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562" w:firstLineChars="200"/>
        <w:jc w:val="center"/>
        <w:textAlignment w:val="auto"/>
        <w:outlineLvl w:val="1"/>
        <w:rPr>
          <w:rFonts w:hint="eastAsia" w:ascii="宋体" w:hAnsi="宋体" w:eastAsia="宋体" w:cs="宋体"/>
          <w:b/>
          <w:bCs/>
          <w:color w:val="auto"/>
          <w:kern w:val="0"/>
          <w:sz w:val="28"/>
          <w:szCs w:val="28"/>
        </w:rPr>
      </w:pPr>
      <w:bookmarkStart w:id="108" w:name="_Toc19543342"/>
      <w:r>
        <w:rPr>
          <w:rFonts w:hint="eastAsia" w:ascii="宋体" w:hAnsi="宋体" w:eastAsia="宋体" w:cs="宋体"/>
          <w:b/>
          <w:bCs/>
          <w:color w:val="auto"/>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2FC27561">
      <w:pPr>
        <w:pStyle w:val="34"/>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auto"/>
          <w:kern w:val="2"/>
          <w:sz w:val="24"/>
          <w:szCs w:val="28"/>
          <w:lang w:val="en-US" w:eastAsia="zh-CN" w:bidi="ar-SA"/>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02816E18">
      <w:pPr>
        <w:pageBreakBefore w:val="0"/>
        <w:widowControl/>
        <w:numPr>
          <w:ilvl w:val="0"/>
          <w:numId w:val="2"/>
        </w:numPr>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8"/>
          <w:szCs w:val="28"/>
        </w:rPr>
      </w:pPr>
      <w:bookmarkStart w:id="109" w:name="_Toc11491"/>
      <w:bookmarkStart w:id="110" w:name="_Toc536429326"/>
      <w:bookmarkStart w:id="111" w:name="_Toc536429379"/>
      <w:bookmarkStart w:id="112" w:name="_Toc19543343"/>
      <w:bookmarkStart w:id="113" w:name="_Toc536202317"/>
      <w:bookmarkStart w:id="114" w:name="_Toc536202386"/>
      <w:bookmarkStart w:id="115" w:name="_Toc664"/>
      <w:r>
        <w:rPr>
          <w:rFonts w:hint="eastAsia" w:ascii="宋体" w:hAnsi="宋体" w:eastAsia="宋体" w:cs="宋体"/>
          <w:b/>
          <w:bCs/>
          <w:color w:val="auto"/>
          <w:kern w:val="0"/>
          <w:sz w:val="28"/>
          <w:szCs w:val="28"/>
        </w:rPr>
        <w:t>质疑和投诉</w:t>
      </w:r>
      <w:bookmarkEnd w:id="109"/>
      <w:bookmarkEnd w:id="110"/>
      <w:bookmarkEnd w:id="111"/>
      <w:bookmarkEnd w:id="112"/>
      <w:bookmarkEnd w:id="113"/>
      <w:bookmarkEnd w:id="114"/>
      <w:bookmarkEnd w:id="115"/>
    </w:p>
    <w:p w14:paraId="102B97C4">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eastAsia="宋体" w:cs="宋体"/>
          <w:color w:val="auto"/>
          <w:sz w:val="24"/>
          <w:szCs w:val="28"/>
        </w:rPr>
        <w:t>财政部关于加强政府采购供应商投诉受理审查工作的通知》等的相关规定办理。</w:t>
      </w:r>
    </w:p>
    <w:p w14:paraId="4D18B592">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w:t>
      </w:r>
      <w:r>
        <w:rPr>
          <w:rFonts w:hint="eastAsia" w:ascii="宋体" w:hAnsi="宋体" w:eastAsia="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7175F73D">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（1）对采购文件提出质疑的，为收到采购文件之日或者采购文件公告期限届满之日；</w:t>
      </w:r>
    </w:p>
    <w:p w14:paraId="2ED29B60">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（2）对采购过程提出质疑的，为各采购程序环节结束之日；</w:t>
      </w:r>
    </w:p>
    <w:p w14:paraId="1DF2D92C">
      <w:pPr>
        <w:pageBreakBefore w:val="0"/>
        <w:wordWrap/>
        <w:overflowPunct/>
        <w:topLinePunct w:val="0"/>
        <w:autoSpaceDE/>
        <w:autoSpaceDN/>
        <w:bidi w:val="0"/>
        <w:adjustRightInd/>
        <w:snapToGrid/>
        <w:spacing w:line="500" w:lineRule="exact"/>
        <w:ind w:left="0" w:leftChars="0" w:right="0" w:rightChars="0" w:firstLine="240" w:firstLineChars="1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（3）对中标或者成交结果提出质疑的，为中标或者成交结果公告期限届满之日。</w:t>
      </w:r>
    </w:p>
    <w:p w14:paraId="2B5E38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供应商应当在法定质疑期内一次性提出针对同一采购程序环节的质疑。</w:t>
      </w:r>
    </w:p>
    <w:p w14:paraId="455384F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3.</w:t>
      </w:r>
      <w:r>
        <w:rPr>
          <w:rFonts w:hint="eastAsia" w:ascii="宋体" w:hAnsi="宋体" w:eastAsia="宋体" w:cs="宋体"/>
          <w:color w:val="auto"/>
          <w:sz w:val="24"/>
          <w:szCs w:val="28"/>
        </w:rPr>
        <w:t>质疑函应当包括下列主要内容：</w:t>
      </w:r>
    </w:p>
    <w:p w14:paraId="0A377C0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（1）供应商的姓名或者名称、地址、邮编、联系人及联系电话；</w:t>
      </w:r>
    </w:p>
    <w:p w14:paraId="52CFA0D1">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（2）质疑项目的名称、编号；</w:t>
      </w:r>
    </w:p>
    <w:p w14:paraId="62C71423">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（3）具体、明确的质疑事项和与质疑事项相关的请求；</w:t>
      </w:r>
    </w:p>
    <w:p w14:paraId="31F5FDF0">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（4）事实依据；</w:t>
      </w:r>
    </w:p>
    <w:p w14:paraId="12E1502A">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（5）必要的法律依据；</w:t>
      </w:r>
    </w:p>
    <w:p w14:paraId="6178743E">
      <w:pPr>
        <w:pageBreakBefore w:val="0"/>
        <w:wordWrap/>
        <w:overflowPunct/>
        <w:topLinePunct w:val="0"/>
        <w:autoSpaceDE/>
        <w:autoSpaceDN/>
        <w:bidi w:val="0"/>
        <w:adjustRightInd/>
        <w:snapToGrid/>
        <w:spacing w:line="500" w:lineRule="exact"/>
        <w:ind w:left="0" w:leftChars="0" w:right="0" w:rightChars="0" w:firstLine="360" w:firstLineChars="15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（6）提出质疑的日期。</w:t>
      </w:r>
    </w:p>
    <w:p w14:paraId="448B868C">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4.</w:t>
      </w:r>
      <w:r>
        <w:rPr>
          <w:rFonts w:hint="eastAsia" w:ascii="宋体" w:hAnsi="宋体" w:eastAsia="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196D8E9A">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5.</w:t>
      </w:r>
      <w:r>
        <w:rPr>
          <w:rFonts w:hint="eastAsia" w:ascii="宋体" w:hAnsi="宋体" w:eastAsia="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eastAsia="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28959C7">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6.</w:t>
      </w:r>
      <w:r>
        <w:rPr>
          <w:rFonts w:hint="eastAsia" w:ascii="宋体" w:hAnsi="宋体" w:eastAsia="宋体" w:cs="宋体"/>
          <w:color w:val="auto"/>
          <w:sz w:val="24"/>
          <w:szCs w:val="28"/>
        </w:rPr>
        <w:t>质疑函接收方式：</w:t>
      </w:r>
      <w:r>
        <w:rPr>
          <w:rFonts w:ascii="宋体" w:hAnsi="宋体" w:eastAsia="宋体" w:cs="宋体"/>
          <w:color w:val="auto"/>
          <w:sz w:val="24"/>
          <w:szCs w:val="24"/>
        </w:rPr>
        <w:t>接受</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eastAsia="宋体" w:cs="宋体"/>
          <w:color w:val="auto"/>
          <w:sz w:val="24"/>
          <w:szCs w:val="28"/>
        </w:rPr>
        <w:t xml:space="preserve"> </w:t>
      </w:r>
    </w:p>
    <w:p w14:paraId="403A9665">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7.</w:t>
      </w:r>
      <w:r>
        <w:rPr>
          <w:rFonts w:hint="eastAsia" w:ascii="宋体" w:hAnsi="宋体" w:eastAsia="宋体" w:cs="宋体"/>
          <w:color w:val="auto"/>
          <w:sz w:val="24"/>
          <w:szCs w:val="28"/>
        </w:rPr>
        <w:t>质疑受理部门：安康尚昊招标代理有限公司</w:t>
      </w:r>
    </w:p>
    <w:p w14:paraId="1D975A41">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   质疑受理电话：</w:t>
      </w:r>
      <w:r>
        <w:rPr>
          <w:rFonts w:hint="eastAsia" w:ascii="宋体" w:hAnsi="宋体" w:cs="宋体"/>
          <w:color w:val="auto"/>
          <w:sz w:val="24"/>
          <w:szCs w:val="28"/>
          <w:lang w:eastAsia="zh-CN"/>
        </w:rPr>
        <w:t>13991519725</w:t>
      </w:r>
    </w:p>
    <w:p w14:paraId="52CE914E">
      <w:pPr>
        <w:pageBreakBefore w:val="0"/>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lang w:eastAsia="zh-CN"/>
        </w:rPr>
      </w:pPr>
      <w:r>
        <w:rPr>
          <w:rFonts w:hint="eastAsia" w:ascii="宋体" w:hAnsi="宋体" w:cs="宋体"/>
          <w:color w:val="auto"/>
          <w:sz w:val="24"/>
          <w:szCs w:val="28"/>
          <w:lang w:eastAsia="zh-CN"/>
        </w:rPr>
        <w:t>8.</w:t>
      </w:r>
      <w:r>
        <w:rPr>
          <w:rFonts w:hint="eastAsia" w:ascii="宋体" w:hAnsi="宋体" w:eastAsia="宋体" w:cs="宋体"/>
          <w:color w:val="auto"/>
          <w:sz w:val="24"/>
          <w:szCs w:val="28"/>
        </w:rPr>
        <w:t>提交质疑函地点：</w:t>
      </w:r>
      <w:r>
        <w:rPr>
          <w:rFonts w:hint="eastAsia" w:ascii="宋体" w:hAnsi="宋体" w:cs="宋体"/>
          <w:color w:val="auto"/>
          <w:sz w:val="24"/>
          <w:szCs w:val="28"/>
          <w:lang w:eastAsia="zh-CN"/>
        </w:rPr>
        <w:t>安康市高新区高新观澜8幢2单元801室</w:t>
      </w:r>
    </w:p>
    <w:p w14:paraId="015B5A1D">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3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5D14C3D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1B10337C">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10.</w:t>
      </w:r>
      <w:r>
        <w:rPr>
          <w:rFonts w:hint="eastAsia" w:ascii="宋体" w:hAnsi="宋体" w:eastAsia="宋体" w:cs="宋体"/>
          <w:color w:val="auto"/>
          <w:sz w:val="24"/>
          <w:szCs w:val="28"/>
        </w:rPr>
        <w:t>质疑供应商对采购人、采购代理机构的答复不满意，或者采购人、采购代理机构未在规定的时间内作出答复的，可以在答复期满后15个工作日内向采购人的同级政府采购监督管理部门投诉。</w:t>
      </w:r>
    </w:p>
    <w:p w14:paraId="64B451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w:t>
      </w:r>
      <w:r>
        <w:rPr>
          <w:rFonts w:hint="eastAsia" w:ascii="宋体" w:hAnsi="宋体" w:cs="宋体"/>
          <w:color w:val="auto"/>
          <w:sz w:val="24"/>
          <w:szCs w:val="28"/>
          <w:lang w:eastAsia="zh-CN"/>
        </w:rPr>
        <w:t>1.</w:t>
      </w:r>
      <w:r>
        <w:rPr>
          <w:rFonts w:hint="eastAsia" w:ascii="宋体" w:hAnsi="宋体" w:eastAsia="宋体" w:cs="宋体"/>
          <w:color w:val="auto"/>
          <w:sz w:val="24"/>
          <w:szCs w:val="28"/>
        </w:rPr>
        <w:t>质疑函应当使用中文。</w:t>
      </w:r>
    </w:p>
    <w:p w14:paraId="3DB3B117">
      <w:pPr>
        <w:keepNext w:val="0"/>
        <w:keepLines w:val="0"/>
        <w:pageBreakBefore w:val="0"/>
        <w:widowControl/>
        <w:numPr>
          <w:ilvl w:val="0"/>
          <w:numId w:val="2"/>
        </w:numPr>
        <w:kinsoku/>
        <w:wordWrap/>
        <w:overflowPunct/>
        <w:topLinePunct w:val="0"/>
        <w:autoSpaceDE/>
        <w:autoSpaceDN/>
        <w:bidi w:val="0"/>
        <w:adjustRightInd/>
        <w:snapToGrid/>
        <w:spacing w:line="500" w:lineRule="exact"/>
        <w:ind w:left="0" w:leftChars="0" w:right="0" w:rightChars="0" w:firstLine="0"/>
        <w:jc w:val="center"/>
        <w:textAlignment w:val="auto"/>
        <w:outlineLvl w:val="1"/>
        <w:rPr>
          <w:rFonts w:hint="eastAsia" w:ascii="宋体" w:hAnsi="宋体" w:eastAsia="宋体" w:cs="宋体"/>
          <w:b/>
          <w:bCs/>
          <w:color w:val="auto"/>
          <w:kern w:val="0"/>
          <w:sz w:val="28"/>
          <w:szCs w:val="32"/>
        </w:rPr>
      </w:pPr>
      <w:bookmarkStart w:id="116" w:name="_Toc536202318"/>
      <w:bookmarkStart w:id="117" w:name="_Toc536429327"/>
      <w:bookmarkStart w:id="118" w:name="_Toc19543344"/>
      <w:bookmarkStart w:id="119" w:name="_Toc536429380"/>
      <w:bookmarkStart w:id="120" w:name="_Toc536202387"/>
      <w:r>
        <w:rPr>
          <w:rFonts w:hint="eastAsia" w:ascii="宋体" w:hAnsi="宋体" w:eastAsia="宋体" w:cs="宋体"/>
          <w:b/>
          <w:bCs/>
          <w:color w:val="auto"/>
          <w:kern w:val="0"/>
          <w:sz w:val="28"/>
          <w:szCs w:val="32"/>
        </w:rPr>
        <w:t>其他</w:t>
      </w:r>
      <w:bookmarkEnd w:id="116"/>
      <w:bookmarkEnd w:id="117"/>
      <w:bookmarkEnd w:id="118"/>
      <w:bookmarkEnd w:id="119"/>
      <w:bookmarkEnd w:id="120"/>
    </w:p>
    <w:p w14:paraId="68676A34">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bookmarkStart w:id="121" w:name="_Toc3298"/>
      <w:r>
        <w:rPr>
          <w:rFonts w:hint="eastAsia" w:ascii="宋体" w:hAnsi="宋体" w:cs="宋体"/>
          <w:color w:val="auto"/>
          <w:sz w:val="24"/>
          <w:szCs w:val="28"/>
          <w:lang w:eastAsia="zh-CN"/>
        </w:rPr>
        <w:t>1.</w:t>
      </w:r>
      <w:r>
        <w:rPr>
          <w:rFonts w:hint="eastAsia" w:ascii="宋体" w:hAnsi="宋体" w:eastAsia="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537F4C1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（1）因情况变化，不再符合规定的竞争性磋商采购方式适用情形的；</w:t>
      </w:r>
    </w:p>
    <w:p w14:paraId="26D4736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（2）出现影响采购公正的违法、违规行为的；</w:t>
      </w:r>
    </w:p>
    <w:p w14:paraId="4104C031">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1E53ADE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（4）因重大变故，采购任务取消的。</w:t>
      </w:r>
    </w:p>
    <w:p w14:paraId="63C0D639">
      <w:pPr>
        <w:keepNext w:val="0"/>
        <w:keepLines w:val="0"/>
        <w:pageBreakBefore w:val="0"/>
        <w:kinsoku/>
        <w:wordWrap/>
        <w:overflowPunct/>
        <w:topLinePunct w:val="0"/>
        <w:autoSpaceDE/>
        <w:autoSpaceDN/>
        <w:bidi w:val="0"/>
        <w:adjustRightInd/>
        <w:snapToGrid/>
        <w:spacing w:line="500" w:lineRule="exact"/>
        <w:ind w:left="0" w:leftChars="0"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2.</w:t>
      </w:r>
      <w:r>
        <w:rPr>
          <w:rFonts w:hint="eastAsia" w:ascii="宋体" w:hAnsi="宋体" w:eastAsia="宋体" w:cs="宋体"/>
          <w:color w:val="auto"/>
          <w:sz w:val="24"/>
          <w:szCs w:val="28"/>
        </w:rPr>
        <w:t>磋商失败后，除采购任务取消外，将重新组织采购</w:t>
      </w:r>
      <w:bookmarkEnd w:id="121"/>
      <w:bookmarkStart w:id="122" w:name="_Toc25345"/>
      <w:bookmarkStart w:id="123" w:name="_Toc536202388"/>
      <w:bookmarkStart w:id="124" w:name="_Toc536429328"/>
      <w:bookmarkStart w:id="125" w:name="_Toc536429381"/>
      <w:bookmarkStart w:id="126" w:name="_Toc536202319"/>
      <w:r>
        <w:rPr>
          <w:rFonts w:hint="eastAsia" w:ascii="宋体" w:hAnsi="宋体" w:eastAsia="宋体" w:cs="宋体"/>
          <w:color w:val="auto"/>
          <w:sz w:val="24"/>
          <w:szCs w:val="28"/>
        </w:rPr>
        <w:t>。</w:t>
      </w:r>
      <w:bookmarkEnd w:id="122"/>
      <w:bookmarkEnd w:id="123"/>
      <w:bookmarkEnd w:id="124"/>
      <w:bookmarkEnd w:id="125"/>
      <w:bookmarkEnd w:id="126"/>
    </w:p>
    <w:p w14:paraId="0750B6C0">
      <w:pPr>
        <w:pageBreakBefore w:val="0"/>
        <w:widowControl/>
        <w:wordWrap/>
        <w:overflowPunct/>
        <w:topLinePunct w:val="0"/>
        <w:autoSpaceDE/>
        <w:autoSpaceDN/>
        <w:bidi w:val="0"/>
        <w:adjustRightInd/>
        <w:snapToGrid/>
        <w:spacing w:line="500" w:lineRule="exact"/>
        <w:ind w:left="0" w:leftChars="0" w:right="0" w:rightChars="0"/>
        <w:jc w:val="center"/>
        <w:textAlignment w:val="auto"/>
        <w:rPr>
          <w:rFonts w:hint="eastAsia"/>
          <w:color w:val="auto"/>
          <w:sz w:val="36"/>
          <w:lang w:val="en-US" w:eastAsia="zh-CN"/>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rtlGutter w:val="0"/>
          <w:docGrid w:type="lines" w:linePitch="333" w:charSpace="0"/>
        </w:sectPr>
      </w:pPr>
      <w:bookmarkStart w:id="127" w:name="_Toc19543345"/>
    </w:p>
    <w:p w14:paraId="13528101">
      <w:pPr>
        <w:keepNext w:val="0"/>
        <w:keepLines w:val="0"/>
        <w:pageBreakBefore w:val="0"/>
        <w:widowControl/>
        <w:kinsoku/>
        <w:wordWrap/>
        <w:overflowPunct/>
        <w:topLinePunct w:val="0"/>
        <w:autoSpaceDE/>
        <w:autoSpaceDN/>
        <w:bidi w:val="0"/>
        <w:adjustRightInd/>
        <w:snapToGrid/>
        <w:spacing w:line="360" w:lineRule="auto"/>
        <w:ind w:left="0" w:leftChars="0" w:right="0" w:rightChars="0"/>
        <w:jc w:val="center"/>
        <w:textAlignment w:val="auto"/>
        <w:outlineLvl w:val="0"/>
        <w:rPr>
          <w:b/>
          <w:bCs/>
          <w:color w:val="auto"/>
          <w:sz w:val="36"/>
        </w:rPr>
      </w:pPr>
      <w:bookmarkStart w:id="128" w:name="_Toc8026"/>
      <w:r>
        <w:rPr>
          <w:rFonts w:hint="eastAsia"/>
          <w:b/>
          <w:bCs/>
          <w:color w:val="auto"/>
          <w:sz w:val="36"/>
          <w:lang w:val="en-US" w:eastAsia="zh-CN"/>
        </w:rPr>
        <w:t xml:space="preserve">第四部分 </w:t>
      </w:r>
      <w:r>
        <w:rPr>
          <w:rFonts w:hint="eastAsia"/>
          <w:b/>
          <w:bCs/>
          <w:color w:val="auto"/>
          <w:sz w:val="36"/>
        </w:rPr>
        <w:t>评分</w:t>
      </w:r>
      <w:r>
        <w:rPr>
          <w:b/>
          <w:bCs/>
          <w:color w:val="auto"/>
          <w:sz w:val="36"/>
        </w:rPr>
        <w:t>标准</w:t>
      </w:r>
      <w:bookmarkEnd w:id="127"/>
      <w:bookmarkEnd w:id="128"/>
      <w:bookmarkStart w:id="129" w:name="_Toc262"/>
    </w:p>
    <w:tbl>
      <w:tblPr>
        <w:tblStyle w:val="35"/>
        <w:tblW w:w="55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1102"/>
        <w:gridCol w:w="7860"/>
        <w:gridCol w:w="945"/>
      </w:tblGrid>
      <w:tr w14:paraId="735B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200" w:type="pct"/>
            <w:noWrap w:val="0"/>
            <w:vAlign w:val="center"/>
          </w:tcPr>
          <w:p w14:paraId="0DF53E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533" w:type="pct"/>
            <w:noWrap w:val="0"/>
            <w:vAlign w:val="center"/>
          </w:tcPr>
          <w:p w14:paraId="3D2E9A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评分因素</w:t>
            </w:r>
            <w:r>
              <w:rPr>
                <w:rFonts w:hint="eastAsia" w:ascii="宋体" w:hAnsi="宋体" w:cs="宋体"/>
                <w:b/>
                <w:bCs/>
                <w:color w:val="auto"/>
                <w:sz w:val="24"/>
                <w:lang w:val="en-US" w:eastAsia="zh-CN"/>
              </w:rPr>
              <w:t>/</w:t>
            </w:r>
            <w:r>
              <w:rPr>
                <w:rFonts w:hint="eastAsia" w:ascii="宋体" w:hAnsi="宋体" w:eastAsia="宋体" w:cs="宋体"/>
                <w:b/>
                <w:bCs/>
                <w:color w:val="auto"/>
                <w:sz w:val="24"/>
              </w:rPr>
              <w:t>分值</w:t>
            </w:r>
          </w:p>
        </w:tc>
        <w:tc>
          <w:tcPr>
            <w:tcW w:w="3807" w:type="pct"/>
            <w:noWrap w:val="0"/>
            <w:vAlign w:val="center"/>
          </w:tcPr>
          <w:p w14:paraId="6B364C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480" w:right="0" w:hanging="482" w:hangingChars="20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评分标准</w:t>
            </w:r>
          </w:p>
        </w:tc>
        <w:tc>
          <w:tcPr>
            <w:tcW w:w="457" w:type="pct"/>
            <w:noWrap w:val="0"/>
            <w:vAlign w:val="center"/>
          </w:tcPr>
          <w:p w14:paraId="181317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最高</w:t>
            </w:r>
          </w:p>
          <w:p w14:paraId="56BDF6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得分</w:t>
            </w:r>
          </w:p>
        </w:tc>
      </w:tr>
      <w:tr w14:paraId="674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00" w:type="pct"/>
            <w:noWrap w:val="0"/>
            <w:vAlign w:val="center"/>
          </w:tcPr>
          <w:p w14:paraId="0A5595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1</w:t>
            </w:r>
          </w:p>
        </w:tc>
        <w:tc>
          <w:tcPr>
            <w:tcW w:w="533" w:type="pct"/>
            <w:noWrap w:val="0"/>
            <w:vAlign w:val="center"/>
          </w:tcPr>
          <w:p w14:paraId="36034F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投标</w:t>
            </w:r>
          </w:p>
          <w:p w14:paraId="4C99CC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报价</w:t>
            </w:r>
          </w:p>
          <w:p w14:paraId="0C3858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rPr>
            </w:pPr>
            <w:r>
              <w:rPr>
                <w:rFonts w:hint="eastAsia" w:ascii="宋体" w:hAnsi="宋体" w:eastAsia="宋体" w:cs="宋体"/>
                <w:b/>
                <w:bCs/>
                <w:color w:val="auto"/>
                <w:sz w:val="24"/>
              </w:rPr>
              <w:t>（30分）</w:t>
            </w:r>
          </w:p>
        </w:tc>
        <w:tc>
          <w:tcPr>
            <w:tcW w:w="3807" w:type="pct"/>
            <w:noWrap w:val="0"/>
            <w:vAlign w:val="center"/>
          </w:tcPr>
          <w:p w14:paraId="2112FA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文件要求且响应价格最低的响应报价为评标基准价，其价格分为满分。其他供应商的价格分统一按照下列公式计算：</w:t>
            </w:r>
          </w:p>
          <w:p w14:paraId="373343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价格分=(评标基准价／响应报价)×报价分值    </w:t>
            </w:r>
          </w:p>
          <w:p w14:paraId="2350A3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color w:val="auto"/>
                <w:sz w:val="24"/>
                <w:lang w:eastAsia="zh-CN"/>
              </w:rPr>
              <w:t>1.</w:t>
            </w:r>
            <w:r>
              <w:rPr>
                <w:rFonts w:hint="eastAsia" w:ascii="宋体" w:hAnsi="宋体" w:eastAsia="宋体" w:cs="宋体"/>
                <w:color w:val="auto"/>
                <w:sz w:val="24"/>
              </w:rPr>
              <w:t>计算分数时四舍五入取小数点后两位；</w:t>
            </w:r>
          </w:p>
          <w:p w14:paraId="514C3E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落实政府采购政策：参见供应商须知前附表。</w:t>
            </w:r>
          </w:p>
        </w:tc>
        <w:tc>
          <w:tcPr>
            <w:tcW w:w="457" w:type="pct"/>
            <w:noWrap w:val="0"/>
            <w:vAlign w:val="center"/>
          </w:tcPr>
          <w:p w14:paraId="2DE2D3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lang w:eastAsia="zh-CN"/>
              </w:rPr>
            </w:pPr>
            <w:r>
              <w:rPr>
                <w:rFonts w:hint="eastAsia" w:ascii="宋体" w:hAnsi="宋体" w:eastAsia="宋体" w:cs="宋体"/>
                <w:b/>
                <w:bCs/>
                <w:color w:val="auto"/>
                <w:sz w:val="24"/>
              </w:rPr>
              <w:t>30</w:t>
            </w:r>
            <w:r>
              <w:rPr>
                <w:rFonts w:hint="eastAsia" w:ascii="宋体" w:hAnsi="宋体" w:eastAsia="宋体" w:cs="宋体"/>
                <w:b/>
                <w:bCs/>
                <w:color w:val="auto"/>
                <w:sz w:val="24"/>
                <w:lang w:val="en-US" w:eastAsia="zh-CN"/>
              </w:rPr>
              <w:t>分</w:t>
            </w:r>
          </w:p>
        </w:tc>
      </w:tr>
      <w:tr w14:paraId="236A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0" w:type="pct"/>
            <w:vMerge w:val="restart"/>
            <w:noWrap w:val="0"/>
            <w:vAlign w:val="center"/>
          </w:tcPr>
          <w:p w14:paraId="08C4C9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2</w:t>
            </w:r>
          </w:p>
        </w:tc>
        <w:tc>
          <w:tcPr>
            <w:tcW w:w="533" w:type="pct"/>
            <w:vMerge w:val="restart"/>
            <w:noWrap w:val="0"/>
            <w:vAlign w:val="center"/>
          </w:tcPr>
          <w:p w14:paraId="0A1B31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lang w:val="en-US" w:eastAsia="zh-CN"/>
              </w:rPr>
            </w:pPr>
            <w:r>
              <w:rPr>
                <w:rFonts w:hint="eastAsia" w:ascii="宋体" w:hAnsi="宋体" w:cs="宋体"/>
                <w:b/>
                <w:bCs/>
                <w:color w:val="auto"/>
                <w:sz w:val="24"/>
                <w:lang w:val="en-US" w:eastAsia="zh-CN"/>
              </w:rPr>
              <w:t>施工组织设计（55分分）</w:t>
            </w:r>
          </w:p>
        </w:tc>
        <w:tc>
          <w:tcPr>
            <w:tcW w:w="3807" w:type="pct"/>
            <w:noWrap w:val="0"/>
            <w:vAlign w:val="center"/>
          </w:tcPr>
          <w:p w14:paraId="55635B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sz w:val="24"/>
                <w:szCs w:val="24"/>
                <w:lang w:eastAsia="zh-CN"/>
              </w:rPr>
            </w:pPr>
            <w:r>
              <w:rPr>
                <w:rFonts w:hint="eastAsia" w:ascii="宋体" w:hAnsi="宋体" w:cs="宋体"/>
                <w:b/>
                <w:bCs/>
                <w:sz w:val="24"/>
                <w:szCs w:val="24"/>
              </w:rPr>
              <w:t>根据现场勘查及学校梯间文化建设要求进行的效果图设计：</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10</w:t>
            </w:r>
            <w:r>
              <w:rPr>
                <w:rFonts w:hint="eastAsia" w:ascii="宋体" w:hAnsi="宋体" w:eastAsia="宋体" w:cs="宋体"/>
                <w:b/>
                <w:bCs/>
                <w:color w:val="auto"/>
                <w:sz w:val="24"/>
              </w:rPr>
              <w:t>分。</w:t>
            </w:r>
            <w:r>
              <w:rPr>
                <w:rFonts w:hint="eastAsia" w:ascii="宋体" w:hAnsi="宋体" w:eastAsia="宋体" w:cs="宋体"/>
                <w:color w:val="auto"/>
                <w:sz w:val="24"/>
              </w:rPr>
              <w:t>评审标准细化内容：根据现场勘查及学校梯间文化建设要求</w:t>
            </w:r>
            <w:r>
              <w:rPr>
                <w:rFonts w:hint="eastAsia" w:ascii="宋体" w:hAnsi="宋体" w:cs="宋体"/>
                <w:color w:val="auto"/>
                <w:sz w:val="24"/>
                <w:szCs w:val="24"/>
              </w:rPr>
              <w:t>，</w:t>
            </w:r>
            <w:r>
              <w:rPr>
                <w:rFonts w:hint="eastAsia" w:ascii="宋体" w:hAnsi="宋体" w:cs="宋体"/>
                <w:sz w:val="24"/>
                <w:szCs w:val="24"/>
              </w:rPr>
              <w:t>阐述对项目建设内涵的理解，展示项目的</w:t>
            </w:r>
            <w:r>
              <w:rPr>
                <w:rFonts w:hint="eastAsia" w:ascii="宋体" w:hAnsi="宋体" w:cs="宋体"/>
                <w:sz w:val="24"/>
                <w:szCs w:val="24"/>
                <w:lang w:val="en-US" w:eastAsia="zh-CN"/>
              </w:rPr>
              <w:t>梯间</w:t>
            </w:r>
            <w:r>
              <w:rPr>
                <w:rFonts w:hint="eastAsia" w:ascii="宋体" w:hAnsi="宋体" w:cs="宋体"/>
                <w:sz w:val="24"/>
                <w:szCs w:val="24"/>
              </w:rPr>
              <w:t>空间文化属性，把控空间落地效果，合理的突出项目特点与工艺重点，分析准确，适应性、操作性强</w:t>
            </w:r>
            <w:r>
              <w:rPr>
                <w:rFonts w:hint="eastAsia" w:ascii="宋体" w:hAnsi="宋体" w:cs="宋体"/>
                <w:sz w:val="24"/>
                <w:szCs w:val="24"/>
                <w:lang w:eastAsia="zh-CN"/>
              </w:rPr>
              <w:t>。</w:t>
            </w:r>
          </w:p>
          <w:p w14:paraId="0013AF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宋体" w:hAnsi="宋体" w:eastAsia="宋体" w:cs="宋体"/>
                <w:sz w:val="24"/>
                <w:szCs w:val="24"/>
                <w:lang w:val="en-US" w:eastAsia="zh-CN"/>
              </w:rPr>
            </w:pPr>
            <w:r>
              <w:rPr>
                <w:rFonts w:hint="eastAsia" w:ascii="宋体" w:hAnsi="宋体" w:cs="宋体"/>
                <w:sz w:val="24"/>
                <w:szCs w:val="24"/>
              </w:rPr>
              <w:t>（1）项目建设内涵</w:t>
            </w:r>
            <w:r>
              <w:rPr>
                <w:rFonts w:hint="eastAsia" w:ascii="宋体" w:hAnsi="宋体" w:cs="宋体"/>
                <w:sz w:val="24"/>
                <w:szCs w:val="24"/>
                <w:lang w:val="en-US" w:eastAsia="zh-CN"/>
              </w:rPr>
              <w:t>及校园核心文化理念</w:t>
            </w:r>
            <w:r>
              <w:rPr>
                <w:rFonts w:hint="eastAsia" w:ascii="宋体" w:hAnsi="宋体" w:cs="宋体"/>
                <w:sz w:val="24"/>
                <w:szCs w:val="24"/>
              </w:rPr>
              <w:t>的深化理解和分析，整体方案的协调性、平面布置的合理性，建设内容的完整性。按理解深度赋分</w:t>
            </w:r>
            <w:r>
              <w:rPr>
                <w:rFonts w:hint="eastAsia" w:ascii="宋体" w:hAnsi="宋体" w:cs="宋体"/>
                <w:sz w:val="24"/>
                <w:szCs w:val="24"/>
                <w:lang w:val="en-US" w:eastAsia="zh-CN"/>
              </w:rPr>
              <w:t>1</w:t>
            </w:r>
            <w:r>
              <w:rPr>
                <w:rFonts w:hint="eastAsia" w:ascii="宋体" w:hAnsi="宋体" w:cs="宋体"/>
                <w:sz w:val="24"/>
                <w:szCs w:val="24"/>
              </w:rPr>
              <w:t>-</w:t>
            </w:r>
            <w:r>
              <w:rPr>
                <w:rFonts w:hint="eastAsia" w:ascii="宋体" w:hAnsi="宋体" w:cs="宋体"/>
                <w:sz w:val="24"/>
                <w:szCs w:val="24"/>
                <w:lang w:val="en-US" w:eastAsia="zh-CN"/>
              </w:rPr>
              <w:t>4</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lang w:val="en-US" w:eastAsia="zh-CN"/>
              </w:rPr>
              <w:t>未提供不得分。</w:t>
            </w:r>
          </w:p>
          <w:p w14:paraId="1DC5B9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bCs/>
                <w:color w:val="auto"/>
                <w:sz w:val="24"/>
              </w:rPr>
            </w:pPr>
            <w:r>
              <w:rPr>
                <w:rFonts w:hint="eastAsia" w:ascii="宋体" w:hAnsi="宋体" w:cs="宋体"/>
                <w:sz w:val="24"/>
                <w:szCs w:val="24"/>
              </w:rPr>
              <w:t>（2）</w:t>
            </w:r>
            <w:r>
              <w:rPr>
                <w:rFonts w:hint="eastAsia" w:ascii="宋体" w:hAnsi="宋体" w:cs="宋体"/>
                <w:color w:val="auto"/>
                <w:sz w:val="24"/>
                <w:szCs w:val="24"/>
                <w:lang w:val="en-US" w:eastAsia="zh-CN"/>
              </w:rPr>
              <w:t>项目</w:t>
            </w:r>
            <w:r>
              <w:rPr>
                <w:rFonts w:hint="eastAsia" w:ascii="宋体" w:hAnsi="宋体" w:cs="宋体"/>
                <w:color w:val="auto"/>
                <w:sz w:val="24"/>
                <w:szCs w:val="24"/>
              </w:rPr>
              <w:t>彩色效果图。根据所</w:t>
            </w:r>
            <w:r>
              <w:rPr>
                <w:rFonts w:hint="eastAsia" w:ascii="宋体" w:hAnsi="宋体" w:cs="宋体"/>
                <w:sz w:val="24"/>
                <w:szCs w:val="24"/>
              </w:rPr>
              <w:t>展示的</w:t>
            </w:r>
            <w:r>
              <w:rPr>
                <w:rFonts w:hint="eastAsia" w:ascii="宋体" w:hAnsi="宋体" w:cs="宋体"/>
                <w:sz w:val="24"/>
                <w:szCs w:val="24"/>
                <w:lang w:val="en-US" w:eastAsia="zh-CN"/>
              </w:rPr>
              <w:t>梯间文化</w:t>
            </w:r>
            <w:r>
              <w:rPr>
                <w:rFonts w:hint="eastAsia" w:ascii="宋体" w:hAnsi="宋体" w:cs="宋体"/>
                <w:sz w:val="24"/>
                <w:szCs w:val="24"/>
              </w:rPr>
              <w:t>建设效果和空间搭配的合理性、艺术性进行赋分</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设计效果图</w:t>
            </w:r>
            <w:r>
              <w:rPr>
                <w:rFonts w:hint="default" w:ascii="宋体" w:hAnsi="宋体" w:eastAsia="宋体" w:cs="宋体"/>
                <w:sz w:val="24"/>
                <w:szCs w:val="24"/>
              </w:rPr>
              <w:t>清晰完整，空间布局贴合现场、动线合理；色彩风格适配校园，层次美观，完整呈现全部改造内容，艺术效果佳</w:t>
            </w:r>
            <w:r>
              <w:rPr>
                <w:rFonts w:hint="eastAsia" w:ascii="宋体" w:hAnsi="宋体" w:eastAsia="宋体" w:cs="宋体"/>
                <w:sz w:val="24"/>
                <w:szCs w:val="24"/>
                <w:lang w:val="en-US" w:eastAsia="zh-CN"/>
              </w:rPr>
              <w:t>得5-6分；设计效果图</w:t>
            </w:r>
            <w:r>
              <w:rPr>
                <w:rFonts w:hint="default" w:ascii="宋体" w:hAnsi="宋体" w:eastAsia="宋体" w:cs="宋体"/>
                <w:sz w:val="24"/>
                <w:szCs w:val="24"/>
              </w:rPr>
              <w:t>完整清晰度一般，空间搭配基本合理；风格无明显违和，可展示主要施工内容，设计表现普通</w:t>
            </w:r>
            <w:r>
              <w:rPr>
                <w:rFonts w:hint="eastAsia" w:ascii="宋体" w:hAnsi="宋体" w:eastAsia="宋体" w:cs="宋体"/>
                <w:sz w:val="24"/>
                <w:szCs w:val="24"/>
                <w:lang w:val="en-US" w:eastAsia="zh-CN"/>
              </w:rPr>
              <w:t>得3-4分；设计效果图</w:t>
            </w:r>
            <w:r>
              <w:rPr>
                <w:rFonts w:hint="default" w:ascii="宋体" w:hAnsi="宋体" w:eastAsia="宋体" w:cs="宋体"/>
                <w:sz w:val="24"/>
                <w:szCs w:val="24"/>
              </w:rPr>
              <w:t>残缺模糊，空间布局存在明显</w:t>
            </w:r>
            <w:r>
              <w:rPr>
                <w:rFonts w:hint="eastAsia" w:ascii="宋体" w:hAnsi="宋体" w:eastAsia="宋体" w:cs="宋体"/>
                <w:sz w:val="24"/>
                <w:szCs w:val="24"/>
                <w:lang w:val="en-US" w:eastAsia="zh-CN"/>
              </w:rPr>
              <w:t>不合理</w:t>
            </w:r>
            <w:r>
              <w:rPr>
                <w:rFonts w:hint="default" w:ascii="宋体" w:hAnsi="宋体" w:eastAsia="宋体" w:cs="宋体"/>
                <w:sz w:val="24"/>
                <w:szCs w:val="24"/>
              </w:rPr>
              <w:t>；配色杂乱违和，内容展示简略，无设计美感</w:t>
            </w:r>
            <w:r>
              <w:rPr>
                <w:rFonts w:hint="eastAsia" w:ascii="宋体" w:hAnsi="宋体" w:eastAsia="宋体" w:cs="宋体"/>
                <w:sz w:val="24"/>
                <w:szCs w:val="24"/>
                <w:lang w:val="en-US" w:eastAsia="zh-CN"/>
              </w:rPr>
              <w:t>得1-2分；</w:t>
            </w:r>
            <w:r>
              <w:rPr>
                <w:rFonts w:hint="eastAsia" w:ascii="宋体" w:hAnsi="宋体" w:cs="宋体"/>
                <w:sz w:val="24"/>
                <w:szCs w:val="24"/>
                <w:lang w:val="en-US" w:eastAsia="zh-CN"/>
              </w:rPr>
              <w:t>未提供不得分。</w:t>
            </w:r>
          </w:p>
        </w:tc>
        <w:tc>
          <w:tcPr>
            <w:tcW w:w="457" w:type="pct"/>
            <w:noWrap w:val="0"/>
            <w:vAlign w:val="center"/>
          </w:tcPr>
          <w:p w14:paraId="27C12C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b/>
                <w:bCs/>
                <w:color w:val="auto"/>
                <w:sz w:val="24"/>
                <w:lang w:val="en-US" w:eastAsia="zh-CN"/>
              </w:rPr>
            </w:pPr>
            <w:r>
              <w:rPr>
                <w:rFonts w:hint="eastAsia" w:ascii="宋体" w:hAnsi="宋体" w:cs="宋体"/>
                <w:b/>
                <w:bCs/>
                <w:color w:val="auto"/>
                <w:sz w:val="24"/>
                <w:lang w:val="en-US" w:eastAsia="zh-CN"/>
              </w:rPr>
              <w:t>10分</w:t>
            </w:r>
          </w:p>
        </w:tc>
      </w:tr>
      <w:tr w14:paraId="50D4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00" w:type="pct"/>
            <w:vMerge w:val="continue"/>
            <w:noWrap w:val="0"/>
            <w:vAlign w:val="center"/>
          </w:tcPr>
          <w:p w14:paraId="5915EF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lang w:val="en-US" w:eastAsia="zh-CN"/>
              </w:rPr>
            </w:pPr>
          </w:p>
        </w:tc>
        <w:tc>
          <w:tcPr>
            <w:tcW w:w="533" w:type="pct"/>
            <w:vMerge w:val="continue"/>
            <w:noWrap w:val="0"/>
            <w:vAlign w:val="center"/>
          </w:tcPr>
          <w:p w14:paraId="6C3BA5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lang w:val="en-US" w:eastAsia="zh-CN"/>
              </w:rPr>
            </w:pPr>
          </w:p>
        </w:tc>
        <w:tc>
          <w:tcPr>
            <w:tcW w:w="3807" w:type="pct"/>
            <w:noWrap w:val="0"/>
            <w:vAlign w:val="center"/>
          </w:tcPr>
          <w:p w14:paraId="312D01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施工部署</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3</w:t>
            </w:r>
            <w:r>
              <w:rPr>
                <w:rFonts w:hint="eastAsia" w:ascii="宋体" w:hAnsi="宋体" w:eastAsia="宋体" w:cs="宋体"/>
                <w:b/>
                <w:bCs/>
                <w:color w:val="auto"/>
                <w:sz w:val="24"/>
              </w:rPr>
              <w:t>分。</w:t>
            </w:r>
            <w:r>
              <w:rPr>
                <w:rFonts w:hint="eastAsia" w:ascii="宋体" w:hAnsi="宋体" w:eastAsia="宋体" w:cs="宋体"/>
                <w:color w:val="auto"/>
                <w:sz w:val="24"/>
              </w:rPr>
              <w:t>评审标准细化内容：①施工目标</w:t>
            </w:r>
            <w:r>
              <w:rPr>
                <w:rFonts w:hint="eastAsia" w:ascii="宋体" w:hAnsi="宋体" w:eastAsia="宋体" w:cs="宋体"/>
                <w:color w:val="auto"/>
                <w:sz w:val="24"/>
                <w:lang w:eastAsia="zh-CN"/>
              </w:rPr>
              <w:t>：</w:t>
            </w:r>
            <w:r>
              <w:rPr>
                <w:rFonts w:hint="eastAsia" w:ascii="宋体" w:hAnsi="宋体" w:eastAsia="宋体" w:cs="宋体"/>
                <w:color w:val="auto"/>
                <w:sz w:val="24"/>
              </w:rPr>
              <w:t>成本目标、工期目标、质量目标②施工准备：技术准备、材料准备、机械准备、机具准备③施工平面布置与安排：现场围挡及出入口管理、交通组织安排、消防及道路安排。评审标准量化内容</w:t>
            </w:r>
            <w:r>
              <w:rPr>
                <w:rFonts w:hint="eastAsia" w:ascii="宋体" w:hAnsi="宋体" w:cs="宋体"/>
                <w:color w:val="auto"/>
                <w:sz w:val="24"/>
                <w:lang w:eastAsia="zh-CN"/>
              </w:rPr>
              <w:t>：</w:t>
            </w:r>
            <w:r>
              <w:rPr>
                <w:rFonts w:hint="eastAsia" w:ascii="宋体" w:hAnsi="宋体" w:eastAsia="宋体" w:cs="宋体"/>
                <w:color w:val="auto"/>
                <w:sz w:val="24"/>
              </w:rPr>
              <w:t>（1）各部分内容全面详细、阐述条理清晰详尽、符合本项目采购需求得</w:t>
            </w:r>
            <w:r>
              <w:rPr>
                <w:rFonts w:hint="eastAsia" w:ascii="宋体" w:hAnsi="宋体" w:cs="宋体"/>
                <w:color w:val="auto"/>
                <w:sz w:val="24"/>
                <w:lang w:val="en-US" w:eastAsia="zh-CN"/>
              </w:rPr>
              <w:t>3</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1</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0.5</w:t>
            </w:r>
            <w:r>
              <w:rPr>
                <w:rFonts w:hint="eastAsia" w:ascii="宋体" w:hAnsi="宋体" w:eastAsia="宋体" w:cs="宋体"/>
                <w:color w:val="auto"/>
                <w:sz w:val="24"/>
              </w:rPr>
              <w:t xml:space="preserve">分，该项分值扣完为止。 </w:t>
            </w:r>
          </w:p>
          <w:p w14:paraId="09D0A7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lang w:eastAsia="zh-CN"/>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4EA471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3</w:t>
            </w:r>
            <w:r>
              <w:rPr>
                <w:rFonts w:hint="eastAsia" w:ascii="宋体" w:hAnsi="宋体" w:eastAsia="宋体" w:cs="宋体"/>
                <w:b/>
                <w:bCs/>
                <w:color w:val="auto"/>
                <w:sz w:val="24"/>
                <w:lang w:val="en-US" w:eastAsia="zh-CN"/>
              </w:rPr>
              <w:t>分</w:t>
            </w:r>
          </w:p>
        </w:tc>
      </w:tr>
      <w:tr w14:paraId="6378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00" w:type="pct"/>
            <w:vMerge w:val="continue"/>
            <w:noWrap w:val="0"/>
            <w:vAlign w:val="center"/>
          </w:tcPr>
          <w:p w14:paraId="246EC5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474E85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color w:val="auto"/>
                <w:sz w:val="24"/>
                <w:lang w:val="en-US" w:eastAsia="zh-CN"/>
              </w:rPr>
            </w:pPr>
          </w:p>
        </w:tc>
        <w:tc>
          <w:tcPr>
            <w:tcW w:w="3807" w:type="pct"/>
            <w:noWrap w:val="0"/>
            <w:vAlign w:val="center"/>
          </w:tcPr>
          <w:p w14:paraId="62170A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cs="宋体"/>
                <w:b/>
                <w:bCs/>
                <w:color w:val="auto"/>
                <w:sz w:val="24"/>
                <w:lang w:val="en-US" w:eastAsia="zh-CN"/>
              </w:rPr>
              <w:t>施工方案：</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评审标准细化内容：内容包含但不限于①工程</w:t>
            </w:r>
            <w:r>
              <w:rPr>
                <w:rFonts w:hint="eastAsia" w:ascii="宋体" w:hAnsi="宋体" w:cs="宋体"/>
                <w:color w:val="auto"/>
                <w:sz w:val="24"/>
                <w:lang w:val="en-US" w:eastAsia="zh-CN"/>
              </w:rPr>
              <w:t>总体</w:t>
            </w:r>
            <w:r>
              <w:rPr>
                <w:rFonts w:hint="eastAsia" w:ascii="宋体" w:hAnsi="宋体" w:eastAsia="宋体" w:cs="宋体"/>
                <w:color w:val="auto"/>
                <w:sz w:val="24"/>
              </w:rPr>
              <w:t>施工方案；②</w:t>
            </w:r>
            <w:r>
              <w:rPr>
                <w:rFonts w:hint="default" w:ascii="宋体" w:hAnsi="宋体" w:eastAsia="宋体" w:cs="宋体"/>
                <w:color w:val="auto"/>
                <w:sz w:val="24"/>
                <w:szCs w:val="24"/>
              </w:rPr>
              <w:t>施工方法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流程</w:t>
            </w:r>
            <w:r>
              <w:rPr>
                <w:rFonts w:hint="default" w:ascii="宋体" w:hAnsi="宋体" w:eastAsia="宋体" w:cs="宋体"/>
                <w:color w:val="auto"/>
                <w:sz w:val="24"/>
                <w:szCs w:val="24"/>
              </w:rPr>
              <w:t>及相关技术措施</w:t>
            </w:r>
            <w:r>
              <w:rPr>
                <w:rFonts w:hint="eastAsia" w:ascii="宋体" w:hAnsi="宋体" w:eastAsia="宋体" w:cs="宋体"/>
                <w:color w:val="auto"/>
                <w:sz w:val="24"/>
              </w:rPr>
              <w:t>；③</w:t>
            </w:r>
            <w:r>
              <w:rPr>
                <w:rFonts w:hint="eastAsia" w:ascii="宋体" w:hAnsi="宋体" w:eastAsia="宋体" w:cs="宋体"/>
                <w:color w:val="auto"/>
                <w:sz w:val="24"/>
                <w:lang w:val="en-US" w:eastAsia="zh-CN"/>
              </w:rPr>
              <w:t>重点难点工程分析及解决措施</w:t>
            </w:r>
            <w:r>
              <w:rPr>
                <w:rFonts w:hint="eastAsia" w:ascii="宋体" w:hAnsi="宋体" w:eastAsia="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6</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2</w:t>
            </w:r>
            <w:r>
              <w:rPr>
                <w:rFonts w:hint="eastAsia" w:ascii="宋体" w:hAnsi="宋体" w:eastAsia="宋体" w:cs="宋体"/>
                <w:color w:val="auto"/>
                <w:sz w:val="24"/>
              </w:rPr>
              <w:t>分；（3）评审标准细化内容内容缺失不得分，每有一处内容存在缺陷或不足的扣1分，该项分值扣完为止。</w:t>
            </w:r>
          </w:p>
          <w:p w14:paraId="052859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457" w:type="pct"/>
            <w:noWrap w:val="0"/>
            <w:vAlign w:val="center"/>
          </w:tcPr>
          <w:p w14:paraId="186A38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6分</w:t>
            </w:r>
          </w:p>
        </w:tc>
      </w:tr>
      <w:tr w14:paraId="70CF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jc w:val="center"/>
        </w:trPr>
        <w:tc>
          <w:tcPr>
            <w:tcW w:w="200" w:type="pct"/>
            <w:vMerge w:val="continue"/>
            <w:noWrap w:val="0"/>
            <w:vAlign w:val="center"/>
          </w:tcPr>
          <w:p w14:paraId="4B7437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1C797A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color w:val="auto"/>
                <w:sz w:val="24"/>
                <w:lang w:val="en-US" w:eastAsia="zh-CN"/>
              </w:rPr>
            </w:pPr>
          </w:p>
        </w:tc>
        <w:tc>
          <w:tcPr>
            <w:tcW w:w="3807" w:type="pct"/>
            <w:noWrap w:val="0"/>
            <w:vAlign w:val="center"/>
          </w:tcPr>
          <w:p w14:paraId="0EF86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质量保证措施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区间分值0-6分。</w:t>
            </w:r>
            <w:r>
              <w:rPr>
                <w:rFonts w:hint="eastAsia" w:ascii="宋体" w:hAnsi="宋体" w:eastAsia="宋体" w:cs="宋体"/>
                <w:color w:val="auto"/>
                <w:sz w:val="24"/>
              </w:rPr>
              <w:t xml:space="preserve">评审标准细化内容：内容包含但不限于①质量目标管理体系②施工质量的检验制度③确保质量的技术组织措施及控制措施。 评审标准量化内容：（1）各部分内容全面详细、阐述条理清晰详尽、符合本项目采购需求得6分；（2）评审标准细化内容每缺少一项扣2分；（3）评审标准细化内容内容缺失不得分，每有一处内容存在缺陷或不足的扣1分，该项分值扣完为止。 </w:t>
            </w:r>
          </w:p>
          <w:p w14:paraId="029A4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76D957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6分</w:t>
            </w:r>
          </w:p>
        </w:tc>
      </w:tr>
      <w:tr w14:paraId="0B37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200" w:type="pct"/>
            <w:vMerge w:val="continue"/>
            <w:noWrap w:val="0"/>
            <w:vAlign w:val="center"/>
          </w:tcPr>
          <w:p w14:paraId="53ECAC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501348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color w:val="auto"/>
                <w:sz w:val="24"/>
                <w:lang w:val="en-US" w:eastAsia="zh-CN"/>
              </w:rPr>
            </w:pPr>
          </w:p>
        </w:tc>
        <w:tc>
          <w:tcPr>
            <w:tcW w:w="3807" w:type="pct"/>
            <w:noWrap w:val="0"/>
            <w:vAlign w:val="center"/>
          </w:tcPr>
          <w:p w14:paraId="630AFF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施工进度计划</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3</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评审标准细化内容：内容包含但不限于①施工进度计划横道图②进度计划保证措施③工期保证措施</w:t>
            </w:r>
            <w:r>
              <w:rPr>
                <w:rFonts w:hint="eastAsia" w:ascii="宋体" w:hAnsi="宋体" w:cs="宋体"/>
                <w:color w:val="auto"/>
                <w:sz w:val="24"/>
                <w:lang w:eastAsia="zh-CN"/>
              </w:rPr>
              <w:t>。</w:t>
            </w:r>
            <w:r>
              <w:rPr>
                <w:rFonts w:hint="eastAsia" w:ascii="宋体" w:hAnsi="宋体" w:eastAsia="宋体" w:cs="宋体"/>
                <w:color w:val="auto"/>
                <w:sz w:val="24"/>
              </w:rPr>
              <w:t>评审标准量化内容：（1）各部分内容全面详细、阐述条理清晰详尽、符合本项目采购需求得</w:t>
            </w:r>
            <w:r>
              <w:rPr>
                <w:rFonts w:hint="eastAsia" w:ascii="宋体" w:hAnsi="宋体" w:cs="宋体"/>
                <w:color w:val="auto"/>
                <w:sz w:val="24"/>
                <w:lang w:val="en-US" w:eastAsia="zh-CN"/>
              </w:rPr>
              <w:t>3</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1</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0.5</w:t>
            </w:r>
            <w:r>
              <w:rPr>
                <w:rFonts w:hint="eastAsia" w:ascii="宋体" w:hAnsi="宋体" w:eastAsia="宋体" w:cs="宋体"/>
                <w:color w:val="auto"/>
                <w:sz w:val="24"/>
              </w:rPr>
              <w:t xml:space="preserve">分，该项分值扣完为止。 </w:t>
            </w:r>
          </w:p>
          <w:p w14:paraId="1726FE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46B931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shd w:val="clear"/>
                <w:lang w:val="en-US" w:eastAsia="zh-CN"/>
              </w:rPr>
              <w:t>3分</w:t>
            </w:r>
          </w:p>
        </w:tc>
      </w:tr>
      <w:tr w14:paraId="066B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200" w:type="pct"/>
            <w:vMerge w:val="continue"/>
            <w:noWrap w:val="0"/>
            <w:vAlign w:val="center"/>
          </w:tcPr>
          <w:p w14:paraId="109564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266F83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shd w:val="clear"/>
                <w:lang w:val="en-US" w:eastAsia="zh-CN"/>
              </w:rPr>
            </w:pPr>
          </w:p>
        </w:tc>
        <w:tc>
          <w:tcPr>
            <w:tcW w:w="3807" w:type="pct"/>
            <w:noWrap w:val="0"/>
            <w:vAlign w:val="center"/>
          </w:tcPr>
          <w:p w14:paraId="20081B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color w:val="auto"/>
                <w:sz w:val="24"/>
                <w:highlight w:val="none"/>
              </w:rPr>
            </w:pPr>
            <w:r>
              <w:rPr>
                <w:rFonts w:hint="eastAsia" w:ascii="仿宋" w:hAnsi="仿宋"/>
                <w:b/>
                <w:bCs/>
                <w:color w:val="auto"/>
                <w:sz w:val="24"/>
                <w:highlight w:val="none"/>
                <w:lang w:val="en-US" w:eastAsia="zh-CN"/>
              </w:rPr>
              <w:t>安全施工措施：</w:t>
            </w:r>
            <w:r>
              <w:rPr>
                <w:rFonts w:hint="eastAsia" w:ascii="仿宋" w:hAnsi="仿宋"/>
                <w:b/>
                <w:bCs/>
                <w:color w:val="auto"/>
                <w:sz w:val="24"/>
                <w:highlight w:val="none"/>
              </w:rPr>
              <w:t>区间分值</w:t>
            </w:r>
            <w:r>
              <w:rPr>
                <w:rFonts w:hint="eastAsia" w:ascii="宋体" w:hAnsi="宋体" w:eastAsia="宋体" w:cs="宋体"/>
                <w:b/>
                <w:bCs/>
                <w:color w:val="auto"/>
                <w:sz w:val="24"/>
              </w:rPr>
              <w:t>0-</w:t>
            </w:r>
            <w:r>
              <w:rPr>
                <w:rFonts w:hint="eastAsia" w:ascii="宋体" w:hAnsi="宋体" w:eastAsia="宋体" w:cs="宋体"/>
                <w:b/>
                <w:bCs/>
                <w:color w:val="auto"/>
                <w:sz w:val="24"/>
                <w:lang w:val="en-US" w:eastAsia="zh-CN"/>
              </w:rPr>
              <w:t>6</w:t>
            </w:r>
            <w:r>
              <w:rPr>
                <w:rFonts w:hint="eastAsia" w:ascii="仿宋" w:hAnsi="仿宋"/>
                <w:b/>
                <w:bCs/>
                <w:color w:val="auto"/>
                <w:sz w:val="24"/>
                <w:highlight w:val="none"/>
              </w:rPr>
              <w:t>分。</w:t>
            </w:r>
            <w:r>
              <w:rPr>
                <w:rFonts w:hint="eastAsia" w:ascii="仿宋" w:hAnsi="仿宋"/>
                <w:color w:val="auto"/>
                <w:sz w:val="24"/>
                <w:highlight w:val="none"/>
              </w:rPr>
              <w:t>评审标准细化内容：内容包含但不限于①安全生产管理制度②安全施工措施③安全应急预案④安全生产教育。 评审标准量化内容：（</w:t>
            </w:r>
            <w:r>
              <w:rPr>
                <w:rFonts w:hint="eastAsia" w:ascii="宋体" w:hAnsi="宋体" w:eastAsia="宋体" w:cs="宋体"/>
                <w:color w:val="auto"/>
                <w:sz w:val="24"/>
              </w:rPr>
              <w:t>1</w:t>
            </w:r>
            <w:r>
              <w:rPr>
                <w:rFonts w:hint="eastAsia" w:ascii="仿宋" w:hAnsi="仿宋"/>
                <w:color w:val="auto"/>
                <w:sz w:val="24"/>
                <w:highlight w:val="none"/>
              </w:rPr>
              <w:t>）各部分内容全面详细、阐述条理清晰详尽、符合本项目采购需求</w:t>
            </w:r>
            <w:r>
              <w:rPr>
                <w:rFonts w:hint="eastAsia" w:ascii="仿宋" w:hAnsi="仿宋" w:eastAsia="宋体"/>
                <w:color w:val="auto"/>
                <w:sz w:val="24"/>
                <w:highlight w:val="none"/>
              </w:rPr>
              <w:t>得</w:t>
            </w:r>
            <w:r>
              <w:rPr>
                <w:rFonts w:hint="eastAsia" w:ascii="宋体" w:hAnsi="宋体" w:eastAsia="宋体" w:cs="宋体"/>
                <w:color w:val="auto"/>
                <w:sz w:val="24"/>
                <w:highlight w:val="none"/>
                <w:lang w:val="en-US" w:eastAsia="zh-CN"/>
              </w:rPr>
              <w:t>6</w:t>
            </w:r>
            <w:r>
              <w:rPr>
                <w:rFonts w:hint="eastAsia" w:ascii="仿宋" w:hAnsi="仿宋" w:eastAsia="宋体"/>
                <w:color w:val="auto"/>
                <w:sz w:val="24"/>
                <w:highlight w:val="none"/>
              </w:rPr>
              <w:t>分</w:t>
            </w:r>
            <w:r>
              <w:rPr>
                <w:rFonts w:hint="eastAsia" w:ascii="仿宋" w:hAnsi="仿宋"/>
                <w:color w:val="auto"/>
                <w:sz w:val="24"/>
                <w:highlight w:val="none"/>
              </w:rPr>
              <w:t>；（</w:t>
            </w:r>
            <w:r>
              <w:rPr>
                <w:rFonts w:hint="eastAsia" w:ascii="宋体" w:hAnsi="宋体" w:eastAsia="宋体" w:cs="宋体"/>
                <w:color w:val="auto"/>
                <w:sz w:val="24"/>
                <w:highlight w:val="none"/>
              </w:rPr>
              <w:t>2</w:t>
            </w:r>
            <w:r>
              <w:rPr>
                <w:rFonts w:hint="eastAsia" w:ascii="仿宋" w:hAnsi="仿宋"/>
                <w:color w:val="auto"/>
                <w:sz w:val="24"/>
                <w:highlight w:val="none"/>
              </w:rPr>
              <w:t>）评审标准细化内容每缺少一项扣</w:t>
            </w:r>
            <w:r>
              <w:rPr>
                <w:rFonts w:hint="eastAsia" w:ascii="宋体" w:hAnsi="宋体" w:eastAsia="宋体" w:cs="宋体"/>
                <w:color w:val="auto"/>
                <w:sz w:val="24"/>
                <w:highlight w:val="none"/>
                <w:lang w:val="en-US" w:eastAsia="zh-CN"/>
              </w:rPr>
              <w:t>1.5</w:t>
            </w:r>
            <w:r>
              <w:rPr>
                <w:rFonts w:hint="eastAsia" w:ascii="仿宋" w:hAnsi="仿宋"/>
                <w:color w:val="auto"/>
                <w:sz w:val="24"/>
                <w:highlight w:val="none"/>
              </w:rPr>
              <w:t>分；（</w:t>
            </w:r>
            <w:r>
              <w:rPr>
                <w:rFonts w:hint="eastAsia" w:ascii="宋体" w:hAnsi="宋体" w:eastAsia="宋体" w:cs="宋体"/>
                <w:color w:val="auto"/>
                <w:sz w:val="24"/>
                <w:highlight w:val="none"/>
              </w:rPr>
              <w:t>3</w:t>
            </w:r>
            <w:r>
              <w:rPr>
                <w:rFonts w:hint="eastAsia" w:ascii="仿宋" w:hAnsi="仿宋"/>
                <w:color w:val="auto"/>
                <w:sz w:val="24"/>
                <w:highlight w:val="none"/>
              </w:rPr>
              <w:t>）评审标准细化内容内容缺失不得分，每有一处内容存在缺陷或不足的扣</w:t>
            </w:r>
            <w:r>
              <w:rPr>
                <w:rFonts w:hint="eastAsia" w:ascii="宋体" w:hAnsi="宋体" w:eastAsia="宋体" w:cs="宋体"/>
                <w:color w:val="auto"/>
                <w:sz w:val="24"/>
                <w:highlight w:val="none"/>
                <w:lang w:val="en-US" w:eastAsia="zh-CN"/>
              </w:rPr>
              <w:t>0.5</w:t>
            </w:r>
            <w:r>
              <w:rPr>
                <w:rFonts w:hint="eastAsia" w:ascii="仿宋" w:hAnsi="仿宋"/>
                <w:color w:val="auto"/>
                <w:sz w:val="24"/>
                <w:highlight w:val="none"/>
              </w:rPr>
              <w:t>分，该项分值扣完为止。</w:t>
            </w:r>
          </w:p>
          <w:p w14:paraId="3AE52D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仿宋" w:hAnsi="仿宋"/>
                <w:color w:val="auto"/>
                <w:sz w:val="24"/>
                <w:highlight w:val="none"/>
              </w:rPr>
            </w:pPr>
            <w:r>
              <w:rPr>
                <w:rFonts w:hint="eastAsia" w:ascii="仿宋" w:hAnsi="仿宋"/>
                <w:b/>
                <w:bCs/>
                <w:color w:val="auto"/>
                <w:sz w:val="24"/>
                <w:highlight w:val="none"/>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07917B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b/>
                <w:bCs/>
                <w:color w:val="auto"/>
                <w:sz w:val="24"/>
                <w:highlight w:val="none"/>
              </w:rPr>
            </w:pPr>
            <w:r>
              <w:rPr>
                <w:rFonts w:hint="eastAsia" w:ascii="宋体" w:hAnsi="宋体" w:cs="宋体"/>
                <w:b/>
                <w:bCs/>
                <w:color w:val="auto"/>
                <w:sz w:val="24"/>
                <w:shd w:val="clear"/>
                <w:lang w:val="en-US" w:eastAsia="zh-CN"/>
              </w:rPr>
              <w:t>6分</w:t>
            </w:r>
          </w:p>
        </w:tc>
      </w:tr>
      <w:tr w14:paraId="2B1F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jc w:val="center"/>
        </w:trPr>
        <w:tc>
          <w:tcPr>
            <w:tcW w:w="200" w:type="pct"/>
            <w:vMerge w:val="continue"/>
            <w:noWrap w:val="0"/>
            <w:vAlign w:val="center"/>
          </w:tcPr>
          <w:p w14:paraId="4FE6FC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1BEBB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color w:val="auto"/>
                <w:sz w:val="24"/>
                <w:lang w:val="en-US" w:eastAsia="zh-CN"/>
              </w:rPr>
            </w:pPr>
          </w:p>
        </w:tc>
        <w:tc>
          <w:tcPr>
            <w:tcW w:w="3807" w:type="pct"/>
            <w:noWrap w:val="0"/>
            <w:vAlign w:val="center"/>
          </w:tcPr>
          <w:p w14:paraId="1C8272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lang w:val="en-US" w:eastAsia="zh-CN"/>
              </w:rPr>
              <w:t>文明施工措施</w:t>
            </w:r>
            <w:r>
              <w:rPr>
                <w:rFonts w:hint="eastAsia" w:ascii="宋体" w:hAnsi="宋体" w:cs="宋体"/>
                <w:b/>
                <w:bCs/>
                <w:color w:val="auto"/>
                <w:sz w:val="24"/>
                <w:lang w:val="en-US" w:eastAsia="zh-CN"/>
              </w:rPr>
              <w:t>：</w:t>
            </w:r>
            <w:r>
              <w:rPr>
                <w:rFonts w:hint="eastAsia" w:ascii="宋体" w:hAnsi="宋体" w:eastAsia="宋体" w:cs="宋体"/>
                <w:b/>
                <w:bCs/>
                <w:color w:val="auto"/>
                <w:sz w:val="24"/>
              </w:rPr>
              <w:t>区间分值0-</w:t>
            </w:r>
            <w:r>
              <w:rPr>
                <w:rFonts w:hint="eastAsia" w:ascii="宋体" w:hAnsi="宋体" w:cs="宋体"/>
                <w:b/>
                <w:bCs/>
                <w:color w:val="auto"/>
                <w:sz w:val="24"/>
                <w:lang w:val="en-US" w:eastAsia="zh-CN"/>
              </w:rPr>
              <w:t>3</w:t>
            </w:r>
            <w:r>
              <w:rPr>
                <w:rFonts w:hint="eastAsia" w:ascii="宋体" w:hAnsi="宋体" w:eastAsia="宋体" w:cs="宋体"/>
                <w:b/>
                <w:bCs/>
                <w:color w:val="auto"/>
                <w:sz w:val="24"/>
              </w:rPr>
              <w:t>分。</w:t>
            </w:r>
            <w:r>
              <w:rPr>
                <w:rFonts w:hint="eastAsia" w:ascii="宋体" w:hAnsi="宋体" w:eastAsia="宋体" w:cs="宋体"/>
                <w:color w:val="auto"/>
                <w:sz w:val="24"/>
              </w:rPr>
              <w:t>评审标准细化内容：内容包含但不限于①文明施工管理目标及技术措施②文明施工现场管理：材料管理、防扰民措施。 评审标准量化内容：（1）各部分内容全面详细、阐述条理清晰详尽、符合本项目采购需求得</w:t>
            </w:r>
            <w:r>
              <w:rPr>
                <w:rFonts w:hint="eastAsia" w:ascii="宋体" w:hAnsi="宋体" w:cs="宋体"/>
                <w:color w:val="auto"/>
                <w:sz w:val="24"/>
                <w:lang w:val="en-US" w:eastAsia="zh-CN"/>
              </w:rPr>
              <w:t>3</w:t>
            </w:r>
            <w:r>
              <w:rPr>
                <w:rFonts w:hint="eastAsia" w:ascii="宋体" w:hAnsi="宋体" w:eastAsia="宋体" w:cs="宋体"/>
                <w:color w:val="auto"/>
                <w:sz w:val="24"/>
              </w:rPr>
              <w:t>分；（2）评审标准细化内容每缺少一项扣</w:t>
            </w:r>
            <w:r>
              <w:rPr>
                <w:rFonts w:hint="eastAsia" w:ascii="宋体" w:hAnsi="宋体" w:cs="宋体"/>
                <w:color w:val="auto"/>
                <w:sz w:val="24"/>
                <w:lang w:val="en-US" w:eastAsia="zh-CN"/>
              </w:rPr>
              <w:t>1.5</w:t>
            </w:r>
            <w:r>
              <w:rPr>
                <w:rFonts w:hint="eastAsia" w:ascii="宋体" w:hAnsi="宋体" w:eastAsia="宋体" w:cs="宋体"/>
                <w:color w:val="auto"/>
                <w:sz w:val="24"/>
              </w:rPr>
              <w:t>分；（3）评审标准细化内容内容缺失不得分，每有一处内容存在缺陷或不足的扣</w:t>
            </w:r>
            <w:r>
              <w:rPr>
                <w:rFonts w:hint="eastAsia" w:ascii="宋体" w:hAnsi="宋体" w:cs="宋体"/>
                <w:color w:val="auto"/>
                <w:sz w:val="24"/>
                <w:lang w:val="en-US" w:eastAsia="zh-CN"/>
              </w:rPr>
              <w:t>0.5</w:t>
            </w:r>
            <w:r>
              <w:rPr>
                <w:rFonts w:hint="eastAsia" w:ascii="宋体" w:hAnsi="宋体" w:eastAsia="宋体" w:cs="宋体"/>
                <w:color w:val="auto"/>
                <w:sz w:val="24"/>
              </w:rPr>
              <w:t xml:space="preserve">分，该项分值扣完为止。 </w:t>
            </w:r>
          </w:p>
          <w:p w14:paraId="697BB1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457" w:type="pct"/>
            <w:noWrap w:val="0"/>
            <w:vAlign w:val="center"/>
          </w:tcPr>
          <w:p w14:paraId="58E383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cs="宋体"/>
                <w:b/>
                <w:bCs/>
                <w:color w:val="auto"/>
                <w:sz w:val="24"/>
                <w:lang w:val="en-US" w:eastAsia="zh-CN"/>
              </w:rPr>
              <w:t>3分</w:t>
            </w:r>
          </w:p>
        </w:tc>
      </w:tr>
      <w:tr w14:paraId="619F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200" w:type="pct"/>
            <w:vMerge w:val="continue"/>
            <w:noWrap w:val="0"/>
            <w:vAlign w:val="center"/>
          </w:tcPr>
          <w:p w14:paraId="7E27A6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313195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lang w:val="en-US" w:eastAsia="zh-CN"/>
              </w:rPr>
            </w:pPr>
          </w:p>
        </w:tc>
        <w:tc>
          <w:tcPr>
            <w:tcW w:w="3807" w:type="pct"/>
            <w:noWrap w:val="0"/>
            <w:vAlign w:val="center"/>
          </w:tcPr>
          <w:p w14:paraId="0CA95C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宋体"/>
                <w:b/>
                <w:bCs/>
                <w:color w:val="auto"/>
                <w:sz w:val="24"/>
                <w:highlight w:val="none"/>
                <w:lang w:val="en-US" w:eastAsia="zh-CN"/>
              </w:rPr>
            </w:pPr>
            <w:r>
              <w:rPr>
                <w:rFonts w:hint="eastAsia" w:ascii="宋体" w:hAnsi="宋体" w:eastAsia="宋体" w:cs="宋体"/>
                <w:b/>
                <w:bCs/>
                <w:kern w:val="2"/>
                <w:sz w:val="24"/>
                <w:szCs w:val="24"/>
                <w:lang w:val="en-US" w:eastAsia="zh-CN" w:bidi="ar"/>
              </w:rPr>
              <w:t>项目经理部组成（</w:t>
            </w:r>
            <w:r>
              <w:rPr>
                <w:rFonts w:hint="eastAsia" w:ascii="宋体" w:hAnsi="宋体" w:cs="宋体"/>
                <w:b/>
                <w:bCs/>
                <w:kern w:val="2"/>
                <w:sz w:val="24"/>
                <w:szCs w:val="24"/>
                <w:lang w:val="en-US" w:eastAsia="zh-CN" w:bidi="ar"/>
              </w:rPr>
              <w:t>7</w:t>
            </w:r>
            <w:r>
              <w:rPr>
                <w:rFonts w:hint="eastAsia" w:ascii="宋体" w:hAnsi="宋体" w:eastAsia="宋体" w:cs="宋体"/>
                <w:b/>
                <w:bCs/>
                <w:kern w:val="2"/>
                <w:sz w:val="24"/>
                <w:szCs w:val="24"/>
                <w:lang w:val="en-US" w:eastAsia="zh-CN" w:bidi="ar"/>
              </w:rPr>
              <w:t>分）</w:t>
            </w:r>
            <w:r>
              <w:rPr>
                <w:rFonts w:hint="eastAsia" w:ascii="宋体" w:hAnsi="宋体" w:cs="宋体"/>
                <w:b/>
                <w:bCs/>
                <w:color w:val="auto"/>
                <w:sz w:val="24"/>
                <w:highlight w:val="none"/>
                <w:lang w:val="en-US" w:eastAsia="zh-CN"/>
              </w:rPr>
              <w:t>：</w:t>
            </w:r>
          </w:p>
          <w:p w14:paraId="5B2F86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1.技术负责人（2分） </w:t>
            </w:r>
          </w:p>
          <w:p w14:paraId="6AA767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技术负责人具有建筑工程类高级及以上技术职称得2分，具有中级及以上技术职称得1分，其余不得分。</w:t>
            </w:r>
          </w:p>
          <w:p w14:paraId="093937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注：须提供有效的职称证书扫描件(加盖供应商公章)，人员须在本单位注册，同时提供在本单位2026年度至今连续3个月的社保缴纳证明材料，资料不全或未提供者本项不得分。</w:t>
            </w:r>
          </w:p>
          <w:p w14:paraId="04DEB2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2.项目部组成（5分）</w:t>
            </w:r>
          </w:p>
          <w:p w14:paraId="2C5ED3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宋体" w:hAnsi="宋体" w:cs="宋体"/>
                <w:b w:val="0"/>
                <w:bCs w:val="0"/>
                <w:color w:val="auto"/>
                <w:sz w:val="24"/>
                <w:highlight w:val="none"/>
                <w:lang w:val="en-US" w:eastAsia="zh-CN"/>
              </w:rPr>
            </w:pPr>
            <w:r>
              <w:rPr>
                <w:rFonts w:hint="eastAsia" w:ascii="宋体" w:hAnsi="宋体" w:eastAsia="宋体" w:cs="宋体"/>
                <w:color w:val="auto"/>
                <w:sz w:val="24"/>
                <w:highlight w:val="none"/>
              </w:rPr>
              <w:t>机构设置合理，</w:t>
            </w:r>
            <w:r>
              <w:rPr>
                <w:rFonts w:hint="eastAsia" w:ascii="宋体" w:hAnsi="宋体" w:cs="宋体"/>
                <w:b w:val="0"/>
                <w:bCs w:val="0"/>
                <w:color w:val="auto"/>
                <w:sz w:val="24"/>
                <w:highlight w:val="none"/>
                <w:lang w:val="en-US" w:eastAsia="zh-CN"/>
              </w:rPr>
              <w:t>团队配齐施工员、质量员、安全员、材料员、资料员岗位人员，每提供1人且资料齐全得1分，满分5分。</w:t>
            </w:r>
          </w:p>
          <w:p w14:paraId="013167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sz w:val="24"/>
              </w:rPr>
            </w:pPr>
            <w:r>
              <w:rPr>
                <w:rFonts w:hint="eastAsia" w:ascii="宋体" w:hAnsi="宋体" w:cs="宋体"/>
                <w:b/>
                <w:bCs/>
                <w:color w:val="auto"/>
                <w:sz w:val="24"/>
                <w:highlight w:val="none"/>
                <w:lang w:val="en-US" w:eastAsia="zh-CN"/>
              </w:rPr>
              <w:t>注：提供各岗位有效执业资格证书扫描件(加盖供应商公章)，人员须在本单位注册，同时提供在本单位2026年度至今连续3个月的社保缴纳证明材料，资料不全、未提供者不予计分。</w:t>
            </w:r>
          </w:p>
        </w:tc>
        <w:tc>
          <w:tcPr>
            <w:tcW w:w="457" w:type="pct"/>
            <w:noWrap w:val="0"/>
            <w:vAlign w:val="center"/>
          </w:tcPr>
          <w:p w14:paraId="2EF2D0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highlight w:val="none"/>
                <w:lang w:val="en-US"/>
              </w:rPr>
            </w:pPr>
            <w:r>
              <w:rPr>
                <w:rFonts w:hint="eastAsia" w:ascii="宋体" w:hAnsi="宋体" w:cs="宋体"/>
                <w:b/>
                <w:bCs/>
                <w:color w:val="auto"/>
                <w:sz w:val="24"/>
                <w:lang w:val="en-US" w:eastAsia="zh-CN"/>
              </w:rPr>
              <w:t>7</w:t>
            </w:r>
            <w:r>
              <w:rPr>
                <w:rFonts w:hint="eastAsia" w:ascii="宋体" w:hAnsi="宋体" w:eastAsia="宋体" w:cs="宋体"/>
                <w:b/>
                <w:bCs/>
                <w:color w:val="auto"/>
                <w:sz w:val="24"/>
                <w:lang w:val="en-US" w:eastAsia="zh-CN"/>
              </w:rPr>
              <w:t>分</w:t>
            </w:r>
          </w:p>
        </w:tc>
      </w:tr>
      <w:tr w14:paraId="70B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200" w:type="pct"/>
            <w:vMerge w:val="continue"/>
            <w:noWrap w:val="0"/>
            <w:vAlign w:val="center"/>
          </w:tcPr>
          <w:p w14:paraId="3B9352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01163B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lang w:val="en-US" w:eastAsia="zh-CN"/>
              </w:rPr>
            </w:pPr>
          </w:p>
        </w:tc>
        <w:tc>
          <w:tcPr>
            <w:tcW w:w="3807" w:type="pct"/>
            <w:shd w:val="clear" w:color="auto" w:fill="auto"/>
            <w:noWrap w:val="0"/>
            <w:vAlign w:val="center"/>
          </w:tcPr>
          <w:p w14:paraId="6FD0DF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b/>
                <w:bCs/>
                <w:color w:val="auto"/>
                <w:sz w:val="24"/>
                <w:highlight w:val="none"/>
                <w:lang w:val="en-US" w:eastAsia="zh-CN"/>
              </w:rPr>
              <w:t>施工机械配备和材料投入计划</w:t>
            </w:r>
            <w:r>
              <w:rPr>
                <w:rFonts w:hint="eastAsia" w:ascii="宋体" w:hAnsi="宋体" w:cs="宋体"/>
                <w:b/>
                <w:bCs/>
                <w:color w:val="auto"/>
                <w:sz w:val="24"/>
                <w:highlight w:val="none"/>
                <w:lang w:val="en-US" w:eastAsia="zh-CN"/>
              </w:rPr>
              <w:t>：</w:t>
            </w:r>
            <w:r>
              <w:rPr>
                <w:rFonts w:hint="eastAsia" w:ascii="宋体" w:hAnsi="宋体" w:eastAsia="宋体" w:cs="宋体"/>
                <w:color w:val="auto"/>
                <w:sz w:val="24"/>
                <w:highlight w:val="none"/>
              </w:rPr>
              <w:t>评审标准细化及量化内容：根据供应商投入的施工机械配备和材料投入计划等进行评审。</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施工机械配备适配项目需求且方案合理</w:t>
            </w:r>
            <w:r>
              <w:rPr>
                <w:rFonts w:hint="eastAsia" w:ascii="宋体" w:hAnsi="宋体" w:cs="宋体"/>
                <w:color w:val="auto"/>
                <w:sz w:val="24"/>
                <w:highlight w:val="none"/>
                <w:lang w:val="en-US" w:eastAsia="zh-CN"/>
              </w:rPr>
              <w:t>并</w:t>
            </w:r>
            <w:r>
              <w:rPr>
                <w:rFonts w:hint="eastAsia" w:ascii="宋体" w:hAnsi="宋体" w:eastAsia="宋体" w:cs="宋体"/>
                <w:color w:val="auto"/>
                <w:sz w:val="24"/>
                <w:highlight w:val="none"/>
              </w:rPr>
              <w:t>完整提交设备权属、租赁合同、购置凭证等有效设备来源证明；拟投入全部</w:t>
            </w:r>
            <w:r>
              <w:rPr>
                <w:rFonts w:hint="eastAsia" w:ascii="宋体" w:hAnsi="宋体" w:cs="宋体"/>
                <w:color w:val="auto"/>
                <w:sz w:val="24"/>
                <w:highlight w:val="none"/>
                <w:lang w:val="en-US" w:eastAsia="zh-CN"/>
              </w:rPr>
              <w:t>主要</w:t>
            </w:r>
            <w:r>
              <w:rPr>
                <w:rFonts w:hint="eastAsia" w:ascii="宋体" w:hAnsi="宋体" w:eastAsia="宋体" w:cs="宋体"/>
                <w:color w:val="auto"/>
                <w:sz w:val="24"/>
                <w:highlight w:val="none"/>
              </w:rPr>
              <w:t>材料环保性能符合国家现行标准并附对应检测证明得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cs="宋体"/>
                <w:color w:val="auto"/>
                <w:sz w:val="24"/>
                <w:highlight w:val="none"/>
                <w:lang w:val="en-US" w:eastAsia="zh-CN"/>
              </w:rPr>
              <w:t>2.仅施工机械配备、材料投入计划整体基本合理可行，但缺少设备来源证明材料，或未证实材料环保指标符合国家标准得2分。未提供不得分。</w:t>
            </w:r>
          </w:p>
        </w:tc>
        <w:tc>
          <w:tcPr>
            <w:tcW w:w="457" w:type="pct"/>
            <w:shd w:val="clear" w:color="auto" w:fill="auto"/>
            <w:noWrap w:val="0"/>
            <w:vAlign w:val="center"/>
          </w:tcPr>
          <w:p w14:paraId="084637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kern w:val="2"/>
                <w:sz w:val="24"/>
                <w:szCs w:val="21"/>
                <w:highlight w:val="none"/>
                <w:lang w:val="en-US" w:eastAsia="zh-CN" w:bidi="ar-SA"/>
              </w:rPr>
            </w:pPr>
            <w:r>
              <w:rPr>
                <w:rFonts w:hint="eastAsia" w:ascii="宋体" w:hAnsi="宋体" w:cs="宋体"/>
                <w:b/>
                <w:bCs/>
                <w:color w:val="auto"/>
                <w:sz w:val="24"/>
                <w:lang w:val="en-US" w:eastAsia="zh-CN"/>
              </w:rPr>
              <w:t>5</w:t>
            </w:r>
            <w:r>
              <w:rPr>
                <w:rFonts w:hint="eastAsia" w:ascii="仿宋" w:hAnsi="仿宋"/>
                <w:b/>
                <w:bCs/>
                <w:color w:val="auto"/>
                <w:sz w:val="24"/>
                <w:lang w:val="en-US" w:eastAsia="zh-CN"/>
              </w:rPr>
              <w:t>分</w:t>
            </w:r>
          </w:p>
        </w:tc>
      </w:tr>
      <w:tr w14:paraId="58D0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200" w:type="pct"/>
            <w:vMerge w:val="continue"/>
            <w:noWrap w:val="0"/>
            <w:vAlign w:val="center"/>
          </w:tcPr>
          <w:p w14:paraId="28635B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p>
        </w:tc>
        <w:tc>
          <w:tcPr>
            <w:tcW w:w="533" w:type="pct"/>
            <w:vMerge w:val="continue"/>
            <w:noWrap w:val="0"/>
            <w:vAlign w:val="center"/>
          </w:tcPr>
          <w:p w14:paraId="70FEF9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cs="宋体"/>
                <w:color w:val="auto"/>
                <w:sz w:val="24"/>
                <w:lang w:val="en-US" w:eastAsia="zh-CN"/>
              </w:rPr>
            </w:pPr>
          </w:p>
        </w:tc>
        <w:tc>
          <w:tcPr>
            <w:tcW w:w="3807" w:type="pct"/>
            <w:noWrap w:val="0"/>
            <w:vAlign w:val="center"/>
          </w:tcPr>
          <w:p w14:paraId="70582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color w:val="auto"/>
                <w:sz w:val="24"/>
                <w:highlight w:val="none"/>
              </w:rPr>
            </w:pPr>
            <w:r>
              <w:rPr>
                <w:rFonts w:hint="default" w:ascii="宋体" w:hAnsi="宋体" w:eastAsia="宋体" w:cs="宋体"/>
                <w:b/>
                <w:bCs/>
                <w:color w:val="auto"/>
                <w:sz w:val="24"/>
                <w:szCs w:val="24"/>
              </w:rPr>
              <w:t>技术实力与创新</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highlight w:val="none"/>
              </w:rPr>
              <w:t>区间分值：0-</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r>
              <w:rPr>
                <w:rFonts w:hint="default" w:ascii="宋体" w:hAnsi="宋体" w:eastAsia="宋体" w:cs="宋体"/>
                <w:color w:val="auto"/>
                <w:sz w:val="24"/>
                <w:szCs w:val="24"/>
              </w:rPr>
              <w:t>针对本工程在技术实力与创新方面的响应方案，内容包含但不限于：①现有核心技术能力说明；②新技术、新工艺、新材料在本项目的应用方案；③技术创新点及针对性优化措施等</w:t>
            </w:r>
            <w:r>
              <w:rPr>
                <w:rFonts w:hint="eastAsia" w:ascii="宋体" w:hAnsi="宋体" w:eastAsia="宋体" w:cs="宋体"/>
                <w:color w:val="auto"/>
                <w:sz w:val="24"/>
                <w:szCs w:val="24"/>
                <w:lang w:eastAsia="zh-CN"/>
              </w:rPr>
              <w:t>。</w:t>
            </w:r>
            <w:r>
              <w:rPr>
                <w:rFonts w:hint="eastAsia" w:ascii="宋体" w:hAnsi="宋体" w:eastAsia="宋体" w:cs="宋体"/>
                <w:color w:val="auto"/>
                <w:sz w:val="24"/>
              </w:rPr>
              <w:t>评审标准量化内容：（1）</w:t>
            </w:r>
            <w:r>
              <w:rPr>
                <w:rFonts w:hint="default" w:ascii="宋体" w:hAnsi="宋体" w:eastAsia="宋体" w:cs="宋体"/>
                <w:color w:val="auto"/>
                <w:sz w:val="24"/>
                <w:szCs w:val="24"/>
              </w:rPr>
              <w:t>技术创新点突出、可实施性强，能提升工程质量或效率得</w:t>
            </w:r>
            <w:r>
              <w:rPr>
                <w:rFonts w:hint="eastAsia" w:ascii="宋体" w:hAnsi="宋体" w:cs="宋体"/>
                <w:color w:val="auto"/>
                <w:sz w:val="24"/>
                <w:szCs w:val="24"/>
                <w:lang w:val="en-US" w:eastAsia="zh-CN"/>
              </w:rPr>
              <w:t>6</w:t>
            </w:r>
            <w:r>
              <w:rPr>
                <w:rFonts w:hint="default" w:ascii="宋体" w:hAnsi="宋体" w:eastAsia="宋体" w:cs="宋体"/>
                <w:color w:val="auto"/>
                <w:sz w:val="24"/>
                <w:szCs w:val="24"/>
              </w:rPr>
              <w:t>分；</w:t>
            </w:r>
            <w:r>
              <w:rPr>
                <w:rFonts w:hint="eastAsia" w:ascii="宋体" w:hAnsi="宋体" w:eastAsia="宋体" w:cs="宋体"/>
                <w:color w:val="auto"/>
                <w:sz w:val="24"/>
              </w:rPr>
              <w:t>（2）评</w:t>
            </w:r>
            <w:r>
              <w:rPr>
                <w:rFonts w:hint="eastAsia" w:ascii="仿宋" w:hAnsi="仿宋"/>
                <w:color w:val="auto"/>
                <w:sz w:val="24"/>
                <w:highlight w:val="none"/>
              </w:rPr>
              <w:t>审标准细化内容每缺少一项</w:t>
            </w:r>
            <w:r>
              <w:rPr>
                <w:rFonts w:hint="eastAsia" w:ascii="宋体" w:hAnsi="宋体" w:eastAsia="宋体" w:cs="宋体"/>
                <w:color w:val="auto"/>
                <w:sz w:val="24"/>
                <w:szCs w:val="24"/>
              </w:rPr>
              <w:t>扣</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仿宋" w:hAnsi="仿宋"/>
                <w:color w:val="auto"/>
                <w:sz w:val="24"/>
                <w:highlight w:val="none"/>
              </w:rPr>
              <w:t>；</w:t>
            </w:r>
            <w:r>
              <w:rPr>
                <w:rFonts w:hint="eastAsia" w:ascii="宋体" w:hAnsi="宋体" w:eastAsia="宋体" w:cs="宋体"/>
                <w:color w:val="auto"/>
                <w:sz w:val="24"/>
                <w:szCs w:val="24"/>
              </w:rPr>
              <w:t>（3）评审</w:t>
            </w:r>
            <w:r>
              <w:rPr>
                <w:rFonts w:hint="eastAsia" w:ascii="仿宋" w:hAnsi="仿宋"/>
                <w:color w:val="auto"/>
                <w:sz w:val="24"/>
                <w:highlight w:val="none"/>
              </w:rPr>
              <w:t>标准细化内容内容缺失不得分，每有一处内容存在缺陷或不足的</w:t>
            </w:r>
            <w:r>
              <w:rPr>
                <w:rFonts w:hint="eastAsia" w:ascii="宋体" w:hAnsi="宋体" w:eastAsia="宋体" w:cs="宋体"/>
                <w:color w:val="auto"/>
                <w:sz w:val="24"/>
                <w:szCs w:val="24"/>
              </w:rPr>
              <w:t>扣</w:t>
            </w:r>
            <w:r>
              <w:rPr>
                <w:rFonts w:hint="eastAsia" w:ascii="宋体" w:hAnsi="宋体" w:cs="宋体"/>
                <w:color w:val="auto"/>
                <w:sz w:val="24"/>
                <w:szCs w:val="24"/>
                <w:lang w:val="en-US" w:eastAsia="zh-CN"/>
              </w:rPr>
              <w:t>1</w:t>
            </w:r>
            <w:r>
              <w:rPr>
                <w:rFonts w:hint="eastAsia" w:ascii="仿宋" w:hAnsi="仿宋"/>
                <w:color w:val="auto"/>
                <w:sz w:val="24"/>
                <w:highlight w:val="none"/>
              </w:rPr>
              <w:t>分，该项分值扣完为止。</w:t>
            </w:r>
          </w:p>
          <w:p w14:paraId="3B960A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color w:val="auto"/>
                <w:sz w:val="24"/>
                <w:highlight w:val="none"/>
              </w:rPr>
            </w:pPr>
            <w:r>
              <w:rPr>
                <w:rFonts w:hint="eastAsia" w:ascii="宋体" w:hAnsi="宋体" w:eastAsia="宋体" w:cs="宋体"/>
                <w:b/>
                <w:bCs/>
                <w:color w:val="auto"/>
                <w:sz w:val="24"/>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457" w:type="pct"/>
            <w:noWrap w:val="0"/>
            <w:vAlign w:val="center"/>
          </w:tcPr>
          <w:p w14:paraId="409A3E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6分</w:t>
            </w:r>
          </w:p>
        </w:tc>
      </w:tr>
      <w:tr w14:paraId="3A612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200" w:type="pct"/>
            <w:noWrap w:val="0"/>
            <w:vAlign w:val="center"/>
          </w:tcPr>
          <w:p w14:paraId="66AEAC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3</w:t>
            </w:r>
          </w:p>
        </w:tc>
        <w:tc>
          <w:tcPr>
            <w:tcW w:w="533" w:type="pct"/>
            <w:noWrap w:val="0"/>
            <w:vAlign w:val="center"/>
          </w:tcPr>
          <w:p w14:paraId="072D49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保修</w:t>
            </w:r>
          </w:p>
          <w:p w14:paraId="77EB1A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方案</w:t>
            </w:r>
          </w:p>
          <w:p w14:paraId="67A96C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b/>
                <w:bCs/>
                <w:color w:val="auto"/>
                <w:sz w:val="24"/>
              </w:rPr>
            </w:pPr>
            <w:r>
              <w:rPr>
                <w:rFonts w:hint="eastAsia" w:ascii="宋体" w:hAnsi="宋体" w:eastAsia="宋体" w:cs="宋体"/>
                <w:b/>
                <w:bCs/>
                <w:color w:val="auto"/>
                <w:sz w:val="24"/>
              </w:rPr>
              <w:t>（</w:t>
            </w:r>
            <w:r>
              <w:rPr>
                <w:rFonts w:hint="eastAsia" w:ascii="宋体" w:hAnsi="宋体" w:cs="宋体"/>
                <w:b/>
                <w:bCs/>
                <w:color w:val="auto"/>
                <w:sz w:val="24"/>
                <w:lang w:val="en-US" w:eastAsia="zh-CN"/>
              </w:rPr>
              <w:t>6</w:t>
            </w:r>
            <w:r>
              <w:rPr>
                <w:rFonts w:hint="eastAsia" w:ascii="宋体" w:hAnsi="宋体" w:eastAsia="宋体" w:cs="宋体"/>
                <w:b/>
                <w:bCs/>
                <w:color w:val="auto"/>
                <w:sz w:val="24"/>
              </w:rPr>
              <w:t>分）</w:t>
            </w:r>
          </w:p>
          <w:p w14:paraId="55A65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auto"/>
                <w:sz w:val="24"/>
                <w:lang w:eastAsia="zh-CN"/>
              </w:rPr>
            </w:pPr>
          </w:p>
        </w:tc>
        <w:tc>
          <w:tcPr>
            <w:tcW w:w="3807" w:type="pct"/>
            <w:noWrap w:val="0"/>
            <w:vAlign w:val="center"/>
          </w:tcPr>
          <w:p w14:paraId="024EF9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仿宋" w:hAnsi="仿宋"/>
                <w:color w:val="auto"/>
                <w:sz w:val="24"/>
                <w:highlight w:val="none"/>
              </w:rPr>
            </w:pPr>
            <w:r>
              <w:rPr>
                <w:rFonts w:hint="eastAsia" w:ascii="宋体" w:hAnsi="宋体" w:cs="宋体"/>
                <w:b/>
                <w:bCs/>
                <w:color w:val="auto"/>
                <w:sz w:val="24"/>
                <w:lang w:val="en-US" w:eastAsia="zh-CN"/>
              </w:rPr>
              <w:t>保修方案：区间分值：0-6分。</w:t>
            </w:r>
            <w:r>
              <w:rPr>
                <w:rFonts w:hint="eastAsia" w:ascii="宋体" w:hAnsi="宋体" w:eastAsia="宋体" w:cs="宋体"/>
                <w:color w:val="auto"/>
                <w:sz w:val="24"/>
              </w:rPr>
              <w:t>评审标准细化内容：内容包含但不限于①工程验收</w:t>
            </w:r>
            <w:r>
              <w:rPr>
                <w:rFonts w:hint="eastAsia" w:ascii="宋体" w:hAnsi="宋体" w:cs="宋体"/>
                <w:color w:val="auto"/>
                <w:sz w:val="24"/>
                <w:lang w:eastAsia="zh-CN"/>
              </w:rPr>
              <w:t>；</w:t>
            </w:r>
            <w:r>
              <w:rPr>
                <w:rFonts w:hint="eastAsia" w:ascii="宋体" w:hAnsi="宋体" w:eastAsia="宋体" w:cs="宋体"/>
                <w:color w:val="auto"/>
                <w:sz w:val="24"/>
              </w:rPr>
              <w:t>②维修措施</w:t>
            </w:r>
            <w:r>
              <w:rPr>
                <w:rFonts w:hint="eastAsia" w:ascii="宋体" w:hAnsi="宋体" w:cs="宋体"/>
                <w:color w:val="auto"/>
                <w:sz w:val="24"/>
                <w:lang w:eastAsia="zh-CN"/>
              </w:rPr>
              <w:t>；</w:t>
            </w:r>
            <w:r>
              <w:rPr>
                <w:rFonts w:hint="eastAsia" w:ascii="宋体" w:hAnsi="宋体" w:eastAsia="宋体" w:cs="宋体"/>
                <w:color w:val="auto"/>
                <w:sz w:val="24"/>
              </w:rPr>
              <w:t>③保修承诺等。</w:t>
            </w:r>
            <w:r>
              <w:rPr>
                <w:rFonts w:hint="eastAsia" w:ascii="宋体" w:hAnsi="宋体" w:cs="宋体"/>
                <w:color w:val="auto"/>
                <w:sz w:val="24"/>
                <w:lang w:val="en-US" w:eastAsia="zh-CN"/>
              </w:rPr>
              <w:t>评审标准量化内容：（1）</w:t>
            </w:r>
            <w:r>
              <w:rPr>
                <w:rFonts w:hint="eastAsia" w:ascii="宋体" w:hAnsi="宋体" w:eastAsia="宋体" w:cs="宋体"/>
                <w:color w:val="auto"/>
                <w:sz w:val="24"/>
              </w:rPr>
              <w:t>以上内容专门针对本项目且阐述明晰、全面、合理得6分</w:t>
            </w:r>
            <w:r>
              <w:rPr>
                <w:rFonts w:hint="eastAsia" w:ascii="宋体" w:hAnsi="宋体" w:cs="宋体"/>
                <w:color w:val="auto"/>
                <w:sz w:val="24"/>
                <w:lang w:eastAsia="zh-CN"/>
              </w:rPr>
              <w:t>；</w:t>
            </w:r>
            <w:r>
              <w:rPr>
                <w:rFonts w:hint="eastAsia" w:ascii="仿宋" w:hAnsi="仿宋"/>
                <w:color w:val="auto"/>
                <w:sz w:val="24"/>
                <w:highlight w:val="none"/>
              </w:rPr>
              <w:t>（</w:t>
            </w:r>
            <w:r>
              <w:rPr>
                <w:rFonts w:hint="eastAsia" w:ascii="宋体" w:hAnsi="宋体" w:eastAsia="宋体" w:cs="宋体"/>
                <w:color w:val="auto"/>
                <w:sz w:val="24"/>
                <w:lang w:val="en-US" w:eastAsia="zh-CN"/>
              </w:rPr>
              <w:t>2</w:t>
            </w:r>
            <w:r>
              <w:rPr>
                <w:rFonts w:hint="eastAsia" w:ascii="仿宋" w:hAnsi="仿宋"/>
                <w:color w:val="auto"/>
                <w:sz w:val="24"/>
                <w:highlight w:val="none"/>
              </w:rPr>
              <w:t>）</w:t>
            </w:r>
            <w:r>
              <w:rPr>
                <w:rFonts w:hint="eastAsia" w:ascii="宋体" w:hAnsi="宋体" w:eastAsia="宋体" w:cs="宋体"/>
                <w:color w:val="auto"/>
                <w:sz w:val="24"/>
              </w:rPr>
              <w:t>每缺一项内容扣2分</w:t>
            </w:r>
            <w:r>
              <w:rPr>
                <w:rFonts w:hint="eastAsia" w:ascii="宋体" w:hAnsi="宋体" w:cs="宋体"/>
                <w:color w:val="auto"/>
                <w:sz w:val="24"/>
                <w:lang w:eastAsia="zh-CN"/>
              </w:rPr>
              <w:t>；</w:t>
            </w:r>
            <w:r>
              <w:rPr>
                <w:rFonts w:hint="eastAsia" w:ascii="仿宋" w:hAnsi="仿宋"/>
                <w:color w:val="auto"/>
                <w:sz w:val="24"/>
                <w:highlight w:val="none"/>
              </w:rPr>
              <w:t>（</w:t>
            </w:r>
            <w:r>
              <w:rPr>
                <w:rFonts w:hint="eastAsia" w:ascii="宋体" w:hAnsi="宋体" w:eastAsia="宋体" w:cs="宋体"/>
                <w:color w:val="auto"/>
                <w:sz w:val="24"/>
                <w:lang w:val="en-US" w:eastAsia="zh-CN"/>
              </w:rPr>
              <w:t>3</w:t>
            </w:r>
            <w:r>
              <w:rPr>
                <w:rFonts w:hint="eastAsia" w:ascii="仿宋" w:hAnsi="仿宋"/>
                <w:color w:val="auto"/>
                <w:sz w:val="24"/>
                <w:highlight w:val="none"/>
              </w:rPr>
              <w:t>）评审标准细化内容内容缺失不得分，每有一处内容存在缺陷或不足的扣</w:t>
            </w:r>
            <w:r>
              <w:rPr>
                <w:rFonts w:hint="eastAsia" w:ascii="宋体" w:hAnsi="宋体" w:eastAsia="宋体" w:cs="宋体"/>
                <w:color w:val="auto"/>
                <w:sz w:val="24"/>
                <w:lang w:val="en-US" w:eastAsia="zh-CN"/>
              </w:rPr>
              <w:t>1</w:t>
            </w:r>
            <w:r>
              <w:rPr>
                <w:rFonts w:hint="eastAsia" w:ascii="仿宋" w:hAnsi="仿宋"/>
                <w:color w:val="auto"/>
                <w:sz w:val="24"/>
                <w:highlight w:val="none"/>
              </w:rPr>
              <w:t>分，该项分值扣完为止。</w:t>
            </w:r>
          </w:p>
          <w:p w14:paraId="552F7CFC">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rPr>
            </w:pPr>
            <w:r>
              <w:rPr>
                <w:rFonts w:hint="eastAsia" w:ascii="宋体" w:hAnsi="宋体" w:eastAsia="宋体" w:cs="宋体"/>
                <w:b/>
                <w:bCs/>
                <w:color w:val="auto"/>
                <w:kern w:val="2"/>
                <w:sz w:val="24"/>
                <w:szCs w:val="21"/>
                <w:lang w:val="en-US" w:eastAsia="zh-CN" w:bidi="ar-SA"/>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457" w:type="pct"/>
            <w:noWrap w:val="0"/>
            <w:vAlign w:val="center"/>
          </w:tcPr>
          <w:p w14:paraId="63C51F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lang w:val="en-US" w:eastAsia="zh-CN"/>
              </w:rPr>
              <w:t>6分</w:t>
            </w:r>
          </w:p>
        </w:tc>
      </w:tr>
      <w:tr w14:paraId="73372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00" w:type="pct"/>
            <w:noWrap w:val="0"/>
            <w:vAlign w:val="center"/>
          </w:tcPr>
          <w:p w14:paraId="46EF11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4</w:t>
            </w:r>
          </w:p>
        </w:tc>
        <w:tc>
          <w:tcPr>
            <w:tcW w:w="533" w:type="pct"/>
            <w:noWrap w:val="0"/>
            <w:vAlign w:val="center"/>
          </w:tcPr>
          <w:p w14:paraId="7C7E87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b/>
                <w:bCs/>
                <w:color w:val="auto"/>
                <w:sz w:val="24"/>
              </w:rPr>
            </w:pPr>
            <w:r>
              <w:rPr>
                <w:rFonts w:hint="eastAsia" w:ascii="宋体" w:hAnsi="宋体" w:eastAsia="宋体" w:cs="宋体"/>
                <w:b/>
                <w:bCs/>
                <w:color w:val="auto"/>
                <w:sz w:val="24"/>
              </w:rPr>
              <w:t>业绩</w:t>
            </w:r>
          </w:p>
          <w:p w14:paraId="772185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lang w:val="en-US" w:eastAsia="zh-CN"/>
              </w:rPr>
            </w:pPr>
            <w:r>
              <w:rPr>
                <w:rFonts w:hint="eastAsia" w:ascii="宋体" w:hAnsi="宋体" w:eastAsia="宋体" w:cs="宋体"/>
                <w:b/>
                <w:bCs/>
                <w:color w:val="auto"/>
                <w:sz w:val="24"/>
              </w:rPr>
              <w:t>（</w:t>
            </w:r>
            <w:r>
              <w:rPr>
                <w:rFonts w:hint="eastAsia" w:ascii="宋体" w:hAnsi="宋体" w:cs="宋体"/>
                <w:b/>
                <w:bCs/>
                <w:color w:val="auto"/>
                <w:sz w:val="24"/>
                <w:lang w:val="en-US" w:eastAsia="zh-CN"/>
              </w:rPr>
              <w:t>9</w:t>
            </w:r>
            <w:r>
              <w:rPr>
                <w:rFonts w:hint="eastAsia" w:ascii="宋体" w:hAnsi="宋体" w:eastAsia="宋体" w:cs="宋体"/>
                <w:b/>
                <w:bCs/>
                <w:color w:val="auto"/>
                <w:sz w:val="24"/>
              </w:rPr>
              <w:t>分）</w:t>
            </w:r>
          </w:p>
        </w:tc>
        <w:tc>
          <w:tcPr>
            <w:tcW w:w="3807" w:type="pct"/>
            <w:noWrap w:val="0"/>
            <w:vAlign w:val="center"/>
          </w:tcPr>
          <w:p w14:paraId="3BDE9E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rPr>
              <w:t>业绩：</w:t>
            </w:r>
            <w:r>
              <w:rPr>
                <w:rFonts w:hint="eastAsia" w:ascii="宋体" w:hAnsi="宋体" w:eastAsia="宋体" w:cs="宋体"/>
                <w:b w:val="0"/>
                <w:bCs w:val="0"/>
                <w:color w:val="auto"/>
                <w:sz w:val="24"/>
                <w:highlight w:val="none"/>
              </w:rPr>
              <w:t>提供202</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7</w:t>
            </w:r>
            <w:r>
              <w:rPr>
                <w:rFonts w:hint="eastAsia" w:ascii="宋体" w:hAnsi="宋体" w:eastAsia="宋体" w:cs="宋体"/>
                <w:b w:val="0"/>
                <w:bCs w:val="0"/>
                <w:color w:val="auto"/>
                <w:sz w:val="24"/>
                <w:highlight w:val="none"/>
                <w:lang w:val="en-US" w:eastAsia="zh-CN"/>
              </w:rPr>
              <w:t>月</w:t>
            </w:r>
            <w:r>
              <w:rPr>
                <w:rFonts w:hint="eastAsia" w:ascii="宋体" w:hAnsi="宋体" w:eastAsia="宋体" w:cs="宋体"/>
                <w:b w:val="0"/>
                <w:bCs w:val="0"/>
                <w:color w:val="auto"/>
                <w:sz w:val="24"/>
                <w:highlight w:val="none"/>
              </w:rPr>
              <w:t>至今类似项目</w:t>
            </w:r>
            <w:r>
              <w:rPr>
                <w:rFonts w:hint="eastAsia" w:ascii="宋体" w:hAnsi="宋体" w:eastAsia="宋体" w:cs="宋体"/>
                <w:b w:val="0"/>
                <w:bCs w:val="0"/>
                <w:color w:val="auto"/>
                <w:sz w:val="24"/>
                <w:highlight w:val="none"/>
                <w:lang w:val="en-US" w:eastAsia="zh-CN"/>
              </w:rPr>
              <w:t>业绩</w:t>
            </w:r>
            <w:r>
              <w:rPr>
                <w:rFonts w:hint="eastAsia" w:ascii="宋体" w:hAnsi="宋体" w:eastAsia="宋体" w:cs="宋体"/>
                <w:b w:val="0"/>
                <w:bCs w:val="0"/>
                <w:color w:val="auto"/>
                <w:sz w:val="24"/>
                <w:highlight w:val="none"/>
              </w:rPr>
              <w:t>合同，每提供1份得</w:t>
            </w:r>
            <w:r>
              <w:rPr>
                <w:rFonts w:hint="eastAsia" w:ascii="宋体" w:hAnsi="宋体" w:cs="宋体"/>
                <w:b w:val="0"/>
                <w:bCs w:val="0"/>
                <w:color w:val="auto"/>
                <w:sz w:val="24"/>
                <w:highlight w:val="none"/>
                <w:lang w:val="en-US" w:eastAsia="zh-CN"/>
              </w:rPr>
              <w:t>3分</w:t>
            </w:r>
            <w:r>
              <w:rPr>
                <w:rFonts w:hint="eastAsia" w:ascii="宋体" w:hAnsi="宋体" w:eastAsia="宋体" w:cs="宋体"/>
                <w:b w:val="0"/>
                <w:bCs w:val="0"/>
                <w:color w:val="auto"/>
                <w:sz w:val="24"/>
                <w:highlight w:val="none"/>
              </w:rPr>
              <w:t>，最高得</w:t>
            </w:r>
            <w:r>
              <w:rPr>
                <w:rFonts w:hint="eastAsia" w:ascii="宋体" w:hAnsi="宋体" w:cs="宋体"/>
                <w:b w:val="0"/>
                <w:bCs w:val="0"/>
                <w:color w:val="auto"/>
                <w:sz w:val="24"/>
                <w:highlight w:val="none"/>
                <w:lang w:val="en-US" w:eastAsia="zh-CN"/>
              </w:rPr>
              <w:t>9</w:t>
            </w:r>
            <w:r>
              <w:rPr>
                <w:rFonts w:hint="eastAsia" w:ascii="宋体" w:hAnsi="宋体" w:eastAsia="宋体" w:cs="宋体"/>
                <w:b w:val="0"/>
                <w:bCs w:val="0"/>
                <w:color w:val="auto"/>
                <w:sz w:val="24"/>
                <w:highlight w:val="none"/>
              </w:rPr>
              <w:t>分</w:t>
            </w:r>
            <w:r>
              <w:rPr>
                <w:rFonts w:hint="eastAsia" w:ascii="宋体" w:hAnsi="宋体" w:eastAsia="宋体" w:cs="宋体"/>
                <w:color w:val="auto"/>
                <w:sz w:val="24"/>
                <w:szCs w:val="24"/>
              </w:rPr>
              <w:t>（</w:t>
            </w:r>
            <w:r>
              <w:rPr>
                <w:rFonts w:hint="eastAsia" w:ascii="宋体" w:hAnsi="宋体" w:eastAsia="宋体" w:cs="宋体"/>
                <w:color w:val="auto"/>
                <w:sz w:val="24"/>
                <w:highlight w:val="none"/>
                <w:lang w:val="en-US" w:eastAsia="zh-CN"/>
              </w:rPr>
              <w:t>以合同签订日期为准，所有内容应清晰可辨，否则不予认可</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。未提供不得分。</w:t>
            </w:r>
          </w:p>
        </w:tc>
        <w:tc>
          <w:tcPr>
            <w:tcW w:w="457" w:type="pct"/>
            <w:noWrap w:val="0"/>
            <w:vAlign w:val="center"/>
          </w:tcPr>
          <w:p w14:paraId="0AB7A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9分</w:t>
            </w:r>
          </w:p>
        </w:tc>
      </w:tr>
    </w:tbl>
    <w:p w14:paraId="31D46DE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5D841381">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09DB79F4">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cs="宋体"/>
          <w:bCs/>
          <w:color w:val="auto"/>
          <w:sz w:val="24"/>
          <w:szCs w:val="24"/>
          <w:lang w:eastAsia="zh-CN"/>
        </w:rPr>
        <w:t>。</w:t>
      </w:r>
    </w:p>
    <w:p w14:paraId="072865B7">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r>
        <w:rPr>
          <w:rFonts w:hint="eastAsia" w:ascii="宋体" w:hAnsi="宋体" w:cs="宋体"/>
          <w:bCs/>
          <w:color w:val="auto"/>
          <w:sz w:val="24"/>
          <w:szCs w:val="24"/>
          <w:lang w:eastAsia="zh-CN"/>
        </w:rPr>
        <w:t>。</w:t>
      </w:r>
    </w:p>
    <w:p w14:paraId="2B954B81">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r>
        <w:rPr>
          <w:rFonts w:hint="eastAsia" w:ascii="宋体" w:hAnsi="宋体" w:cs="宋体"/>
          <w:bCs/>
          <w:color w:val="auto"/>
          <w:sz w:val="24"/>
          <w:szCs w:val="24"/>
          <w:lang w:eastAsia="zh-CN"/>
        </w:rPr>
        <w:t>。</w:t>
      </w:r>
    </w:p>
    <w:p w14:paraId="2140BD9A">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D867E97">
      <w:pPr>
        <w:keepNext w:val="0"/>
        <w:keepLines w:val="0"/>
        <w:pageBreakBefore w:val="0"/>
        <w:widowControl w:val="0"/>
        <w:kinsoku/>
        <w:wordWrap/>
        <w:overflowPunct/>
        <w:topLinePunct w:val="0"/>
        <w:autoSpaceDE/>
        <w:autoSpaceDN/>
        <w:bidi w:val="0"/>
        <w:adjustRightInd/>
        <w:snapToGrid/>
        <w:spacing w:line="400" w:lineRule="exact"/>
        <w:ind w:firstLine="600" w:firstLineChars="250"/>
        <w:textAlignment w:val="auto"/>
        <w:rPr>
          <w:rFonts w:hint="eastAsia" w:ascii="宋体" w:hAnsi="宋体" w:eastAsia="宋体" w:cs="宋体"/>
          <w:bCs/>
          <w:color w:val="auto"/>
          <w:sz w:val="24"/>
          <w:szCs w:val="24"/>
        </w:rPr>
      </w:pPr>
      <w:r>
        <w:rPr>
          <w:rFonts w:hint="eastAsia" w:ascii="宋体" w:hAnsi="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eastAsia="宋体" w:cs="宋体"/>
          <w:bCs/>
          <w:color w:val="auto"/>
          <w:sz w:val="24"/>
          <w:szCs w:val="24"/>
        </w:rPr>
        <w:t>满足</w:t>
      </w:r>
      <w:r>
        <w:rPr>
          <w:rFonts w:hint="eastAsia" w:ascii="宋体" w:hAnsi="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129"/>
    <w:p w14:paraId="6B57592E">
      <w:pPr>
        <w:pStyle w:val="22"/>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jc w:val="center"/>
        <w:textAlignment w:val="auto"/>
        <w:outlineLvl w:val="0"/>
        <w:rPr>
          <w:rFonts w:hint="eastAsia"/>
          <w:color w:val="auto"/>
          <w:sz w:val="36"/>
          <w:lang w:val="en-US" w:eastAsia="zh-CN"/>
        </w:rPr>
        <w:sectPr>
          <w:pgSz w:w="11906" w:h="16838"/>
          <w:pgMar w:top="1417" w:right="1417" w:bottom="1417" w:left="1417" w:header="1134" w:footer="1191" w:gutter="0"/>
          <w:pgNumType w:fmt="decimal"/>
          <w:cols w:space="0" w:num="1"/>
          <w:titlePg/>
          <w:rtlGutter w:val="0"/>
          <w:docGrid w:type="lines" w:linePitch="333" w:charSpace="0"/>
        </w:sectPr>
      </w:pPr>
      <w:bookmarkStart w:id="130" w:name="_Toc6835"/>
      <w:bookmarkStart w:id="131" w:name="_Toc15647"/>
    </w:p>
    <w:p w14:paraId="6D225A27">
      <w:pPr>
        <w:pStyle w:val="22"/>
        <w:keepNext w:val="0"/>
        <w:keepLines w:val="0"/>
        <w:pageBreakBefore w:val="0"/>
        <w:widowControl w:val="0"/>
        <w:numPr>
          <w:ilvl w:val="0"/>
          <w:numId w:val="0"/>
        </w:numPr>
        <w:kinsoku/>
        <w:wordWrap/>
        <w:overflowPunct/>
        <w:topLinePunct w:val="0"/>
        <w:autoSpaceDE/>
        <w:autoSpaceDN/>
        <w:bidi w:val="0"/>
        <w:adjustRightInd/>
        <w:snapToGrid/>
        <w:spacing w:before="168" w:beforeLines="50" w:after="168" w:afterLines="50" w:line="420" w:lineRule="exact"/>
        <w:jc w:val="center"/>
        <w:textAlignment w:val="auto"/>
        <w:outlineLvl w:val="0"/>
        <w:rPr>
          <w:rFonts w:hint="eastAsia" w:eastAsia="宋体"/>
          <w:color w:val="auto"/>
          <w:sz w:val="36"/>
        </w:rPr>
      </w:pPr>
      <w:bookmarkStart w:id="132" w:name="_Toc1603"/>
      <w:r>
        <w:rPr>
          <w:rFonts w:hint="eastAsia"/>
          <w:color w:val="auto"/>
          <w:sz w:val="36"/>
          <w:lang w:val="en-US" w:eastAsia="zh-CN"/>
        </w:rPr>
        <w:t xml:space="preserve">第五部分  </w:t>
      </w:r>
      <w:r>
        <w:rPr>
          <w:rFonts w:hint="eastAsia" w:eastAsia="宋体"/>
          <w:color w:val="auto"/>
          <w:sz w:val="36"/>
        </w:rPr>
        <w:t>采购内容及</w:t>
      </w:r>
      <w:r>
        <w:rPr>
          <w:rFonts w:hint="eastAsia" w:eastAsia="宋体"/>
          <w:color w:val="auto"/>
          <w:sz w:val="36"/>
          <w:lang w:eastAsia="zh-CN"/>
        </w:rPr>
        <w:t>要求</w:t>
      </w:r>
      <w:bookmarkEnd w:id="132"/>
    </w:p>
    <w:p w14:paraId="6CB9BB52">
      <w:pPr>
        <w:keepNext w:val="0"/>
        <w:keepLines w:val="0"/>
        <w:pageBreakBefore w:val="0"/>
        <w:widowControl w:val="0"/>
        <w:kinsoku/>
        <w:wordWrap/>
        <w:overflowPunct/>
        <w:topLinePunct w:val="0"/>
        <w:autoSpaceDE/>
        <w:autoSpaceDN/>
        <w:bidi w:val="0"/>
        <w:adjustRightInd w:val="0"/>
        <w:snapToGrid w:val="0"/>
        <w:spacing w:line="490" w:lineRule="exact"/>
        <w:ind w:left="0" w:firstLine="482" w:firstLineChars="20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一</w:t>
      </w:r>
      <w:r>
        <w:rPr>
          <w:rFonts w:hint="eastAsia" w:ascii="Times New Roman" w:hAnsi="宋体" w:cs="Times New Roman"/>
          <w:b/>
          <w:color w:val="auto"/>
          <w:sz w:val="24"/>
          <w:szCs w:val="24"/>
        </w:rPr>
        <w:t>、</w:t>
      </w:r>
      <w:r>
        <w:rPr>
          <w:rFonts w:hint="eastAsia" w:ascii="Times New Roman" w:hAnsi="宋体" w:cs="Times New Roman"/>
          <w:b/>
          <w:color w:val="auto"/>
          <w:sz w:val="24"/>
          <w:szCs w:val="24"/>
          <w:lang w:val="en-US" w:eastAsia="zh-CN"/>
        </w:rPr>
        <w:t>梯间文化创设项目背景与项目定位</w:t>
      </w:r>
    </w:p>
    <w:p w14:paraId="30DE182C">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eastAsia="宋体" w:cs="Times New Roman"/>
          <w:b/>
          <w:color w:val="auto"/>
          <w:sz w:val="24"/>
          <w:szCs w:val="24"/>
          <w:lang w:val="en-US" w:eastAsia="zh-CN"/>
        </w:rPr>
      </w:pPr>
      <w:r>
        <w:rPr>
          <w:rFonts w:ascii="宋体" w:hAnsi="宋体" w:eastAsia="宋体" w:cs="宋体"/>
          <w:sz w:val="24"/>
          <w:szCs w:val="24"/>
        </w:rPr>
        <w:t>为落实立德树人根本任务，践行 “环境育人” 理念，完善校园第二课堂，对教学楼、科技楼楼梯间、走廊、角隅等高频通行公共空间实施系统化文化升级。项目摒弃零散装饰，统一规划、整体设计，打造一体化沉浸式育人环境，实现“处处皆教育、时时可熏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以文化人，以境育人</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目标。</w:t>
      </w:r>
    </w:p>
    <w:p w14:paraId="60BEC6AA">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本项目定位为“精品校园文化工程”，在材料选型、工艺标准、施工精度、效果呈现等方面均按高标准执行，区别于常规简易文化装饰项目。所有设计内容均立足于学校长期使用场景，注重耐久性、安全性和教育性的统一</w:t>
      </w:r>
      <w:r>
        <w:rPr>
          <w:rFonts w:hint="eastAsia" w:ascii="宋体" w:hAnsi="宋体" w:cs="宋体"/>
          <w:sz w:val="24"/>
          <w:szCs w:val="24"/>
          <w:lang w:eastAsia="zh-CN"/>
        </w:rPr>
        <w:t>。</w:t>
      </w:r>
      <w:r>
        <w:rPr>
          <w:rFonts w:hint="eastAsia" w:ascii="宋体" w:hAnsi="宋体" w:cs="宋体"/>
          <w:sz w:val="24"/>
          <w:szCs w:val="24"/>
          <w:lang w:val="en-US" w:eastAsia="zh-CN"/>
        </w:rPr>
        <w:t>具体位置：教学楼、科技楼各三处楼梯间及相关角隅。</w:t>
      </w:r>
    </w:p>
    <w:p w14:paraId="6B12EC21">
      <w:pPr>
        <w:keepNext w:val="0"/>
        <w:keepLines w:val="0"/>
        <w:pageBreakBefore w:val="0"/>
        <w:widowControl w:val="0"/>
        <w:kinsoku/>
        <w:wordWrap/>
        <w:overflowPunct/>
        <w:topLinePunct w:val="0"/>
        <w:autoSpaceDE/>
        <w:autoSpaceDN/>
        <w:bidi w:val="0"/>
        <w:adjustRightInd w:val="0"/>
        <w:snapToGrid w:val="0"/>
        <w:spacing w:line="490" w:lineRule="exact"/>
        <w:ind w:left="0" w:firstLine="482" w:firstLineChars="200"/>
        <w:textAlignment w:val="auto"/>
        <w:rPr>
          <w:rFonts w:hint="default" w:ascii="Times New Roman" w:hAnsi="宋体" w:cs="Times New Roman"/>
          <w:b/>
          <w:bCs/>
          <w:color w:val="auto"/>
          <w:sz w:val="24"/>
          <w:szCs w:val="24"/>
          <w:lang w:val="en-US" w:eastAsia="zh-CN"/>
        </w:rPr>
      </w:pPr>
      <w:r>
        <w:rPr>
          <w:rFonts w:hint="eastAsia" w:ascii="Times New Roman" w:hAnsi="宋体" w:cs="Times New Roman"/>
          <w:b/>
          <w:bCs/>
          <w:color w:val="auto"/>
          <w:sz w:val="24"/>
          <w:szCs w:val="24"/>
          <w:lang w:val="en-US" w:eastAsia="zh-CN"/>
        </w:rPr>
        <w:t>二</w:t>
      </w:r>
      <w:r>
        <w:rPr>
          <w:rFonts w:hint="default" w:ascii="Times New Roman" w:hAnsi="宋体" w:cs="Times New Roman"/>
          <w:b/>
          <w:bCs/>
          <w:color w:val="auto"/>
          <w:sz w:val="24"/>
          <w:szCs w:val="24"/>
          <w:lang w:val="en-US" w:eastAsia="zh-CN"/>
        </w:rPr>
        <w:t>、设计理念与文化内涵</w:t>
      </w:r>
    </w:p>
    <w:p w14:paraId="1FEE0EED">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（一）“阳光·博雅”核心理念下的空间叙事</w:t>
      </w:r>
    </w:p>
    <w:p w14:paraId="204E7F4B">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本项目空间设计紧密围绕附小“阳光·博雅”核心理念，结合各年级培养定位与已有楼层文化基础，遵循“德智体美劳”五育并举的教育方针，形成“一廊一主题、一梯一特色”的空间叙事体系。每一处设计都与学校教育理念、行为文化紧密呼应，形成 “理念—行为—环境”三位一体的育人闭环。</w:t>
      </w:r>
    </w:p>
    <w:p w14:paraId="28255AE8">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整体设计注重三个统一：</w:t>
      </w:r>
    </w:p>
    <w:p w14:paraId="3B3780FC">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主题统一：不同楼层、不同功能区域围绕学校文化核心理念展开，避免碎片化；</w:t>
      </w:r>
    </w:p>
    <w:p w14:paraId="572526DF">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逻辑统一：从认知到情感、从榜样到实践，构建递进式的育人路径；</w:t>
      </w:r>
    </w:p>
    <w:p w14:paraId="4F80D620">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视觉统一：色彩、材质、形式保持整体协调，营造温馨、明亮、有序的校园氛围。</w:t>
      </w:r>
    </w:p>
    <w:p w14:paraId="0D4EF07B">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通过系统规划，使每一面墙壁都会“说话”，每一个角落都能“育人”，让环境成为学校阳光教育理念的无声传递者。</w:t>
      </w:r>
    </w:p>
    <w:p w14:paraId="0E846E2E">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（二）教学楼梯间主线：三大主题递进育人</w:t>
      </w:r>
    </w:p>
    <w:p w14:paraId="67D6EB2A">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教学楼梯间文化建设围绕 “追光”“习礼”“成器” 三大主题展开，分别对应科学精神、文明礼仪与成长榜样，形成从理想到行为再到内在成长的递进式育人链条：</w:t>
      </w:r>
    </w:p>
    <w:p w14:paraId="72DA6447">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（三）科技楼梯间主线：面向未来的科技素养培育</w:t>
      </w:r>
    </w:p>
    <w:p w14:paraId="3EFE448E">
      <w:pPr>
        <w:keepNext w:val="0"/>
        <w:keepLines w:val="0"/>
        <w:pageBreakBefore w:val="0"/>
        <w:widowControl w:val="0"/>
        <w:kinsoku/>
        <w:wordWrap/>
        <w:overflowPunct/>
        <w:topLinePunct w:val="0"/>
        <w:autoSpaceDE/>
        <w:autoSpaceDN/>
        <w:bidi w:val="0"/>
        <w:adjustRightInd w:val="0"/>
        <w:snapToGrid w:val="0"/>
        <w:spacing w:line="49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default" w:ascii="Times New Roman" w:hAnsi="宋体" w:cs="Times New Roman"/>
          <w:b w:val="0"/>
          <w:bCs w:val="0"/>
          <w:color w:val="auto"/>
          <w:sz w:val="24"/>
          <w:szCs w:val="24"/>
          <w:lang w:val="en-US" w:eastAsia="zh-CN"/>
        </w:rPr>
        <w:t>科技楼文化建设立足时代发展前沿，确立“创客精神”“AI发展史”“中国航天”三大楼道主题，系统培养学生的科技精神与实践能力。同步设置互动展示区，不仅展示成果，更注重可看、可触、可互动，让学生在亲身体验中感受科技魅力，增强对科技的好奇心与探索欲。</w:t>
      </w:r>
    </w:p>
    <w:p w14:paraId="75A12A35">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default" w:ascii="Times New Roman" w:hAnsi="宋体" w:cs="Times New Roman"/>
          <w:b w:val="0"/>
          <w:bCs w:val="0"/>
          <w:color w:val="auto"/>
          <w:sz w:val="24"/>
          <w:szCs w:val="24"/>
          <w:lang w:val="en-US" w:eastAsia="zh-CN"/>
        </w:rPr>
      </w:pPr>
      <w:r>
        <w:rPr>
          <w:rFonts w:hint="eastAsia" w:ascii="Times New Roman" w:hAnsi="宋体" w:cs="Times New Roman"/>
          <w:b w:val="0"/>
          <w:bCs w:val="0"/>
          <w:color w:val="auto"/>
          <w:sz w:val="24"/>
          <w:szCs w:val="24"/>
          <w:lang w:val="en-US" w:eastAsia="zh-CN"/>
        </w:rPr>
        <w:t>梯间文化建设具体内容包括但不限定以上所述建设原则理念及基本内容。</w:t>
      </w:r>
    </w:p>
    <w:p w14:paraId="27B2E30F">
      <w:pPr>
        <w:keepNext w:val="0"/>
        <w:keepLines w:val="0"/>
        <w:pageBreakBefore w:val="0"/>
        <w:widowControl w:val="0"/>
        <w:kinsoku/>
        <w:wordWrap/>
        <w:overflowPunct/>
        <w:topLinePunct w:val="0"/>
        <w:autoSpaceDE/>
        <w:autoSpaceDN/>
        <w:bidi w:val="0"/>
        <w:adjustRightInd w:val="0"/>
        <w:snapToGrid w:val="0"/>
        <w:spacing w:line="500" w:lineRule="exact"/>
        <w:ind w:left="0" w:firstLine="482" w:firstLineChars="200"/>
        <w:textAlignment w:val="auto"/>
        <w:rPr>
          <w:rFonts w:hint="eastAsia" w:ascii="Times New Roman" w:hAnsi="宋体" w:cs="Times New Roman"/>
          <w:color w:val="auto"/>
          <w:sz w:val="24"/>
          <w:szCs w:val="24"/>
        </w:rPr>
      </w:pPr>
      <w:r>
        <w:rPr>
          <w:rFonts w:hint="eastAsia" w:ascii="Times New Roman" w:hAnsi="宋体" w:cs="Times New Roman"/>
          <w:b/>
          <w:bCs/>
          <w:color w:val="auto"/>
          <w:sz w:val="24"/>
          <w:szCs w:val="24"/>
          <w:lang w:val="en-US" w:eastAsia="zh-CN"/>
        </w:rPr>
        <w:t>三、</w:t>
      </w:r>
      <w:r>
        <w:rPr>
          <w:rFonts w:hint="eastAsia" w:ascii="Times New Roman" w:hAnsi="宋体" w:cs="Times New Roman"/>
          <w:b/>
          <w:bCs/>
          <w:color w:val="auto"/>
          <w:sz w:val="24"/>
          <w:szCs w:val="24"/>
        </w:rPr>
        <w:t>核心工艺与材料标准</w:t>
      </w:r>
    </w:p>
    <w:p w14:paraId="51265A9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rPr>
        <w:t>本项目在材料与工艺方面执行高标准要求，具体如下</w:t>
      </w:r>
      <w:r>
        <w:rPr>
          <w:rFonts w:hint="eastAsia" w:ascii="Times New Roman" w:hAnsi="宋体" w:cs="Times New Roman"/>
          <w:color w:val="auto"/>
          <w:sz w:val="24"/>
          <w:szCs w:val="24"/>
          <w:lang w:eastAsia="zh-CN"/>
        </w:rPr>
        <w:t>：</w:t>
      </w:r>
    </w:p>
    <w:p w14:paraId="44499EC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(一)主材选用标准</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0"/>
        <w:gridCol w:w="6728"/>
      </w:tblGrid>
      <w:tr w14:paraId="48AC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0" w:type="dxa"/>
            <w:vAlign w:val="center"/>
          </w:tcPr>
          <w:p w14:paraId="1CE642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default" w:ascii="Times New Roman" w:hAnsi="宋体" w:cs="Times New Roman"/>
                <w:b/>
                <w:bCs/>
                <w:color w:val="auto"/>
                <w:sz w:val="24"/>
                <w:szCs w:val="24"/>
                <w:vertAlign w:val="baseline"/>
                <w:lang w:val="en-US" w:eastAsia="zh-CN"/>
              </w:rPr>
            </w:pPr>
            <w:r>
              <w:rPr>
                <w:rFonts w:hint="eastAsia" w:ascii="Times New Roman" w:hAnsi="宋体" w:cs="Times New Roman"/>
                <w:b/>
                <w:bCs/>
                <w:color w:val="auto"/>
                <w:sz w:val="24"/>
                <w:szCs w:val="24"/>
                <w:vertAlign w:val="baseline"/>
                <w:lang w:val="en-US" w:eastAsia="zh-CN"/>
              </w:rPr>
              <w:t>类别</w:t>
            </w:r>
          </w:p>
        </w:tc>
        <w:tc>
          <w:tcPr>
            <w:tcW w:w="6728" w:type="dxa"/>
            <w:vAlign w:val="center"/>
          </w:tcPr>
          <w:p w14:paraId="76A0AB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eastAsia" w:ascii="Times New Roman" w:hAnsi="宋体" w:cs="Times New Roman"/>
                <w:b/>
                <w:bCs/>
                <w:color w:val="auto"/>
                <w:sz w:val="24"/>
                <w:szCs w:val="24"/>
                <w:vertAlign w:val="baseline"/>
                <w:lang w:eastAsia="zh-CN"/>
              </w:rPr>
            </w:pPr>
            <w:r>
              <w:rPr>
                <w:rFonts w:hint="eastAsia" w:ascii="Times New Roman" w:hAnsi="宋体" w:cs="Times New Roman"/>
                <w:b/>
                <w:bCs/>
                <w:color w:val="auto"/>
                <w:sz w:val="24"/>
                <w:szCs w:val="24"/>
                <w:vertAlign w:val="baseline"/>
                <w:lang w:eastAsia="zh-CN"/>
              </w:rPr>
              <w:t>标准要求</w:t>
            </w:r>
          </w:p>
        </w:tc>
      </w:tr>
      <w:tr w14:paraId="4655B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0" w:type="dxa"/>
            <w:vAlign w:val="center"/>
          </w:tcPr>
          <w:p w14:paraId="3FE7E4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default" w:ascii="Times New Roman" w:hAnsi="宋体" w:cs="Times New Roman"/>
                <w:color w:val="auto"/>
                <w:sz w:val="24"/>
                <w:szCs w:val="24"/>
                <w:vertAlign w:val="baseline"/>
                <w:lang w:val="en-US" w:eastAsia="zh-CN"/>
              </w:rPr>
            </w:pPr>
            <w:r>
              <w:rPr>
                <w:rFonts w:hint="eastAsia" w:ascii="Times New Roman" w:hAnsi="宋体" w:cs="Times New Roman"/>
                <w:color w:val="auto"/>
                <w:sz w:val="24"/>
                <w:szCs w:val="24"/>
                <w:vertAlign w:val="baseline"/>
                <w:lang w:val="en-US" w:eastAsia="zh-CN"/>
              </w:rPr>
              <w:t>通体高密度PVC板材</w:t>
            </w:r>
          </w:p>
        </w:tc>
        <w:tc>
          <w:tcPr>
            <w:tcW w:w="6728" w:type="dxa"/>
          </w:tcPr>
          <w:p w14:paraId="78D67E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textAlignment w:val="auto"/>
              <w:rPr>
                <w:rFonts w:hint="eastAsia" w:ascii="Times New Roman" w:hAnsi="宋体" w:cs="Times New Roman"/>
                <w:color w:val="auto"/>
                <w:sz w:val="24"/>
                <w:szCs w:val="24"/>
                <w:vertAlign w:val="baseline"/>
                <w:lang w:eastAsia="zh-CN"/>
              </w:rPr>
            </w:pPr>
            <w:r>
              <w:rPr>
                <w:rFonts w:hint="eastAsia" w:ascii="Times New Roman" w:hAnsi="宋体" w:cs="Times New Roman"/>
                <w:color w:val="auto"/>
                <w:sz w:val="24"/>
                <w:szCs w:val="24"/>
                <w:vertAlign w:val="baseline"/>
                <w:lang w:eastAsia="zh-CN"/>
              </w:rPr>
              <w:t>密度≥0.45g/cm，区别于市面常规结皮PVC板(仅表层高密度、内部芯材疏松)，整板密度均匀、稳定性强防潮抗变形，适配学校公共区域长期使用场景</w:t>
            </w:r>
          </w:p>
        </w:tc>
      </w:tr>
      <w:tr w14:paraId="5C37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0" w:type="dxa"/>
            <w:vAlign w:val="center"/>
          </w:tcPr>
          <w:p w14:paraId="04A598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eastAsia" w:ascii="Times New Roman" w:hAnsi="宋体" w:cs="Times New Roman"/>
                <w:color w:val="auto"/>
                <w:sz w:val="24"/>
                <w:szCs w:val="24"/>
                <w:vertAlign w:val="baseline"/>
                <w:lang w:eastAsia="zh-CN"/>
              </w:rPr>
            </w:pPr>
            <w:r>
              <w:rPr>
                <w:rFonts w:hint="eastAsia" w:ascii="Times New Roman" w:hAnsi="宋体" w:cs="Times New Roman"/>
                <w:color w:val="auto"/>
                <w:sz w:val="24"/>
                <w:szCs w:val="24"/>
                <w:vertAlign w:val="baseline"/>
                <w:lang w:eastAsia="zh-CN"/>
              </w:rPr>
              <w:t>多层汽车烤漆工艺</w:t>
            </w:r>
          </w:p>
        </w:tc>
        <w:tc>
          <w:tcPr>
            <w:tcW w:w="6728" w:type="dxa"/>
          </w:tcPr>
          <w:p w14:paraId="54DCA5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textAlignment w:val="auto"/>
              <w:rPr>
                <w:rFonts w:hint="eastAsia" w:ascii="Times New Roman" w:hAnsi="宋体" w:cs="Times New Roman"/>
                <w:color w:val="auto"/>
                <w:sz w:val="24"/>
                <w:szCs w:val="24"/>
                <w:vertAlign w:val="baseline"/>
                <w:lang w:eastAsia="zh-CN"/>
              </w:rPr>
            </w:pPr>
            <w:r>
              <w:rPr>
                <w:rFonts w:hint="eastAsia" w:ascii="Times New Roman" w:hAnsi="宋体" w:cs="Times New Roman"/>
                <w:color w:val="auto"/>
                <w:sz w:val="24"/>
                <w:szCs w:val="24"/>
                <w:vertAlign w:val="baseline"/>
                <w:lang w:eastAsia="zh-CN"/>
              </w:rPr>
              <w:t>所有板面、造型、柜体均采用多层底漆、色漆、清漆反复打磨喷涂，恒温无尘烤漆房高温固化处理，漆面耐磨耐晒、色彩均匀通透、常年不褪色，优于简易木器漆喷漆工艺</w:t>
            </w:r>
          </w:p>
        </w:tc>
      </w:tr>
      <w:tr w14:paraId="525C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0" w:type="dxa"/>
            <w:vAlign w:val="center"/>
          </w:tcPr>
          <w:p w14:paraId="2B4280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jc w:val="center"/>
              <w:textAlignment w:val="auto"/>
              <w:rPr>
                <w:rFonts w:hint="eastAsia" w:ascii="Times New Roman" w:hAnsi="宋体" w:cs="Times New Roman"/>
                <w:color w:val="auto"/>
                <w:sz w:val="24"/>
                <w:szCs w:val="24"/>
                <w:vertAlign w:val="baseline"/>
                <w:lang w:eastAsia="zh-CN"/>
              </w:rPr>
            </w:pPr>
            <w:r>
              <w:rPr>
                <w:rFonts w:hint="eastAsia" w:ascii="Times New Roman" w:hAnsi="宋体" w:cs="Times New Roman"/>
                <w:color w:val="auto"/>
                <w:sz w:val="24"/>
                <w:szCs w:val="24"/>
                <w:vertAlign w:val="baseline"/>
                <w:lang w:eastAsia="zh-CN"/>
              </w:rPr>
              <w:t>双层板材加固结构</w:t>
            </w:r>
          </w:p>
        </w:tc>
        <w:tc>
          <w:tcPr>
            <w:tcW w:w="6728" w:type="dxa"/>
          </w:tcPr>
          <w:p w14:paraId="24BD94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textAlignment w:val="auto"/>
              <w:rPr>
                <w:rFonts w:hint="eastAsia" w:ascii="Times New Roman" w:hAnsi="宋体" w:cs="Times New Roman"/>
                <w:color w:val="auto"/>
                <w:sz w:val="24"/>
                <w:szCs w:val="24"/>
                <w:vertAlign w:val="baseline"/>
                <w:lang w:eastAsia="zh-CN"/>
              </w:rPr>
            </w:pPr>
            <w:r>
              <w:rPr>
                <w:rFonts w:hint="eastAsia" w:ascii="Times New Roman" w:hAnsi="宋体" w:cs="Times New Roman"/>
                <w:color w:val="auto"/>
                <w:sz w:val="24"/>
                <w:szCs w:val="24"/>
                <w:vertAlign w:val="baseline"/>
                <w:lang w:eastAsia="zh-CN"/>
              </w:rPr>
              <w:t>重点文化造型采用双层PVC叠加加固结构，提升墙面立体层次与结构稳定性，保证平整度与耐久性</w:t>
            </w:r>
          </w:p>
        </w:tc>
      </w:tr>
    </w:tbl>
    <w:p w14:paraId="34431931">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(二)关键工序说明</w:t>
      </w:r>
    </w:p>
    <w:p w14:paraId="5A51C1B7">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1.CNC数控精雕加工：大型三轴CNC数控精雕设备分层铣型加工，工件轮廓精细修边、毛刺打磨、边角钝化校准，严控雕刻公差，无崩边、缺角、毛边工艺缺陷。</w:t>
      </w:r>
    </w:p>
    <w:p w14:paraId="70CD221C">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2.隔墙施工标准：25X25mm方管焊制钢骨架，15mm欧松板打底、9mm石膏板双面封板，双面批灰、双面打磨、双面乳胶漆收口，包含定制暗门制作、隐藏式收口、异形收边处理，执行家装级精细标准，远超常规公装隔墙。</w:t>
      </w:r>
    </w:p>
    <w:p w14:paraId="62F7886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3.玻璃钢制品工艺:泥塑放样精雕原模硅胶翻模一加硬模加固成型，多层玻纤布配合不饱和树脂手工糊制，内置钢架预埋件加固，经脱模、修边、打磨、腻子找平、底漆面漆全套精工处理。</w:t>
      </w:r>
    </w:p>
    <w:p w14:paraId="5393E495">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(三)安全与环保要求</w:t>
      </w:r>
    </w:p>
    <w:p w14:paraId="7EE737B2">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1.所有材料须符合国家环保标准，提供相关检测报告。</w:t>
      </w:r>
    </w:p>
    <w:p w14:paraId="4FF45FA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2.施工现场须做好防尘、降噪措施，减少对教学秩序的影响。</w:t>
      </w:r>
    </w:p>
    <w:p w14:paraId="71997F8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3.安装完成后须进行安全验收，确保无尖角、毛刺等安全隐患。</w:t>
      </w:r>
    </w:p>
    <w:p w14:paraId="5A4A172C">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lang w:eastAsia="zh-CN"/>
        </w:rPr>
      </w:pPr>
      <w:r>
        <w:rPr>
          <w:rFonts w:hint="eastAsia" w:ascii="Times New Roman" w:hAnsi="宋体" w:cs="Times New Roman"/>
          <w:color w:val="auto"/>
          <w:sz w:val="24"/>
          <w:szCs w:val="24"/>
          <w:lang w:eastAsia="zh-CN"/>
        </w:rPr>
        <w:t>4.玻璃钢、PVC等制品须做阻燃处理，符合消防规范。</w:t>
      </w:r>
    </w:p>
    <w:p w14:paraId="23A81B67">
      <w:pPr>
        <w:keepNext w:val="0"/>
        <w:keepLines w:val="0"/>
        <w:pageBreakBefore w:val="0"/>
        <w:widowControl w:val="0"/>
        <w:kinsoku/>
        <w:wordWrap/>
        <w:overflowPunct/>
        <w:topLinePunct w:val="0"/>
        <w:autoSpaceDE/>
        <w:autoSpaceDN/>
        <w:bidi w:val="0"/>
        <w:adjustRightInd w:val="0"/>
        <w:snapToGrid w:val="0"/>
        <w:spacing w:line="500" w:lineRule="exact"/>
        <w:ind w:left="0" w:firstLine="482" w:firstLineChars="200"/>
        <w:textAlignment w:val="auto"/>
        <w:rPr>
          <w:rFonts w:ascii="Times New Roman" w:hAnsi="宋体" w:cs="Times New Roman"/>
          <w:b/>
          <w:color w:val="auto"/>
          <w:sz w:val="24"/>
          <w:szCs w:val="24"/>
        </w:rPr>
      </w:pPr>
      <w:r>
        <w:rPr>
          <w:rFonts w:hint="eastAsia" w:ascii="Times New Roman" w:hAnsi="宋体" w:cs="Times New Roman"/>
          <w:b/>
          <w:color w:val="auto"/>
          <w:sz w:val="24"/>
          <w:szCs w:val="24"/>
          <w:lang w:val="en-US" w:eastAsia="zh-CN"/>
        </w:rPr>
        <w:t>四</w:t>
      </w:r>
      <w:r>
        <w:rPr>
          <w:rFonts w:hint="eastAsia" w:ascii="Times New Roman" w:hAnsi="宋体" w:cs="Times New Roman"/>
          <w:b/>
          <w:color w:val="auto"/>
          <w:sz w:val="24"/>
          <w:szCs w:val="24"/>
        </w:rPr>
        <w:t>、材料供应与验收</w:t>
      </w:r>
    </w:p>
    <w:p w14:paraId="570C0D6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本工程材料品牌或价格参考市场价，投标人自主报价。承包方供应的材料应按合同规定按时、按质、按量供应，必须附有产品合格证或质量检验证书才</w:t>
      </w:r>
      <w:r>
        <w:rPr>
          <w:rFonts w:hint="eastAsia" w:ascii="Times New Roman" w:hAnsi="宋体" w:cs="Times New Roman"/>
          <w:color w:val="auto"/>
          <w:sz w:val="24"/>
          <w:szCs w:val="24"/>
          <w:lang w:val="en-US" w:eastAsia="zh-CN"/>
        </w:rPr>
        <w:t>板材</w:t>
      </w:r>
      <w:r>
        <w:rPr>
          <w:rFonts w:hint="eastAsia" w:ascii="Times New Roman" w:hAnsi="宋体" w:cs="Times New Roman"/>
          <w:color w:val="auto"/>
          <w:sz w:val="24"/>
          <w:szCs w:val="24"/>
        </w:rPr>
        <w:t>能用于</w:t>
      </w:r>
      <w:r>
        <w:rPr>
          <w:rFonts w:hint="eastAsia" w:ascii="Times New Roman" w:hAnsi="宋体" w:cs="Times New Roman"/>
          <w:color w:val="auto"/>
          <w:sz w:val="24"/>
          <w:szCs w:val="24"/>
          <w:lang w:val="en-US" w:eastAsia="zh-CN"/>
        </w:rPr>
        <w:t>本工程</w:t>
      </w:r>
      <w:r>
        <w:rPr>
          <w:rFonts w:hint="eastAsia" w:ascii="Times New Roman" w:hAnsi="宋体" w:cs="Times New Roman"/>
          <w:color w:val="auto"/>
          <w:sz w:val="24"/>
          <w:szCs w:val="24"/>
        </w:rPr>
        <w:t>。</w:t>
      </w:r>
    </w:p>
    <w:p w14:paraId="0C7C949D">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工程材料在工程实施过程中，由采购人认质。凡在工程实施过程因设计变更引起的施工费用，由发包方和承包方共同签字确认变更后协商解决。所有进场材料须提供合格证及检测报告。因材料质量不合格所造成的损失（包括仓库保管费）由材料采购方负责。</w:t>
      </w:r>
      <w:r>
        <w:rPr>
          <w:rFonts w:ascii="Times New Roman" w:hAnsi="宋体" w:cs="Times New Roman"/>
          <w:color w:val="auto"/>
          <w:sz w:val="24"/>
          <w:szCs w:val="24"/>
        </w:rPr>
        <w:t> </w:t>
      </w:r>
    </w:p>
    <w:p w14:paraId="12FC0A4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3.</w:t>
      </w:r>
      <w:r>
        <w:rPr>
          <w:rFonts w:hint="eastAsia" w:ascii="Times New Roman" w:hAnsi="宋体" w:cs="Times New Roman"/>
          <w:color w:val="auto"/>
          <w:sz w:val="24"/>
          <w:szCs w:val="24"/>
        </w:rPr>
        <w:t>根据工程需要，经发包人代表签证，承包方可使用代用材料。因发包方原因使用时，由发包方承担增加的经济支出，因承包方原因使用时，由承包方承担增加的费用。</w:t>
      </w:r>
      <w:r>
        <w:rPr>
          <w:rFonts w:ascii="Times New Roman" w:hAnsi="宋体" w:cs="Times New Roman"/>
          <w:color w:val="auto"/>
          <w:sz w:val="24"/>
          <w:szCs w:val="24"/>
        </w:rPr>
        <w:t> </w:t>
      </w:r>
    </w:p>
    <w:p w14:paraId="09FE6E6D">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4.</w:t>
      </w:r>
      <w:r>
        <w:rPr>
          <w:rFonts w:hint="eastAsia" w:ascii="Times New Roman" w:hAnsi="宋体" w:cs="Times New Roman"/>
          <w:color w:val="auto"/>
          <w:sz w:val="24"/>
          <w:szCs w:val="24"/>
        </w:rPr>
        <w:t>因材料供应不及时造成停工待料时，其停、窝工损失由供货责任方承担。</w:t>
      </w:r>
    </w:p>
    <w:p w14:paraId="4005ED21">
      <w:pPr>
        <w:keepNext w:val="0"/>
        <w:keepLines w:val="0"/>
        <w:pageBreakBefore w:val="0"/>
        <w:widowControl w:val="0"/>
        <w:kinsoku/>
        <w:wordWrap/>
        <w:overflowPunct/>
        <w:topLinePunct w:val="0"/>
        <w:autoSpaceDE/>
        <w:autoSpaceDN/>
        <w:bidi w:val="0"/>
        <w:adjustRightInd w:val="0"/>
        <w:snapToGrid w:val="0"/>
        <w:spacing w:line="500" w:lineRule="exact"/>
        <w:ind w:left="0" w:firstLine="468" w:firstLineChars="200"/>
        <w:textAlignment w:val="auto"/>
        <w:rPr>
          <w:rFonts w:hint="eastAsia" w:ascii="Times New Roman" w:hAnsi="宋体" w:cs="Times New Roman"/>
          <w:b/>
          <w:color w:val="auto"/>
          <w:sz w:val="24"/>
          <w:szCs w:val="24"/>
        </w:rPr>
      </w:pPr>
      <w:r>
        <w:rPr>
          <w:rFonts w:hint="eastAsia" w:ascii="新宋体" w:hAnsi="新宋体" w:eastAsia="新宋体" w:cs="新宋体"/>
          <w:color w:val="auto"/>
          <w:spacing w:val="-3"/>
          <w:sz w:val="24"/>
          <w:szCs w:val="24"/>
          <w:lang w:val="en-US" w:eastAsia="zh-CN"/>
        </w:rPr>
        <w:t>5.</w:t>
      </w:r>
      <w:r>
        <w:rPr>
          <w:rFonts w:ascii="新宋体" w:hAnsi="新宋体" w:eastAsia="新宋体" w:cs="新宋体"/>
          <w:color w:val="auto"/>
          <w:spacing w:val="-3"/>
          <w:sz w:val="24"/>
          <w:szCs w:val="24"/>
        </w:rPr>
        <w:t>乙方在工程</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运到后，应及时通知甲方进行检验，甲</w:t>
      </w:r>
      <w:r>
        <w:rPr>
          <w:rFonts w:ascii="新宋体" w:hAnsi="新宋体" w:eastAsia="新宋体" w:cs="新宋体"/>
          <w:color w:val="auto"/>
          <w:spacing w:val="-4"/>
          <w:sz w:val="24"/>
          <w:szCs w:val="24"/>
        </w:rPr>
        <w:t>方指派验收技术</w:t>
      </w:r>
      <w:r>
        <w:rPr>
          <w:rFonts w:ascii="新宋体" w:hAnsi="新宋体" w:eastAsia="新宋体" w:cs="新宋体"/>
          <w:color w:val="auto"/>
          <w:spacing w:val="-3"/>
          <w:sz w:val="24"/>
          <w:szCs w:val="24"/>
        </w:rPr>
        <w:t>人员，按合同约定质量标准随机抽验，抽验合格后，乙方方可</w:t>
      </w:r>
      <w:r>
        <w:rPr>
          <w:rFonts w:hint="eastAsia" w:ascii="新宋体" w:hAnsi="新宋体" w:eastAsia="新宋体" w:cs="新宋体"/>
          <w:color w:val="auto"/>
          <w:spacing w:val="-3"/>
          <w:sz w:val="24"/>
          <w:szCs w:val="24"/>
          <w:lang w:val="en-US" w:eastAsia="zh-CN"/>
        </w:rPr>
        <w:t>使用</w:t>
      </w:r>
      <w:r>
        <w:rPr>
          <w:rFonts w:ascii="新宋体" w:hAnsi="新宋体" w:eastAsia="新宋体" w:cs="新宋体"/>
          <w:color w:val="auto"/>
          <w:spacing w:val="-3"/>
          <w:sz w:val="24"/>
          <w:szCs w:val="24"/>
        </w:rPr>
        <w:t>，若抽验</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不合格，甲方有权要求更换，乙方拒绝更换的甲方可按不合格</w:t>
      </w:r>
      <w:r>
        <w:rPr>
          <w:rFonts w:hint="eastAsia" w:ascii="新宋体" w:hAnsi="新宋体" w:eastAsia="新宋体" w:cs="新宋体"/>
          <w:color w:val="auto"/>
          <w:spacing w:val="-3"/>
          <w:sz w:val="24"/>
          <w:szCs w:val="24"/>
          <w:lang w:val="en-US" w:eastAsia="zh-CN"/>
        </w:rPr>
        <w:t>材料</w:t>
      </w:r>
      <w:r>
        <w:rPr>
          <w:rFonts w:ascii="新宋体" w:hAnsi="新宋体" w:eastAsia="新宋体" w:cs="新宋体"/>
          <w:color w:val="auto"/>
          <w:spacing w:val="-3"/>
          <w:sz w:val="24"/>
          <w:szCs w:val="24"/>
        </w:rPr>
        <w:t>不予结算</w:t>
      </w:r>
      <w:r>
        <w:rPr>
          <w:rFonts w:ascii="新宋体" w:hAnsi="新宋体" w:eastAsia="新宋体" w:cs="新宋体"/>
          <w:color w:val="auto"/>
          <w:spacing w:val="-1"/>
          <w:sz w:val="24"/>
          <w:szCs w:val="24"/>
        </w:rPr>
        <w:t>工程款，由此造成的损失由乙方承担。</w:t>
      </w:r>
    </w:p>
    <w:p w14:paraId="4F15993F">
      <w:pPr>
        <w:keepNext w:val="0"/>
        <w:keepLines w:val="0"/>
        <w:pageBreakBefore w:val="0"/>
        <w:widowControl w:val="0"/>
        <w:kinsoku/>
        <w:wordWrap/>
        <w:overflowPunct/>
        <w:topLinePunct w:val="0"/>
        <w:autoSpaceDE/>
        <w:autoSpaceDN/>
        <w:bidi w:val="0"/>
        <w:adjustRightInd w:val="0"/>
        <w:snapToGrid w:val="0"/>
        <w:spacing w:line="500" w:lineRule="exact"/>
        <w:ind w:left="0" w:firstLine="482" w:firstLineChars="200"/>
        <w:textAlignment w:val="auto"/>
        <w:rPr>
          <w:rFonts w:ascii="新宋体" w:hAnsi="新宋体" w:eastAsia="新宋体" w:cs="新宋体"/>
          <w:color w:val="auto"/>
          <w:sz w:val="24"/>
          <w:szCs w:val="24"/>
        </w:rPr>
      </w:pPr>
      <w:r>
        <w:rPr>
          <w:rFonts w:hint="eastAsia" w:ascii="Times New Roman" w:hAnsi="宋体" w:cs="Times New Roman"/>
          <w:b/>
          <w:color w:val="auto"/>
          <w:sz w:val="24"/>
          <w:szCs w:val="24"/>
          <w:lang w:val="en-US" w:eastAsia="zh-CN"/>
        </w:rPr>
        <w:t>五</w:t>
      </w:r>
      <w:r>
        <w:rPr>
          <w:rFonts w:hint="eastAsia" w:ascii="Times New Roman" w:hAnsi="宋体" w:cs="Times New Roman"/>
          <w:b/>
          <w:color w:val="auto"/>
          <w:sz w:val="24"/>
          <w:szCs w:val="24"/>
        </w:rPr>
        <w:t>、工程质量</w:t>
      </w:r>
      <w:r>
        <w:rPr>
          <w:rFonts w:ascii="新宋体" w:hAnsi="新宋体" w:eastAsia="新宋体" w:cs="新宋体"/>
          <w:b/>
          <w:bCs/>
          <w:color w:val="auto"/>
          <w:spacing w:val="-3"/>
          <w:sz w:val="24"/>
          <w:szCs w:val="24"/>
        </w:rPr>
        <w:t>要求</w:t>
      </w:r>
    </w:p>
    <w:p w14:paraId="643AB441">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本工程质量等级要求</w:t>
      </w:r>
      <w:r>
        <w:rPr>
          <w:rFonts w:hint="eastAsia" w:ascii="宋体" w:hAnsi="宋体" w:eastAsia="宋体" w:cs="宋体"/>
          <w:b w:val="0"/>
          <w:bCs/>
          <w:color w:val="auto"/>
          <w:sz w:val="24"/>
          <w:szCs w:val="24"/>
          <w:lang w:val="en-US" w:eastAsia="zh-CN"/>
        </w:rPr>
        <w:t>符合国家现行施工及验收规范的合格标准</w:t>
      </w:r>
      <w:r>
        <w:rPr>
          <w:rFonts w:hint="eastAsia" w:ascii="宋体" w:hAnsi="宋体" w:eastAsia="宋体" w:cs="宋体"/>
          <w:color w:val="auto"/>
          <w:sz w:val="24"/>
        </w:rPr>
        <w:t>。</w:t>
      </w:r>
    </w:p>
    <w:p w14:paraId="72B1C7D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2.</w:t>
      </w:r>
      <w:r>
        <w:rPr>
          <w:rFonts w:hint="eastAsia" w:ascii="宋体" w:hAnsi="宋体" w:eastAsia="宋体" w:cs="宋体"/>
          <w:color w:val="auto"/>
          <w:sz w:val="24"/>
        </w:rPr>
        <w:t>承包方必须按照招标要求及国家现行有关施工验收规范组织施工，建立健全质量保证体系，做到安全生产及文明施工</w:t>
      </w:r>
      <w:r>
        <w:rPr>
          <w:rFonts w:hint="eastAsia" w:ascii="宋体" w:hAnsi="宋体" w:cs="宋体"/>
          <w:color w:val="auto"/>
          <w:sz w:val="24"/>
          <w:lang w:eastAsia="zh-CN"/>
        </w:rPr>
        <w:t>。</w:t>
      </w:r>
    </w:p>
    <w:p w14:paraId="1FF1207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本工程所需施工材料、</w:t>
      </w:r>
      <w:r>
        <w:rPr>
          <w:rFonts w:hint="eastAsia" w:ascii="宋体" w:hAnsi="宋体" w:cs="宋体"/>
          <w:color w:val="auto"/>
          <w:sz w:val="24"/>
          <w:lang w:val="en-US" w:eastAsia="zh-CN"/>
        </w:rPr>
        <w:t>设施</w:t>
      </w:r>
      <w:r>
        <w:rPr>
          <w:rFonts w:hint="eastAsia" w:ascii="宋体" w:hAnsi="宋体" w:eastAsia="宋体" w:cs="宋体"/>
          <w:color w:val="auto"/>
          <w:sz w:val="24"/>
        </w:rPr>
        <w:t>设备均由承包方负责供应，必须满足设计要求和国家有关标准，并应具有合格证等质量证明资料，经发包方人员认定后方可使用。</w:t>
      </w:r>
    </w:p>
    <w:p w14:paraId="3E39842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各工序应严格按施工组织设计进行质量控制，每道工序完工后，须经校方确认方</w:t>
      </w:r>
      <w:r>
        <w:rPr>
          <w:rFonts w:hint="eastAsia" w:ascii="宋体" w:hAnsi="宋体" w:cs="宋体"/>
          <w:color w:val="auto"/>
          <w:sz w:val="24"/>
          <w:lang w:eastAsia="zh-CN"/>
        </w:rPr>
        <w:t>。</w:t>
      </w:r>
      <w:r>
        <w:rPr>
          <w:rFonts w:hint="eastAsia" w:ascii="宋体" w:hAnsi="宋体" w:eastAsia="宋体" w:cs="宋体"/>
          <w:color w:val="auto"/>
          <w:sz w:val="24"/>
        </w:rPr>
        <w:t>相关专业工种之间应及时进行交接检验，并形成记录。未经确认检查验收不得进行下一道工序。</w:t>
      </w:r>
    </w:p>
    <w:p w14:paraId="7508B2AC">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5.隐蔽工程须做好记录及影像资料留存。</w:t>
      </w:r>
    </w:p>
    <w:p w14:paraId="12A8A62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6.</w:t>
      </w:r>
      <w:r>
        <w:rPr>
          <w:rFonts w:hint="eastAsia" w:ascii="宋体" w:hAnsi="宋体" w:eastAsia="宋体" w:cs="宋体"/>
          <w:color w:val="auto"/>
          <w:sz w:val="24"/>
        </w:rPr>
        <w:t>工程完工后，承包方应在组织有关人员进行自行检验评定后，向发包人提交工程验收报告及相关施工资料。</w:t>
      </w:r>
    </w:p>
    <w:p w14:paraId="3B72135F">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rPr>
      </w:pPr>
      <w:r>
        <w:rPr>
          <w:rFonts w:hint="eastAsia" w:ascii="宋体" w:hAnsi="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48995BC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服务承诺：</w:t>
      </w:r>
      <w:r>
        <w:rPr>
          <w:rFonts w:hint="eastAsia" w:ascii="宋体" w:hAnsi="宋体" w:eastAsia="宋体" w:cs="宋体"/>
          <w:color w:val="auto"/>
          <w:sz w:val="24"/>
          <w:szCs w:val="24"/>
        </w:rPr>
        <w:t>要求具有完善的保修服务体系，高效的工作作风，高水平的技术</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施工</w:t>
      </w:r>
      <w:r>
        <w:rPr>
          <w:rFonts w:hint="eastAsia" w:ascii="宋体" w:hAnsi="宋体" w:eastAsia="宋体" w:cs="宋体"/>
          <w:color w:val="auto"/>
          <w:sz w:val="24"/>
          <w:szCs w:val="24"/>
        </w:rPr>
        <w:t>人员。</w:t>
      </w:r>
    </w:p>
    <w:p w14:paraId="54E2A1B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default" w:ascii="宋体" w:hAnsi="宋体" w:eastAsia="宋体" w:cs="宋体"/>
          <w:color w:val="auto"/>
          <w:sz w:val="24"/>
          <w:szCs w:val="24"/>
          <w:lang w:val="en-US" w:eastAsia="zh-CN"/>
        </w:rPr>
      </w:pPr>
      <w:r>
        <w:rPr>
          <w:rFonts w:hint="eastAsia" w:ascii="宋体" w:hAnsi="宋体" w:cs="宋体"/>
          <w:b w:val="0"/>
          <w:bCs/>
          <w:color w:val="auto"/>
          <w:sz w:val="24"/>
          <w:lang w:val="en-US" w:eastAsia="zh-CN"/>
        </w:rPr>
        <w:t>9</w:t>
      </w:r>
      <w:r>
        <w:rPr>
          <w:rFonts w:hint="eastAsia" w:ascii="宋体" w:hAnsi="宋体" w:eastAsia="宋体" w:cs="宋体"/>
          <w:b w:val="0"/>
          <w:bCs/>
          <w:color w:val="auto"/>
          <w:sz w:val="24"/>
          <w:lang w:val="en-US" w:eastAsia="zh-CN"/>
        </w:rPr>
        <w:t>.</w:t>
      </w:r>
      <w:r>
        <w:rPr>
          <w:rFonts w:hint="eastAsia" w:ascii="宋体" w:hAnsi="宋体" w:eastAsia="宋体" w:cs="宋体"/>
          <w:color w:val="auto"/>
          <w:sz w:val="24"/>
          <w:szCs w:val="24"/>
          <w:lang w:val="en-US" w:eastAsia="zh-CN"/>
        </w:rPr>
        <w:t>项目实施过程中不打扰</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正常办公</w:t>
      </w:r>
      <w:r>
        <w:rPr>
          <w:rFonts w:hint="eastAsia" w:ascii="宋体" w:hAnsi="宋体" w:cs="宋体"/>
          <w:color w:val="auto"/>
          <w:sz w:val="24"/>
          <w:szCs w:val="24"/>
          <w:lang w:val="en-US" w:eastAsia="zh-CN"/>
        </w:rPr>
        <w:t>及教学</w:t>
      </w:r>
      <w:r>
        <w:rPr>
          <w:rFonts w:hint="eastAsia" w:ascii="宋体" w:hAnsi="宋体" w:eastAsia="宋体" w:cs="宋体"/>
          <w:color w:val="auto"/>
          <w:sz w:val="24"/>
          <w:szCs w:val="24"/>
          <w:lang w:val="en-US" w:eastAsia="zh-CN"/>
        </w:rPr>
        <w:t>，制定降噪、降尘方案，施工垃圾日产日清，不影响</w:t>
      </w:r>
      <w:r>
        <w:rPr>
          <w:rFonts w:hint="eastAsia" w:ascii="宋体" w:hAnsi="宋体" w:cs="宋体"/>
          <w:color w:val="auto"/>
          <w:sz w:val="24"/>
          <w:szCs w:val="24"/>
          <w:lang w:val="en-US" w:eastAsia="zh-CN"/>
        </w:rPr>
        <w:t>校园</w:t>
      </w:r>
      <w:r>
        <w:rPr>
          <w:rFonts w:hint="eastAsia" w:ascii="宋体" w:hAnsi="宋体" w:eastAsia="宋体" w:cs="宋体"/>
          <w:color w:val="auto"/>
          <w:sz w:val="24"/>
          <w:szCs w:val="24"/>
          <w:lang w:val="en-US" w:eastAsia="zh-CN"/>
        </w:rPr>
        <w:t>环境。</w:t>
      </w:r>
    </w:p>
    <w:p w14:paraId="6E23F855">
      <w:pPr>
        <w:keepNext w:val="0"/>
        <w:keepLines w:val="0"/>
        <w:pageBreakBefore w:val="0"/>
        <w:widowControl w:val="0"/>
        <w:kinsoku/>
        <w:wordWrap/>
        <w:overflowPunct/>
        <w:topLinePunct w:val="0"/>
        <w:autoSpaceDE/>
        <w:autoSpaceDN/>
        <w:bidi w:val="0"/>
        <w:adjustRightInd w:val="0"/>
        <w:snapToGrid w:val="0"/>
        <w:spacing w:line="500" w:lineRule="exact"/>
        <w:ind w:left="0" w:firstLine="482" w:firstLineChars="200"/>
        <w:textAlignment w:val="auto"/>
        <w:rPr>
          <w:rFonts w:ascii="Times New Roman" w:hAnsi="宋体" w:cs="Times New Roman"/>
          <w:b/>
          <w:color w:val="auto"/>
          <w:sz w:val="24"/>
          <w:szCs w:val="24"/>
        </w:rPr>
      </w:pPr>
      <w:r>
        <w:rPr>
          <w:rFonts w:hint="eastAsia" w:ascii="Times New Roman" w:hAnsi="宋体" w:cs="Times New Roman"/>
          <w:b/>
          <w:color w:val="auto"/>
          <w:sz w:val="24"/>
          <w:szCs w:val="24"/>
          <w:lang w:val="en-US" w:eastAsia="zh-CN"/>
        </w:rPr>
        <w:t>六</w:t>
      </w:r>
      <w:r>
        <w:rPr>
          <w:rFonts w:hint="eastAsia" w:ascii="Times New Roman" w:hAnsi="宋体" w:cs="Times New Roman"/>
          <w:b/>
          <w:color w:val="auto"/>
          <w:sz w:val="24"/>
          <w:szCs w:val="24"/>
        </w:rPr>
        <w:t>、工程施工配合要求</w:t>
      </w:r>
    </w:p>
    <w:p w14:paraId="352EE39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1.</w:t>
      </w:r>
      <w:r>
        <w:rPr>
          <w:rFonts w:hint="eastAsia" w:ascii="Times New Roman" w:hAnsi="宋体" w:cs="Times New Roman"/>
          <w:color w:val="auto"/>
          <w:sz w:val="24"/>
          <w:szCs w:val="24"/>
        </w:rPr>
        <w:t>发包方责任：</w:t>
      </w:r>
    </w:p>
    <w:p w14:paraId="3775F3C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1-1 </w:t>
      </w:r>
      <w:r>
        <w:rPr>
          <w:rFonts w:hint="eastAsia" w:ascii="Times New Roman" w:hAnsi="宋体" w:cs="Times New Roman"/>
          <w:color w:val="auto"/>
          <w:sz w:val="24"/>
          <w:szCs w:val="24"/>
        </w:rPr>
        <w:t>负责工程的总体协调和管理；</w:t>
      </w:r>
    </w:p>
    <w:p w14:paraId="056E018E">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1-2 </w:t>
      </w:r>
      <w:r>
        <w:rPr>
          <w:rFonts w:hint="eastAsia" w:ascii="Times New Roman" w:hAnsi="宋体" w:cs="Times New Roman"/>
          <w:color w:val="auto"/>
          <w:sz w:val="24"/>
          <w:szCs w:val="24"/>
        </w:rPr>
        <w:t>确认承包人的总体方案和施工方案；</w:t>
      </w:r>
    </w:p>
    <w:p w14:paraId="65B5501A">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1-3 </w:t>
      </w:r>
      <w:r>
        <w:rPr>
          <w:rFonts w:hint="eastAsia" w:ascii="Times New Roman" w:hAnsi="宋体" w:cs="Times New Roman"/>
          <w:color w:val="auto"/>
          <w:sz w:val="24"/>
          <w:szCs w:val="24"/>
        </w:rPr>
        <w:t>审查承包人的施工人员并办理出入证；</w:t>
      </w:r>
    </w:p>
    <w:p w14:paraId="078AB00C">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1-4 </w:t>
      </w:r>
      <w:r>
        <w:rPr>
          <w:rFonts w:hint="eastAsia" w:ascii="Times New Roman" w:hAnsi="宋体" w:cs="Times New Roman"/>
          <w:color w:val="auto"/>
          <w:sz w:val="24"/>
          <w:szCs w:val="24"/>
        </w:rPr>
        <w:t>协助承包人协调水、电及临时设施等相关事宜，为施工创造条件。</w:t>
      </w:r>
    </w:p>
    <w:p w14:paraId="079CF1E1">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1-5 </w:t>
      </w:r>
      <w:r>
        <w:rPr>
          <w:rFonts w:hint="eastAsia" w:ascii="Times New Roman" w:hAnsi="宋体" w:cs="Times New Roman"/>
          <w:color w:val="auto"/>
          <w:sz w:val="24"/>
          <w:szCs w:val="24"/>
        </w:rPr>
        <w:t>组织对施工材料及总体工程进行验收。</w:t>
      </w:r>
    </w:p>
    <w:p w14:paraId="494BCEB3">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hint="eastAsia" w:ascii="Times New Roman" w:hAnsi="宋体" w:cs="Times New Roman"/>
          <w:color w:val="auto"/>
          <w:sz w:val="24"/>
          <w:szCs w:val="24"/>
          <w:lang w:eastAsia="zh-CN"/>
        </w:rPr>
        <w:t>2.</w:t>
      </w:r>
      <w:r>
        <w:rPr>
          <w:rFonts w:hint="eastAsia" w:ascii="Times New Roman" w:hAnsi="宋体" w:cs="Times New Roman"/>
          <w:color w:val="auto"/>
          <w:sz w:val="24"/>
          <w:szCs w:val="24"/>
        </w:rPr>
        <w:t>承包方责任：</w:t>
      </w:r>
    </w:p>
    <w:p w14:paraId="6C2C1369">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2-1</w:t>
      </w:r>
      <w:r>
        <w:rPr>
          <w:rFonts w:hint="eastAsia" w:ascii="Times New Roman" w:hAnsi="宋体" w:cs="Times New Roman"/>
          <w:color w:val="auto"/>
          <w:sz w:val="24"/>
          <w:szCs w:val="24"/>
        </w:rPr>
        <w:t xml:space="preserve"> 负责工程施工组织设计，并经发包方确认；</w:t>
      </w:r>
    </w:p>
    <w:p w14:paraId="0728D71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2-2</w:t>
      </w:r>
      <w:r>
        <w:rPr>
          <w:rFonts w:hint="eastAsia" w:ascii="Times New Roman" w:hAnsi="宋体" w:cs="Times New Roman"/>
          <w:color w:val="auto"/>
          <w:sz w:val="24"/>
          <w:szCs w:val="24"/>
        </w:rPr>
        <w:t xml:space="preserve"> 按照响应文件中确定的施工进度计划和工程方案进行施工，确保按期完工，工程计划及进度调整必须征得发包人同意。</w:t>
      </w:r>
    </w:p>
    <w:p w14:paraId="27D35CE7">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2-3</w:t>
      </w:r>
      <w:r>
        <w:rPr>
          <w:rFonts w:hint="eastAsia" w:ascii="Times New Roman" w:hAnsi="宋体" w:cs="Times New Roman"/>
          <w:color w:val="auto"/>
          <w:sz w:val="24"/>
          <w:szCs w:val="24"/>
        </w:rPr>
        <w:t xml:space="preserve"> 服从发包方的管理，施工人员必须经发包方审定，遵守发包方的有关规定，服从管理，文明施工。</w:t>
      </w:r>
    </w:p>
    <w:p w14:paraId="22E4B356">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 xml:space="preserve">2-4 </w:t>
      </w:r>
      <w:r>
        <w:rPr>
          <w:rFonts w:hint="eastAsia" w:ascii="Times New Roman" w:hAnsi="宋体" w:cs="Times New Roman"/>
          <w:color w:val="auto"/>
          <w:sz w:val="24"/>
          <w:szCs w:val="24"/>
        </w:rPr>
        <w:t>负责施工区域内的安全、保卫及消防工作。</w:t>
      </w:r>
    </w:p>
    <w:p w14:paraId="493D5A2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5</w:t>
      </w:r>
      <w:r>
        <w:rPr>
          <w:rFonts w:ascii="Times New Roman" w:hAnsi="宋体" w:cs="Times New Roman"/>
          <w:color w:val="auto"/>
          <w:sz w:val="24"/>
          <w:szCs w:val="24"/>
        </w:rPr>
        <w:t xml:space="preserve"> </w:t>
      </w:r>
      <w:r>
        <w:rPr>
          <w:rFonts w:hint="eastAsia" w:ascii="Times New Roman" w:hAnsi="宋体" w:cs="Times New Roman"/>
          <w:color w:val="auto"/>
          <w:sz w:val="24"/>
          <w:szCs w:val="24"/>
        </w:rPr>
        <w:t>做好安排，合理调度人员，保证连续施工，确保按期完工。</w:t>
      </w:r>
    </w:p>
    <w:p w14:paraId="006E1FA0">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color w:val="auto"/>
          <w:sz w:val="24"/>
          <w:szCs w:val="24"/>
        </w:rPr>
      </w:pPr>
      <w:r>
        <w:rPr>
          <w:rFonts w:ascii="Times New Roman" w:hAnsi="宋体" w:cs="Times New Roman"/>
          <w:color w:val="auto"/>
          <w:sz w:val="24"/>
          <w:szCs w:val="24"/>
        </w:rPr>
        <w:t>2-</w:t>
      </w:r>
      <w:r>
        <w:rPr>
          <w:rFonts w:hint="eastAsia" w:ascii="Times New Roman" w:hAnsi="宋体" w:cs="Times New Roman"/>
          <w:color w:val="auto"/>
          <w:sz w:val="24"/>
          <w:szCs w:val="24"/>
          <w:lang w:val="en-US" w:eastAsia="zh-CN"/>
        </w:rPr>
        <w:t>6</w:t>
      </w:r>
      <w:r>
        <w:rPr>
          <w:rFonts w:ascii="Times New Roman" w:hAnsi="宋体" w:cs="Times New Roman"/>
          <w:color w:val="auto"/>
          <w:sz w:val="24"/>
          <w:szCs w:val="24"/>
        </w:rPr>
        <w:t xml:space="preserve"> </w:t>
      </w:r>
      <w:r>
        <w:rPr>
          <w:rFonts w:hint="eastAsia" w:ascii="Times New Roman" w:hAnsi="宋体" w:cs="Times New Roman"/>
          <w:color w:val="auto"/>
          <w:sz w:val="24"/>
          <w:szCs w:val="24"/>
        </w:rPr>
        <w:t>施工期间水、电等相关事宜的协调。</w:t>
      </w:r>
    </w:p>
    <w:p w14:paraId="094D550B">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2" w:firstLineChars="20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kern w:val="2"/>
          <w:sz w:val="24"/>
          <w:szCs w:val="24"/>
          <w:lang w:val="en-US" w:eastAsia="zh-CN" w:bidi="ar-SA"/>
        </w:rPr>
        <w:t>七</w:t>
      </w:r>
      <w:r>
        <w:rPr>
          <w:rFonts w:hint="eastAsia" w:ascii="Times New Roman" w:hAnsi="宋体" w:eastAsia="宋体" w:cs="Times New Roman"/>
          <w:b/>
          <w:color w:val="auto"/>
          <w:kern w:val="2"/>
          <w:sz w:val="24"/>
          <w:szCs w:val="24"/>
          <w:lang w:val="en-US" w:eastAsia="zh-CN" w:bidi="ar-SA"/>
        </w:rPr>
        <w:t>、</w:t>
      </w:r>
      <w:r>
        <w:rPr>
          <w:rFonts w:hint="eastAsia" w:ascii="Times New Roman" w:hAnsi="宋体" w:cs="Times New Roman"/>
          <w:b/>
          <w:color w:val="auto"/>
          <w:sz w:val="24"/>
          <w:szCs w:val="24"/>
          <w:lang w:val="en-US" w:eastAsia="zh-CN"/>
        </w:rPr>
        <w:t>商务要求</w:t>
      </w:r>
    </w:p>
    <w:p w14:paraId="3280A261">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eastAsia="宋体" w:cs="Times New Roman"/>
          <w:b w:val="0"/>
          <w:bCs/>
          <w:color w:val="auto"/>
          <w:kern w:val="2"/>
          <w:sz w:val="24"/>
          <w:szCs w:val="24"/>
          <w:lang w:val="en-US" w:eastAsia="zh-CN" w:bidi="ar-SA"/>
        </w:rPr>
        <w:t>1.</w:t>
      </w:r>
      <w:r>
        <w:rPr>
          <w:rFonts w:hint="eastAsia" w:ascii="Times New Roman" w:hAnsi="宋体" w:cs="Times New Roman"/>
          <w:b w:val="0"/>
          <w:bCs/>
          <w:color w:val="auto"/>
          <w:sz w:val="24"/>
          <w:szCs w:val="24"/>
          <w:lang w:val="en-US" w:eastAsia="zh-CN"/>
        </w:rPr>
        <w:t>工程地点：采购人指定地点。</w:t>
      </w:r>
    </w:p>
    <w:p w14:paraId="350E2DB6">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2.工</w:t>
      </w:r>
      <w:r>
        <w:rPr>
          <w:rFonts w:hint="eastAsia" w:ascii="宋体" w:hAnsi="宋体" w:cs="宋体"/>
          <w:color w:val="auto"/>
          <w:kern w:val="0"/>
          <w:sz w:val="24"/>
          <w:szCs w:val="24"/>
        </w:rPr>
        <w:t>期：</w:t>
      </w:r>
      <w:r>
        <w:rPr>
          <w:rFonts w:hint="eastAsia" w:ascii="宋体" w:hAnsi="宋体" w:cs="宋体"/>
          <w:color w:val="auto"/>
          <w:kern w:val="0"/>
          <w:sz w:val="24"/>
          <w:szCs w:val="24"/>
          <w:lang w:val="en-US" w:eastAsia="zh-CN"/>
        </w:rPr>
        <w:t>自合同签订生效之日起30日历天</w:t>
      </w:r>
      <w:r>
        <w:rPr>
          <w:rFonts w:hint="eastAsia" w:hAnsi="宋体" w:eastAsia="宋体"/>
          <w:color w:val="auto"/>
          <w:sz w:val="24"/>
          <w:lang w:val="en-US" w:eastAsia="zh-CN"/>
        </w:rPr>
        <w:t>。</w:t>
      </w:r>
    </w:p>
    <w:p w14:paraId="17A5D726">
      <w:pPr>
        <w:keepNext w:val="0"/>
        <w:keepLines w:val="0"/>
        <w:pageBreakBefore w:val="0"/>
        <w:widowControl w:val="0"/>
        <w:tabs>
          <w:tab w:val="left" w:pos="7313"/>
        </w:tabs>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3.质保期：自验收合格之日起一年</w:t>
      </w:r>
      <w:r>
        <w:rPr>
          <w:rFonts w:hint="eastAsia" w:ascii="宋体" w:hAnsi="宋体" w:cs="宋体"/>
          <w:color w:val="auto"/>
          <w:sz w:val="24"/>
          <w:szCs w:val="24"/>
          <w:lang w:val="en-US" w:eastAsia="zh-CN"/>
        </w:rPr>
        <w:t>。</w:t>
      </w:r>
      <w:r>
        <w:rPr>
          <w:rFonts w:hint="eastAsia" w:ascii="Times New Roman" w:hAnsi="宋体" w:cs="Times New Roman"/>
          <w:b w:val="0"/>
          <w:bCs/>
          <w:color w:val="auto"/>
          <w:sz w:val="24"/>
          <w:szCs w:val="24"/>
          <w:lang w:val="en-US" w:eastAsia="zh-CN"/>
        </w:rPr>
        <w:tab/>
      </w:r>
    </w:p>
    <w:p w14:paraId="156EA568">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default"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4.质量等级要求：</w:t>
      </w:r>
      <w:r>
        <w:rPr>
          <w:rFonts w:hint="eastAsia" w:ascii="新宋体" w:hAnsi="新宋体" w:eastAsia="新宋体" w:cs="新宋体"/>
          <w:color w:val="auto"/>
          <w:kern w:val="0"/>
          <w:sz w:val="24"/>
          <w:szCs w:val="24"/>
          <w:lang w:val="en-US" w:eastAsia="zh-CN" w:bidi="ar-SA"/>
        </w:rPr>
        <w:t>符合国家现行施工及验收规范的合格标准</w:t>
      </w:r>
      <w:r>
        <w:rPr>
          <w:rFonts w:hint="eastAsia" w:ascii="Times New Roman" w:hAnsi="宋体" w:cs="Times New Roman"/>
          <w:b w:val="0"/>
          <w:bCs/>
          <w:color w:val="auto"/>
          <w:sz w:val="24"/>
          <w:szCs w:val="24"/>
          <w:lang w:val="en-US" w:eastAsia="zh-CN"/>
        </w:rPr>
        <w:t>。</w:t>
      </w:r>
    </w:p>
    <w:p w14:paraId="3D883B43">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5.项目验收：按国家相关验收规范执行。</w:t>
      </w:r>
    </w:p>
    <w:p w14:paraId="1B8200BB">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6.报价方式：合同总价即中标价，为一次性报价，投标报价为完成合同规定的全部内容所发生的费用（包括材料费、机械设备费用、人工费、运输、初验、最终验收及售后服务拟获得的利润、应交纳的各种税、费等所有费用）供应商应充分考虑各种费用、市场风险、责任、合同主要条款和付款条件等。投标报价不受市场价格及工作量变化的影响，一次包死。</w:t>
      </w:r>
    </w:p>
    <w:p w14:paraId="12176183">
      <w:pPr>
        <w:keepNext w:val="0"/>
        <w:keepLines w:val="0"/>
        <w:pageBreakBefore w:val="0"/>
        <w:widowControl w:val="0"/>
        <w:kinsoku/>
        <w:wordWrap/>
        <w:overflowPunct/>
        <w:topLinePunct w:val="0"/>
        <w:autoSpaceDE/>
        <w:autoSpaceDN/>
        <w:bidi w:val="0"/>
        <w:adjustRightInd w:val="0"/>
        <w:snapToGrid w:val="0"/>
        <w:spacing w:line="500" w:lineRule="exact"/>
        <w:ind w:left="0" w:firstLine="480" w:firstLineChars="200"/>
        <w:textAlignment w:val="auto"/>
        <w:rPr>
          <w:rFonts w:hint="eastAsia"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7.付款方式：</w:t>
      </w:r>
      <w:r>
        <w:rPr>
          <w:rFonts w:hint="eastAsia" w:ascii="宋体" w:hAnsi="宋体" w:cs="宋体"/>
          <w:snapToGrid w:val="0"/>
          <w:color w:val="auto"/>
          <w:kern w:val="0"/>
          <w:sz w:val="24"/>
          <w:szCs w:val="24"/>
          <w:lang w:val="en-US" w:eastAsia="zh-CN"/>
        </w:rPr>
        <w:t>合同签订生效、乙方材料进场15日内，甲方支付合同总价40%预付款仅用于采购主材。验收结束后付总工程价款的97%。剩余合同总价3%竣工验收合格后满1年无任何质量缺陷、乙方完成全部维修义务后15个工作日无息一次性付清</w:t>
      </w:r>
      <w:r>
        <w:rPr>
          <w:rFonts w:hint="eastAsia" w:ascii="Times New Roman" w:hAnsi="宋体" w:cs="Times New Roman"/>
          <w:b w:val="0"/>
          <w:bCs/>
          <w:color w:val="auto"/>
          <w:sz w:val="24"/>
          <w:szCs w:val="24"/>
          <w:lang w:val="en-US" w:eastAsia="zh-CN"/>
        </w:rPr>
        <w:t>。</w:t>
      </w:r>
    </w:p>
    <w:p w14:paraId="02BA00CB">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leftChars="0"/>
        <w:textAlignment w:val="auto"/>
        <w:rPr>
          <w:rFonts w:hint="default" w:ascii="Times New Roman" w:hAnsi="宋体" w:cs="Times New Roman"/>
          <w:b w:val="0"/>
          <w:bCs/>
          <w:color w:val="auto"/>
          <w:sz w:val="24"/>
          <w:szCs w:val="24"/>
          <w:lang w:val="en-US" w:eastAsia="zh-CN"/>
        </w:rPr>
      </w:pPr>
      <w:r>
        <w:rPr>
          <w:rFonts w:hint="eastAsia" w:ascii="Times New Roman" w:hAnsi="宋体" w:cs="Times New Roman"/>
          <w:b w:val="0"/>
          <w:bCs/>
          <w:color w:val="auto"/>
          <w:sz w:val="24"/>
          <w:szCs w:val="24"/>
          <w:lang w:val="en-US" w:eastAsia="zh-CN"/>
        </w:rPr>
        <w:t>8.售后响应时间：质保期内出现质量问题，施工方须在24小时内响应处理。</w:t>
      </w:r>
    </w:p>
    <w:p w14:paraId="17228FEE">
      <w:pPr>
        <w:keepNext w:val="0"/>
        <w:keepLines w:val="0"/>
        <w:pageBreakBefore w:val="0"/>
        <w:widowControl w:val="0"/>
        <w:numPr>
          <w:ilvl w:val="0"/>
          <w:numId w:val="0"/>
        </w:numPr>
        <w:kinsoku/>
        <w:wordWrap/>
        <w:overflowPunct/>
        <w:topLinePunct w:val="0"/>
        <w:autoSpaceDE/>
        <w:autoSpaceDN/>
        <w:bidi w:val="0"/>
        <w:adjustRightInd w:val="0"/>
        <w:snapToGrid w:val="0"/>
        <w:spacing w:line="500" w:lineRule="exact"/>
        <w:ind w:left="0" w:leftChars="0" w:firstLine="482" w:firstLineChars="200"/>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24"/>
          <w:szCs w:val="24"/>
          <w:lang w:val="en-US" w:eastAsia="zh-CN"/>
        </w:rPr>
        <w:t>八、编制说明及分部分项工程量清单（见下页）。</w:t>
      </w:r>
    </w:p>
    <w:p w14:paraId="6FA56428">
      <w:pPr>
        <w:keepNext w:val="0"/>
        <w:keepLines w:val="0"/>
        <w:pageBreakBefore w:val="0"/>
        <w:widowControl w:val="0"/>
        <w:numPr>
          <w:ilvl w:val="0"/>
          <w:numId w:val="0"/>
        </w:numPr>
        <w:kinsoku/>
        <w:wordWrap/>
        <w:overflowPunct/>
        <w:topLinePunct w:val="0"/>
        <w:autoSpaceDE/>
        <w:autoSpaceDN/>
        <w:bidi w:val="0"/>
        <w:adjustRightInd w:val="0"/>
        <w:snapToGrid w:val="0"/>
        <w:spacing w:line="420" w:lineRule="exact"/>
        <w:ind w:left="420" w:leftChars="0"/>
        <w:textAlignment w:val="auto"/>
        <w:rPr>
          <w:rFonts w:hint="eastAsia" w:ascii="Times New Roman" w:hAnsi="宋体" w:cs="Times New Roman"/>
          <w:b/>
          <w:color w:val="auto"/>
          <w:sz w:val="24"/>
          <w:szCs w:val="24"/>
          <w:lang w:val="en-US" w:eastAsia="zh-CN"/>
        </w:rPr>
      </w:pPr>
    </w:p>
    <w:p w14:paraId="3C75AB28">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sectPr>
          <w:pgSz w:w="11906" w:h="16838"/>
          <w:pgMar w:top="1417" w:right="1417" w:bottom="1417" w:left="1417" w:header="1134" w:footer="1191" w:gutter="0"/>
          <w:pgNumType w:fmt="decimal"/>
          <w:cols w:space="0" w:num="1"/>
          <w:titlePg/>
          <w:rtlGutter w:val="0"/>
          <w:docGrid w:type="lines" w:linePitch="333" w:charSpace="0"/>
        </w:sectPr>
      </w:pPr>
    </w:p>
    <w:p w14:paraId="5C0B460D">
      <w:pPr>
        <w:keepNext w:val="0"/>
        <w:keepLines w:val="0"/>
        <w:pageBreakBefore w:val="0"/>
        <w:widowControl w:val="0"/>
        <w:numPr>
          <w:ilvl w:val="0"/>
          <w:numId w:val="0"/>
        </w:numPr>
        <w:tabs>
          <w:tab w:val="left" w:pos="3818"/>
        </w:tabs>
        <w:kinsoku/>
        <w:wordWrap/>
        <w:overflowPunct/>
        <w:topLinePunct w:val="0"/>
        <w:autoSpaceDE/>
        <w:autoSpaceDN/>
        <w:bidi w:val="0"/>
        <w:adjustRightInd w:val="0"/>
        <w:snapToGrid w:val="0"/>
        <w:spacing w:after="268" w:afterLines="80" w:line="420" w:lineRule="exact"/>
        <w:jc w:val="left"/>
        <w:textAlignment w:val="auto"/>
        <w:rPr>
          <w:rFonts w:hint="eastAsia" w:ascii="Times New Roman" w:hAnsi="宋体" w:cs="Times New Roman"/>
          <w:b/>
          <w:color w:val="auto"/>
          <w:sz w:val="32"/>
          <w:szCs w:val="32"/>
          <w:lang w:val="en-US" w:eastAsia="zh-CN"/>
        </w:rPr>
      </w:pPr>
      <w:r>
        <w:rPr>
          <w:rFonts w:hint="eastAsia" w:ascii="Times New Roman" w:hAnsi="宋体" w:cs="Times New Roman"/>
          <w:b/>
          <w:color w:val="auto"/>
          <w:sz w:val="32"/>
          <w:szCs w:val="32"/>
          <w:lang w:val="en-US" w:eastAsia="zh-CN"/>
        </w:rPr>
        <w:tab/>
      </w:r>
    </w:p>
    <w:p w14:paraId="321356F4">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32"/>
          <w:szCs w:val="32"/>
          <w:lang w:val="en-US" w:eastAsia="zh-CN"/>
        </w:rPr>
      </w:pPr>
      <w:r>
        <w:rPr>
          <w:rFonts w:hint="eastAsia" w:ascii="Times New Roman" w:hAnsi="宋体" w:cs="Times New Roman"/>
          <w:b/>
          <w:color w:val="auto"/>
          <w:sz w:val="32"/>
          <w:szCs w:val="32"/>
          <w:lang w:val="en-US" w:eastAsia="zh-CN"/>
        </w:rPr>
        <w:t>安康职业技术学院附属小学教学楼及科技楼梯间文化建设项目</w:t>
      </w:r>
    </w:p>
    <w:p w14:paraId="57EDE46B">
      <w:pPr>
        <w:keepNext w:val="0"/>
        <w:keepLines w:val="0"/>
        <w:pageBreakBefore w:val="0"/>
        <w:widowControl w:val="0"/>
        <w:numPr>
          <w:ilvl w:val="0"/>
          <w:numId w:val="0"/>
        </w:numPr>
        <w:kinsoku/>
        <w:wordWrap/>
        <w:overflowPunct/>
        <w:topLinePunct w:val="0"/>
        <w:autoSpaceDE/>
        <w:autoSpaceDN/>
        <w:bidi w:val="0"/>
        <w:adjustRightInd w:val="0"/>
        <w:snapToGrid w:val="0"/>
        <w:spacing w:after="268" w:afterLines="80" w:line="420" w:lineRule="exact"/>
        <w:jc w:val="center"/>
        <w:textAlignment w:val="auto"/>
        <w:rPr>
          <w:rFonts w:hint="eastAsia" w:ascii="Times New Roman" w:hAnsi="宋体" w:cs="Times New Roman"/>
          <w:b/>
          <w:color w:val="auto"/>
          <w:sz w:val="24"/>
          <w:szCs w:val="24"/>
          <w:lang w:val="en-US" w:eastAsia="zh-CN"/>
        </w:rPr>
      </w:pPr>
      <w:r>
        <w:rPr>
          <w:rFonts w:hint="eastAsia" w:ascii="Times New Roman" w:hAnsi="宋体" w:cs="Times New Roman"/>
          <w:b/>
          <w:color w:val="auto"/>
          <w:sz w:val="32"/>
          <w:szCs w:val="32"/>
          <w:lang w:val="en-US" w:eastAsia="zh-CN"/>
        </w:rPr>
        <w:t>编制说明</w:t>
      </w:r>
    </w:p>
    <w:p w14:paraId="40AE326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一、工程况</w:t>
      </w:r>
      <w:r>
        <w:rPr>
          <w:rFonts w:hint="eastAsia" w:ascii="宋体" w:hAnsi="宋体" w:cs="宋体"/>
          <w:b w:val="0"/>
          <w:bCs/>
          <w:color w:val="auto"/>
          <w:sz w:val="24"/>
          <w:szCs w:val="24"/>
          <w:lang w:val="en-US" w:eastAsia="zh-CN"/>
        </w:rPr>
        <w:t>：</w:t>
      </w:r>
    </w:p>
    <w:p w14:paraId="4D1EFBA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本工程为安康职业技术学院附属小学教学楼及科技楼梯间文化建设项目，主要建设内容教学楼走廊及楼梯间文化建设和科技楼走廊及楼梯间文化建设，详见工程量清单。</w:t>
      </w:r>
    </w:p>
    <w:p w14:paraId="37A6DA0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二、工程量清单编制依据</w:t>
      </w:r>
      <w:r>
        <w:rPr>
          <w:rFonts w:hint="eastAsia" w:ascii="宋体" w:hAnsi="宋体" w:cs="宋体"/>
          <w:b w:val="0"/>
          <w:bCs/>
          <w:color w:val="auto"/>
          <w:sz w:val="24"/>
          <w:szCs w:val="24"/>
          <w:lang w:val="en-US" w:eastAsia="zh-CN"/>
        </w:rPr>
        <w:t>：</w:t>
      </w:r>
    </w:p>
    <w:p w14:paraId="7012FCC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1.《陕西省建设工程工程量清单计价规则》(2025)；</w:t>
      </w:r>
    </w:p>
    <w:p w14:paraId="48184F9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2.《陕西省建设工程费用规则》(2025)；</w:t>
      </w:r>
    </w:p>
    <w:p w14:paraId="33864A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3.《陕西省建设工程基价表》(2025)；</w:t>
      </w:r>
    </w:p>
    <w:p w14:paraId="6246D89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4.《陕西省建设工程消耗量定额》(2025)；</w:t>
      </w:r>
    </w:p>
    <w:p w14:paraId="1FE80B6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5.《陕西省建设工程施工机械台班费用定额》(2025)；</w:t>
      </w:r>
    </w:p>
    <w:p w14:paraId="3A79F7D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6.《陕西省建设工程施工仪器仪表台班费用定额》(2025)；</w:t>
      </w:r>
    </w:p>
    <w:p w14:paraId="5342144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7.由甲方提供的工程量清单。</w:t>
      </w:r>
    </w:p>
    <w:p w14:paraId="54B7296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8.施工设计图中选用的相关标准图集。</w:t>
      </w:r>
    </w:p>
    <w:p w14:paraId="7CDF40B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三、需要说明的问题</w:t>
      </w:r>
      <w:r>
        <w:rPr>
          <w:rFonts w:hint="eastAsia" w:ascii="宋体" w:hAnsi="宋体" w:cs="宋体"/>
          <w:b w:val="0"/>
          <w:bCs/>
          <w:color w:val="auto"/>
          <w:sz w:val="24"/>
          <w:szCs w:val="24"/>
          <w:lang w:val="en-US" w:eastAsia="zh-CN"/>
        </w:rPr>
        <w:t>：</w:t>
      </w:r>
    </w:p>
    <w:p w14:paraId="59597F0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1.招标最高限价采用广联达7.0云计价平台软件编制。</w:t>
      </w:r>
    </w:p>
    <w:p w14:paraId="40BC235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宋体" w:cs="Times New Roman"/>
          <w:b w:val="0"/>
          <w:bCs/>
          <w:color w:val="auto"/>
          <w:sz w:val="24"/>
          <w:szCs w:val="24"/>
          <w:lang w:val="en-US" w:eastAsia="zh-CN"/>
        </w:rPr>
        <w:sectPr>
          <w:pgSz w:w="11906" w:h="16838"/>
          <w:pgMar w:top="1417" w:right="1417" w:bottom="1417" w:left="1417" w:header="1134" w:footer="1191" w:gutter="0"/>
          <w:pgNumType w:fmt="decimal"/>
          <w:cols w:space="0" w:num="1"/>
          <w:titlePg/>
          <w:rtlGutter w:val="0"/>
          <w:docGrid w:type="lines" w:linePitch="333" w:charSpace="0"/>
        </w:sectPr>
      </w:pPr>
      <w:r>
        <w:rPr>
          <w:rFonts w:hint="eastAsia" w:ascii="宋体" w:hAnsi="宋体" w:eastAsia="宋体" w:cs="宋体"/>
          <w:b w:val="0"/>
          <w:bCs/>
          <w:color w:val="auto"/>
          <w:sz w:val="24"/>
          <w:szCs w:val="24"/>
          <w:lang w:val="en-US" w:eastAsia="zh-CN"/>
        </w:rPr>
        <w:t>2.招标最高限价制执行《安康工程造价管理信息》2026年第5期及市场询价。</w:t>
      </w:r>
    </w:p>
    <w:p w14:paraId="0807B088">
      <w:pPr>
        <w:pStyle w:val="22"/>
        <w:numPr>
          <w:ilvl w:val="0"/>
          <w:numId w:val="0"/>
        </w:numPr>
        <w:spacing w:before="0" w:after="0" w:line="420" w:lineRule="exact"/>
        <w:jc w:val="center"/>
        <w:outlineLvl w:val="0"/>
        <w:rPr>
          <w:rFonts w:hint="eastAsia"/>
          <w:color w:val="auto"/>
          <w:sz w:val="36"/>
          <w:lang w:val="en-US" w:eastAsia="zh-CN"/>
        </w:rPr>
        <w:sectPr>
          <w:headerReference r:id="rId15" w:type="first"/>
          <w:footerReference r:id="rId17" w:type="first"/>
          <w:headerReference r:id="rId14" w:type="default"/>
          <w:footerReference r:id="rId16" w:type="default"/>
          <w:pgSz w:w="11906" w:h="16838"/>
          <w:pgMar w:top="1417" w:right="1417" w:bottom="1417" w:left="1417" w:header="1134" w:footer="992" w:gutter="0"/>
          <w:pgNumType w:fmt="decimal"/>
          <w:cols w:space="0" w:num="1"/>
          <w:titlePg/>
          <w:rtlGutter w:val="0"/>
          <w:docGrid w:type="lines" w:linePitch="333" w:charSpace="0"/>
        </w:sectPr>
      </w:pPr>
      <w:bookmarkStart w:id="133" w:name="表-2 分部分项工程量清单计价表"/>
      <w:bookmarkEnd w:id="133"/>
      <w:bookmarkStart w:id="134" w:name="_Toc536202322"/>
      <w:bookmarkStart w:id="135" w:name="_Toc536429384"/>
      <w:bookmarkStart w:id="136" w:name="_Toc536429331"/>
      <w:bookmarkStart w:id="137" w:name="_Toc536202391"/>
      <w:bookmarkStart w:id="138" w:name="_Toc10286"/>
      <w:bookmarkStart w:id="139" w:name="_Toc19543347"/>
      <w:r>
        <w:rPr>
          <w:rFonts w:hint="eastAsia"/>
          <w:color w:val="auto"/>
          <w:sz w:val="36"/>
          <w:lang w:val="en-US" w:eastAsia="zh-CN"/>
        </w:rPr>
        <w:drawing>
          <wp:anchor distT="0" distB="0" distL="114300" distR="114300" simplePos="0" relativeHeight="251664384" behindDoc="0" locked="0" layoutInCell="1" allowOverlap="1">
            <wp:simplePos x="0" y="0"/>
            <wp:positionH relativeFrom="column">
              <wp:posOffset>-31750</wp:posOffset>
            </wp:positionH>
            <wp:positionV relativeFrom="paragraph">
              <wp:posOffset>140335</wp:posOffset>
            </wp:positionV>
            <wp:extent cx="5756275" cy="6873875"/>
            <wp:effectExtent l="0" t="0" r="15875" b="3175"/>
            <wp:wrapNone/>
            <wp:docPr id="2" name="图片 2" descr="6979592f-5643-4172-a742-56cf1b6d09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979592f-5643-4172-a742-56cf1b6d096a"/>
                    <pic:cNvPicPr>
                      <a:picLocks noChangeAspect="1"/>
                    </pic:cNvPicPr>
                  </pic:nvPicPr>
                  <pic:blipFill>
                    <a:blip r:embed="rId28"/>
                    <a:stretch>
                      <a:fillRect/>
                    </a:stretch>
                  </pic:blipFill>
                  <pic:spPr>
                    <a:xfrm>
                      <a:off x="0" y="0"/>
                      <a:ext cx="5756275" cy="6873875"/>
                    </a:xfrm>
                    <a:prstGeom prst="rect">
                      <a:avLst/>
                    </a:prstGeom>
                  </pic:spPr>
                </pic:pic>
              </a:graphicData>
            </a:graphic>
          </wp:anchor>
        </w:drawing>
      </w:r>
    </w:p>
    <w:p w14:paraId="0EA9DFD4">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5408" behindDoc="0" locked="0" layoutInCell="1" allowOverlap="1">
            <wp:simplePos x="0" y="0"/>
            <wp:positionH relativeFrom="column">
              <wp:posOffset>-10160</wp:posOffset>
            </wp:positionH>
            <wp:positionV relativeFrom="paragraph">
              <wp:posOffset>147955</wp:posOffset>
            </wp:positionV>
            <wp:extent cx="5755640" cy="8007350"/>
            <wp:effectExtent l="0" t="0" r="16510" b="12700"/>
            <wp:wrapNone/>
            <wp:docPr id="4" name="图片 4" descr="ea0c134e-5143-46b2-ad14-e2f671db7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a0c134e-5143-46b2-ad14-e2f671db7813"/>
                    <pic:cNvPicPr>
                      <a:picLocks noChangeAspect="1"/>
                    </pic:cNvPicPr>
                  </pic:nvPicPr>
                  <pic:blipFill>
                    <a:blip r:embed="rId29"/>
                    <a:stretch>
                      <a:fillRect/>
                    </a:stretch>
                  </pic:blipFill>
                  <pic:spPr>
                    <a:xfrm>
                      <a:off x="0" y="0"/>
                      <a:ext cx="5755640" cy="8007350"/>
                    </a:xfrm>
                    <a:prstGeom prst="rect">
                      <a:avLst/>
                    </a:prstGeom>
                  </pic:spPr>
                </pic:pic>
              </a:graphicData>
            </a:graphic>
          </wp:anchor>
        </w:drawing>
      </w:r>
    </w:p>
    <w:p w14:paraId="0196AC19">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6432" behindDoc="0" locked="0" layoutInCell="1" allowOverlap="1">
            <wp:simplePos x="0" y="0"/>
            <wp:positionH relativeFrom="column">
              <wp:posOffset>-10795</wp:posOffset>
            </wp:positionH>
            <wp:positionV relativeFrom="paragraph">
              <wp:posOffset>151765</wp:posOffset>
            </wp:positionV>
            <wp:extent cx="5758180" cy="7303135"/>
            <wp:effectExtent l="0" t="0" r="13970" b="12065"/>
            <wp:wrapNone/>
            <wp:docPr id="5" name="图片 5" descr="9310e93b-22f3-4f6a-af8d-d7e542929c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310e93b-22f3-4f6a-af8d-d7e542929c1e"/>
                    <pic:cNvPicPr>
                      <a:picLocks noChangeAspect="1"/>
                    </pic:cNvPicPr>
                  </pic:nvPicPr>
                  <pic:blipFill>
                    <a:blip r:embed="rId30"/>
                    <a:stretch>
                      <a:fillRect/>
                    </a:stretch>
                  </pic:blipFill>
                  <pic:spPr>
                    <a:xfrm>
                      <a:off x="0" y="0"/>
                      <a:ext cx="5758180" cy="7303135"/>
                    </a:xfrm>
                    <a:prstGeom prst="rect">
                      <a:avLst/>
                    </a:prstGeom>
                  </pic:spPr>
                </pic:pic>
              </a:graphicData>
            </a:graphic>
          </wp:anchor>
        </w:drawing>
      </w:r>
    </w:p>
    <w:p w14:paraId="43B501A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7456" behindDoc="0" locked="0" layoutInCell="1" allowOverlap="1">
            <wp:simplePos x="0" y="0"/>
            <wp:positionH relativeFrom="column">
              <wp:posOffset>-83185</wp:posOffset>
            </wp:positionH>
            <wp:positionV relativeFrom="paragraph">
              <wp:posOffset>167005</wp:posOffset>
            </wp:positionV>
            <wp:extent cx="5759450" cy="7878445"/>
            <wp:effectExtent l="0" t="0" r="12700" b="8255"/>
            <wp:wrapNone/>
            <wp:docPr id="6" name="图片 6" descr="984f2757-7aa5-4203-b4d8-b3819ca86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84f2757-7aa5-4203-b4d8-b3819ca86837"/>
                    <pic:cNvPicPr>
                      <a:picLocks noChangeAspect="1"/>
                    </pic:cNvPicPr>
                  </pic:nvPicPr>
                  <pic:blipFill>
                    <a:blip r:embed="rId31"/>
                    <a:stretch>
                      <a:fillRect/>
                    </a:stretch>
                  </pic:blipFill>
                  <pic:spPr>
                    <a:xfrm>
                      <a:off x="0" y="0"/>
                      <a:ext cx="5759450" cy="7878445"/>
                    </a:xfrm>
                    <a:prstGeom prst="rect">
                      <a:avLst/>
                    </a:prstGeom>
                  </pic:spPr>
                </pic:pic>
              </a:graphicData>
            </a:graphic>
          </wp:anchor>
        </w:drawing>
      </w:r>
    </w:p>
    <w:p w14:paraId="75B43B87">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8480" behindDoc="0" locked="0" layoutInCell="1" allowOverlap="1">
            <wp:simplePos x="0" y="0"/>
            <wp:positionH relativeFrom="column">
              <wp:posOffset>83820</wp:posOffset>
            </wp:positionH>
            <wp:positionV relativeFrom="paragraph">
              <wp:posOffset>292100</wp:posOffset>
            </wp:positionV>
            <wp:extent cx="5755005" cy="7849235"/>
            <wp:effectExtent l="0" t="0" r="17145" b="18415"/>
            <wp:wrapNone/>
            <wp:docPr id="7" name="图片 7" descr="fa9f6c67-75b4-40d1-a0ff-803b9e60b1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a9f6c67-75b4-40d1-a0ff-803b9e60b1be"/>
                    <pic:cNvPicPr>
                      <a:picLocks noChangeAspect="1"/>
                    </pic:cNvPicPr>
                  </pic:nvPicPr>
                  <pic:blipFill>
                    <a:blip r:embed="rId32"/>
                    <a:stretch>
                      <a:fillRect/>
                    </a:stretch>
                  </pic:blipFill>
                  <pic:spPr>
                    <a:xfrm>
                      <a:off x="0" y="0"/>
                      <a:ext cx="5755005" cy="7849235"/>
                    </a:xfrm>
                    <a:prstGeom prst="rect">
                      <a:avLst/>
                    </a:prstGeom>
                  </pic:spPr>
                </pic:pic>
              </a:graphicData>
            </a:graphic>
          </wp:anchor>
        </w:drawing>
      </w:r>
    </w:p>
    <w:p w14:paraId="608329FF">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69504" behindDoc="0" locked="0" layoutInCell="1" allowOverlap="1">
            <wp:simplePos x="0" y="0"/>
            <wp:positionH relativeFrom="column">
              <wp:posOffset>95250</wp:posOffset>
            </wp:positionH>
            <wp:positionV relativeFrom="paragraph">
              <wp:posOffset>90805</wp:posOffset>
            </wp:positionV>
            <wp:extent cx="5686425" cy="8067675"/>
            <wp:effectExtent l="0" t="0" r="9525" b="9525"/>
            <wp:wrapNone/>
            <wp:docPr id="8" name="图片 8" descr="a4002783-3e64-4938-925e-4d03eae2b7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4002783-3e64-4938-925e-4d03eae2b7b2"/>
                    <pic:cNvPicPr>
                      <a:picLocks noChangeAspect="1"/>
                    </pic:cNvPicPr>
                  </pic:nvPicPr>
                  <pic:blipFill>
                    <a:blip r:embed="rId33"/>
                    <a:stretch>
                      <a:fillRect/>
                    </a:stretch>
                  </pic:blipFill>
                  <pic:spPr>
                    <a:xfrm>
                      <a:off x="0" y="0"/>
                      <a:ext cx="5686425" cy="8067675"/>
                    </a:xfrm>
                    <a:prstGeom prst="rect">
                      <a:avLst/>
                    </a:prstGeom>
                  </pic:spPr>
                </pic:pic>
              </a:graphicData>
            </a:graphic>
          </wp:anchor>
        </w:drawing>
      </w:r>
    </w:p>
    <w:p w14:paraId="46ED0FCE">
      <w:pPr>
        <w:rPr>
          <w:rFonts w:hint="eastAsia"/>
          <w:color w:val="auto"/>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lang w:val="en-US" w:eastAsia="zh-CN"/>
        </w:rPr>
        <w:drawing>
          <wp:inline distT="0" distB="0" distL="114300" distR="114300">
            <wp:extent cx="5760720" cy="6577965"/>
            <wp:effectExtent l="0" t="0" r="11430" b="13335"/>
            <wp:docPr id="9" name="图片 9" descr="609852f5-15b8-4094-8551-aa92a6cde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09852f5-15b8-4094-8551-aa92a6cde039"/>
                    <pic:cNvPicPr>
                      <a:picLocks noChangeAspect="1"/>
                    </pic:cNvPicPr>
                  </pic:nvPicPr>
                  <pic:blipFill>
                    <a:blip r:embed="rId34"/>
                    <a:stretch>
                      <a:fillRect/>
                    </a:stretch>
                  </pic:blipFill>
                  <pic:spPr>
                    <a:xfrm>
                      <a:off x="0" y="0"/>
                      <a:ext cx="5760720" cy="6577965"/>
                    </a:xfrm>
                    <a:prstGeom prst="rect">
                      <a:avLst/>
                    </a:prstGeom>
                  </pic:spPr>
                </pic:pic>
              </a:graphicData>
            </a:graphic>
          </wp:inline>
        </w:drawing>
      </w:r>
    </w:p>
    <w:p w14:paraId="2D8D75D9">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0528" behindDoc="0" locked="0" layoutInCell="1" allowOverlap="1">
            <wp:simplePos x="0" y="0"/>
            <wp:positionH relativeFrom="column">
              <wp:posOffset>141605</wp:posOffset>
            </wp:positionH>
            <wp:positionV relativeFrom="paragraph">
              <wp:posOffset>165100</wp:posOffset>
            </wp:positionV>
            <wp:extent cx="5372100" cy="8181975"/>
            <wp:effectExtent l="0" t="0" r="0" b="9525"/>
            <wp:wrapNone/>
            <wp:docPr id="10" name="图片 10" descr="90c5d6de-8631-4fe1-a01e-5237971382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0c5d6de-8631-4fe1-a01e-52379713827e"/>
                    <pic:cNvPicPr>
                      <a:picLocks noChangeAspect="1"/>
                    </pic:cNvPicPr>
                  </pic:nvPicPr>
                  <pic:blipFill>
                    <a:blip r:embed="rId35"/>
                    <a:stretch>
                      <a:fillRect/>
                    </a:stretch>
                  </pic:blipFill>
                  <pic:spPr>
                    <a:xfrm>
                      <a:off x="0" y="0"/>
                      <a:ext cx="5372100" cy="8181975"/>
                    </a:xfrm>
                    <a:prstGeom prst="rect">
                      <a:avLst/>
                    </a:prstGeom>
                  </pic:spPr>
                </pic:pic>
              </a:graphicData>
            </a:graphic>
          </wp:anchor>
        </w:drawing>
      </w:r>
    </w:p>
    <w:p w14:paraId="6721D401">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1552" behindDoc="0" locked="0" layoutInCell="1" allowOverlap="1">
            <wp:simplePos x="0" y="0"/>
            <wp:positionH relativeFrom="column">
              <wp:posOffset>187325</wp:posOffset>
            </wp:positionH>
            <wp:positionV relativeFrom="paragraph">
              <wp:posOffset>112395</wp:posOffset>
            </wp:positionV>
            <wp:extent cx="5448300" cy="7658100"/>
            <wp:effectExtent l="0" t="0" r="0" b="0"/>
            <wp:wrapNone/>
            <wp:docPr id="15" name="图片 15" descr="aabf165d-91b3-45b8-b5ae-330a83ccda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aabf165d-91b3-45b8-b5ae-330a83ccdaf6"/>
                    <pic:cNvPicPr>
                      <a:picLocks noChangeAspect="1"/>
                    </pic:cNvPicPr>
                  </pic:nvPicPr>
                  <pic:blipFill>
                    <a:blip r:embed="rId36"/>
                    <a:stretch>
                      <a:fillRect/>
                    </a:stretch>
                  </pic:blipFill>
                  <pic:spPr>
                    <a:xfrm>
                      <a:off x="0" y="0"/>
                      <a:ext cx="5448300" cy="7658100"/>
                    </a:xfrm>
                    <a:prstGeom prst="rect">
                      <a:avLst/>
                    </a:prstGeom>
                  </pic:spPr>
                </pic:pic>
              </a:graphicData>
            </a:graphic>
          </wp:anchor>
        </w:drawing>
      </w:r>
    </w:p>
    <w:p w14:paraId="53CDBEC8">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2576" behindDoc="0" locked="0" layoutInCell="1" allowOverlap="1">
            <wp:simplePos x="0" y="0"/>
            <wp:positionH relativeFrom="column">
              <wp:posOffset>173990</wp:posOffset>
            </wp:positionH>
            <wp:positionV relativeFrom="paragraph">
              <wp:posOffset>387350</wp:posOffset>
            </wp:positionV>
            <wp:extent cx="5381625" cy="8001000"/>
            <wp:effectExtent l="0" t="0" r="9525" b="0"/>
            <wp:wrapNone/>
            <wp:docPr id="16" name="图片 16" descr="bbfee8aa-9183-41d9-8831-f556f1ca33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bbfee8aa-9183-41d9-8831-f556f1ca33f3"/>
                    <pic:cNvPicPr>
                      <a:picLocks noChangeAspect="1"/>
                    </pic:cNvPicPr>
                  </pic:nvPicPr>
                  <pic:blipFill>
                    <a:blip r:embed="rId37"/>
                    <a:stretch>
                      <a:fillRect/>
                    </a:stretch>
                  </pic:blipFill>
                  <pic:spPr>
                    <a:xfrm>
                      <a:off x="0" y="0"/>
                      <a:ext cx="5381625" cy="8001000"/>
                    </a:xfrm>
                    <a:prstGeom prst="rect">
                      <a:avLst/>
                    </a:prstGeom>
                  </pic:spPr>
                </pic:pic>
              </a:graphicData>
            </a:graphic>
          </wp:anchor>
        </w:drawing>
      </w:r>
    </w:p>
    <w:p w14:paraId="5819FA92">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3600" behindDoc="0" locked="0" layoutInCell="1" allowOverlap="1">
            <wp:simplePos x="0" y="0"/>
            <wp:positionH relativeFrom="column">
              <wp:posOffset>156210</wp:posOffset>
            </wp:positionH>
            <wp:positionV relativeFrom="paragraph">
              <wp:posOffset>222250</wp:posOffset>
            </wp:positionV>
            <wp:extent cx="5438775" cy="6943725"/>
            <wp:effectExtent l="0" t="0" r="9525" b="9525"/>
            <wp:wrapNone/>
            <wp:docPr id="17" name="图片 17" descr="8d229afb-c509-40cd-a07e-c09ea9c374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d229afb-c509-40cd-a07e-c09ea9c374ac"/>
                    <pic:cNvPicPr>
                      <a:picLocks noChangeAspect="1"/>
                    </pic:cNvPicPr>
                  </pic:nvPicPr>
                  <pic:blipFill>
                    <a:blip r:embed="rId38"/>
                    <a:stretch>
                      <a:fillRect/>
                    </a:stretch>
                  </pic:blipFill>
                  <pic:spPr>
                    <a:xfrm>
                      <a:off x="0" y="0"/>
                      <a:ext cx="5438775" cy="6943725"/>
                    </a:xfrm>
                    <a:prstGeom prst="rect">
                      <a:avLst/>
                    </a:prstGeom>
                  </pic:spPr>
                </pic:pic>
              </a:graphicData>
            </a:graphic>
          </wp:anchor>
        </w:drawing>
      </w:r>
    </w:p>
    <w:p w14:paraId="38D8494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4624" behindDoc="0" locked="0" layoutInCell="1" allowOverlap="1">
            <wp:simplePos x="0" y="0"/>
            <wp:positionH relativeFrom="column">
              <wp:posOffset>-80645</wp:posOffset>
            </wp:positionH>
            <wp:positionV relativeFrom="paragraph">
              <wp:posOffset>317500</wp:posOffset>
            </wp:positionV>
            <wp:extent cx="5758815" cy="7665720"/>
            <wp:effectExtent l="0" t="0" r="13335" b="11430"/>
            <wp:wrapNone/>
            <wp:docPr id="18" name="图片 18" descr="e74e1fd2-af38-4c96-90fd-4859d8f973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74e1fd2-af38-4c96-90fd-4859d8f973d6"/>
                    <pic:cNvPicPr>
                      <a:picLocks noChangeAspect="1"/>
                    </pic:cNvPicPr>
                  </pic:nvPicPr>
                  <pic:blipFill>
                    <a:blip r:embed="rId39"/>
                    <a:stretch>
                      <a:fillRect/>
                    </a:stretch>
                  </pic:blipFill>
                  <pic:spPr>
                    <a:xfrm>
                      <a:off x="0" y="0"/>
                      <a:ext cx="5758815" cy="7665720"/>
                    </a:xfrm>
                    <a:prstGeom prst="rect">
                      <a:avLst/>
                    </a:prstGeom>
                  </pic:spPr>
                </pic:pic>
              </a:graphicData>
            </a:graphic>
          </wp:anchor>
        </w:drawing>
      </w:r>
    </w:p>
    <w:p w14:paraId="3764142E">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5648" behindDoc="0" locked="0" layoutInCell="1" allowOverlap="1">
            <wp:simplePos x="0" y="0"/>
            <wp:positionH relativeFrom="column">
              <wp:posOffset>-10160</wp:posOffset>
            </wp:positionH>
            <wp:positionV relativeFrom="paragraph">
              <wp:posOffset>184150</wp:posOffset>
            </wp:positionV>
            <wp:extent cx="5610225" cy="7934325"/>
            <wp:effectExtent l="0" t="0" r="9525" b="9525"/>
            <wp:wrapNone/>
            <wp:docPr id="19" name="图片 19" descr="577cba70-0c54-4af0-a631-a79a629b7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577cba70-0c54-4af0-a631-a79a629b7e38"/>
                    <pic:cNvPicPr>
                      <a:picLocks noChangeAspect="1"/>
                    </pic:cNvPicPr>
                  </pic:nvPicPr>
                  <pic:blipFill>
                    <a:blip r:embed="rId40"/>
                    <a:stretch>
                      <a:fillRect/>
                    </a:stretch>
                  </pic:blipFill>
                  <pic:spPr>
                    <a:xfrm>
                      <a:off x="0" y="0"/>
                      <a:ext cx="5610225" cy="7934325"/>
                    </a:xfrm>
                    <a:prstGeom prst="rect">
                      <a:avLst/>
                    </a:prstGeom>
                  </pic:spPr>
                </pic:pic>
              </a:graphicData>
            </a:graphic>
          </wp:anchor>
        </w:drawing>
      </w:r>
    </w:p>
    <w:p w14:paraId="2ABEB501">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6672" behindDoc="0" locked="0" layoutInCell="1" allowOverlap="1">
            <wp:simplePos x="0" y="0"/>
            <wp:positionH relativeFrom="column">
              <wp:posOffset>135255</wp:posOffset>
            </wp:positionH>
            <wp:positionV relativeFrom="paragraph">
              <wp:posOffset>291465</wp:posOffset>
            </wp:positionV>
            <wp:extent cx="5410200" cy="8172450"/>
            <wp:effectExtent l="0" t="0" r="0" b="0"/>
            <wp:wrapNone/>
            <wp:docPr id="20" name="图片 20" descr="eb9d957f-5cf7-4aa8-a565-e31824fc8c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b9d957f-5cf7-4aa8-a565-e31824fc8c01"/>
                    <pic:cNvPicPr>
                      <a:picLocks noChangeAspect="1"/>
                    </pic:cNvPicPr>
                  </pic:nvPicPr>
                  <pic:blipFill>
                    <a:blip r:embed="rId41"/>
                    <a:stretch>
                      <a:fillRect/>
                    </a:stretch>
                  </pic:blipFill>
                  <pic:spPr>
                    <a:xfrm>
                      <a:off x="0" y="0"/>
                      <a:ext cx="5410200" cy="8172450"/>
                    </a:xfrm>
                    <a:prstGeom prst="rect">
                      <a:avLst/>
                    </a:prstGeom>
                  </pic:spPr>
                </pic:pic>
              </a:graphicData>
            </a:graphic>
          </wp:anchor>
        </w:drawing>
      </w:r>
    </w:p>
    <w:p w14:paraId="4B266C3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7696" behindDoc="0" locked="0" layoutInCell="1" allowOverlap="1">
            <wp:simplePos x="0" y="0"/>
            <wp:positionH relativeFrom="column">
              <wp:posOffset>163830</wp:posOffset>
            </wp:positionH>
            <wp:positionV relativeFrom="paragraph">
              <wp:posOffset>339090</wp:posOffset>
            </wp:positionV>
            <wp:extent cx="5476875" cy="7829550"/>
            <wp:effectExtent l="0" t="0" r="9525" b="0"/>
            <wp:wrapNone/>
            <wp:docPr id="29" name="图片 29" descr="e006c262-1dff-49ae-97e8-483dae3983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e006c262-1dff-49ae-97e8-483dae39838f"/>
                    <pic:cNvPicPr>
                      <a:picLocks noChangeAspect="1"/>
                    </pic:cNvPicPr>
                  </pic:nvPicPr>
                  <pic:blipFill>
                    <a:blip r:embed="rId42"/>
                    <a:stretch>
                      <a:fillRect/>
                    </a:stretch>
                  </pic:blipFill>
                  <pic:spPr>
                    <a:xfrm>
                      <a:off x="0" y="0"/>
                      <a:ext cx="5476875" cy="7829550"/>
                    </a:xfrm>
                    <a:prstGeom prst="rect">
                      <a:avLst/>
                    </a:prstGeom>
                  </pic:spPr>
                </pic:pic>
              </a:graphicData>
            </a:graphic>
          </wp:anchor>
        </w:drawing>
      </w:r>
    </w:p>
    <w:p w14:paraId="31CDF14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8720" behindDoc="0" locked="0" layoutInCell="1" allowOverlap="1">
            <wp:simplePos x="0" y="0"/>
            <wp:positionH relativeFrom="column">
              <wp:posOffset>-50800</wp:posOffset>
            </wp:positionH>
            <wp:positionV relativeFrom="paragraph">
              <wp:posOffset>278130</wp:posOffset>
            </wp:positionV>
            <wp:extent cx="5476875" cy="8162925"/>
            <wp:effectExtent l="0" t="0" r="9525" b="9525"/>
            <wp:wrapNone/>
            <wp:docPr id="30" name="图片 30" descr="2df0958f-7248-4639-85f8-bb7ca0f531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df0958f-7248-4639-85f8-bb7ca0f531db"/>
                    <pic:cNvPicPr>
                      <a:picLocks noChangeAspect="1"/>
                    </pic:cNvPicPr>
                  </pic:nvPicPr>
                  <pic:blipFill>
                    <a:blip r:embed="rId43"/>
                    <a:stretch>
                      <a:fillRect/>
                    </a:stretch>
                  </pic:blipFill>
                  <pic:spPr>
                    <a:xfrm>
                      <a:off x="0" y="0"/>
                      <a:ext cx="5476875" cy="8162925"/>
                    </a:xfrm>
                    <a:prstGeom prst="rect">
                      <a:avLst/>
                    </a:prstGeom>
                  </pic:spPr>
                </pic:pic>
              </a:graphicData>
            </a:graphic>
          </wp:anchor>
        </w:drawing>
      </w:r>
    </w:p>
    <w:p w14:paraId="494C92EE">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79744" behindDoc="0" locked="0" layoutInCell="1" allowOverlap="1">
            <wp:simplePos x="0" y="0"/>
            <wp:positionH relativeFrom="column">
              <wp:posOffset>40005</wp:posOffset>
            </wp:positionH>
            <wp:positionV relativeFrom="paragraph">
              <wp:posOffset>249555</wp:posOffset>
            </wp:positionV>
            <wp:extent cx="5760085" cy="7897495"/>
            <wp:effectExtent l="0" t="0" r="12065" b="8255"/>
            <wp:wrapNone/>
            <wp:docPr id="31" name="图片 31" descr="7b7f8240-46ad-4651-9bad-836fe607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7b7f8240-46ad-4651-9bad-836fe6070984"/>
                    <pic:cNvPicPr>
                      <a:picLocks noChangeAspect="1"/>
                    </pic:cNvPicPr>
                  </pic:nvPicPr>
                  <pic:blipFill>
                    <a:blip r:embed="rId44"/>
                    <a:stretch>
                      <a:fillRect/>
                    </a:stretch>
                  </pic:blipFill>
                  <pic:spPr>
                    <a:xfrm>
                      <a:off x="0" y="0"/>
                      <a:ext cx="5760085" cy="7897495"/>
                    </a:xfrm>
                    <a:prstGeom prst="rect">
                      <a:avLst/>
                    </a:prstGeom>
                  </pic:spPr>
                </pic:pic>
              </a:graphicData>
            </a:graphic>
          </wp:anchor>
        </w:drawing>
      </w:r>
    </w:p>
    <w:p w14:paraId="5AD77046">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0768" behindDoc="0" locked="0" layoutInCell="1" allowOverlap="1">
            <wp:simplePos x="0" y="0"/>
            <wp:positionH relativeFrom="column">
              <wp:posOffset>-53975</wp:posOffset>
            </wp:positionH>
            <wp:positionV relativeFrom="paragraph">
              <wp:posOffset>206375</wp:posOffset>
            </wp:positionV>
            <wp:extent cx="5755640" cy="7362825"/>
            <wp:effectExtent l="0" t="0" r="16510" b="9525"/>
            <wp:wrapNone/>
            <wp:docPr id="32" name="图片 32" descr="be19436d-fccd-4291-ab84-1297592ead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be19436d-fccd-4291-ab84-1297592eadd4"/>
                    <pic:cNvPicPr>
                      <a:picLocks noChangeAspect="1"/>
                    </pic:cNvPicPr>
                  </pic:nvPicPr>
                  <pic:blipFill>
                    <a:blip r:embed="rId45"/>
                    <a:stretch>
                      <a:fillRect/>
                    </a:stretch>
                  </pic:blipFill>
                  <pic:spPr>
                    <a:xfrm>
                      <a:off x="0" y="0"/>
                      <a:ext cx="5755640" cy="7362825"/>
                    </a:xfrm>
                    <a:prstGeom prst="rect">
                      <a:avLst/>
                    </a:prstGeom>
                  </pic:spPr>
                </pic:pic>
              </a:graphicData>
            </a:graphic>
          </wp:anchor>
        </w:drawing>
      </w:r>
    </w:p>
    <w:p w14:paraId="52669F20">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1792" behindDoc="0" locked="0" layoutInCell="1" allowOverlap="1">
            <wp:simplePos x="0" y="0"/>
            <wp:positionH relativeFrom="column">
              <wp:posOffset>13335</wp:posOffset>
            </wp:positionH>
            <wp:positionV relativeFrom="paragraph">
              <wp:posOffset>179705</wp:posOffset>
            </wp:positionV>
            <wp:extent cx="5756910" cy="8086090"/>
            <wp:effectExtent l="0" t="0" r="15240" b="10160"/>
            <wp:wrapNone/>
            <wp:docPr id="33" name="图片 33" descr="af774eaf-c32d-44db-99f5-46e0d47c0c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af774eaf-c32d-44db-99f5-46e0d47c0ccc"/>
                    <pic:cNvPicPr>
                      <a:picLocks noChangeAspect="1"/>
                    </pic:cNvPicPr>
                  </pic:nvPicPr>
                  <pic:blipFill>
                    <a:blip r:embed="rId46"/>
                    <a:stretch>
                      <a:fillRect/>
                    </a:stretch>
                  </pic:blipFill>
                  <pic:spPr>
                    <a:xfrm>
                      <a:off x="0" y="0"/>
                      <a:ext cx="5756910" cy="8086090"/>
                    </a:xfrm>
                    <a:prstGeom prst="rect">
                      <a:avLst/>
                    </a:prstGeom>
                  </pic:spPr>
                </pic:pic>
              </a:graphicData>
            </a:graphic>
          </wp:anchor>
        </w:drawing>
      </w:r>
    </w:p>
    <w:p w14:paraId="76BC8C3A">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2816" behindDoc="0" locked="0" layoutInCell="1" allowOverlap="1">
            <wp:simplePos x="0" y="0"/>
            <wp:positionH relativeFrom="column">
              <wp:posOffset>13335</wp:posOffset>
            </wp:positionH>
            <wp:positionV relativeFrom="paragraph">
              <wp:posOffset>222250</wp:posOffset>
            </wp:positionV>
            <wp:extent cx="5756910" cy="8123555"/>
            <wp:effectExtent l="0" t="0" r="15240" b="10795"/>
            <wp:wrapNone/>
            <wp:docPr id="34" name="图片 34" descr="cda7bd0b-7569-40f9-ae04-b2ff54688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da7bd0b-7569-40f9-ae04-b2ff54688378"/>
                    <pic:cNvPicPr>
                      <a:picLocks noChangeAspect="1"/>
                    </pic:cNvPicPr>
                  </pic:nvPicPr>
                  <pic:blipFill>
                    <a:blip r:embed="rId47"/>
                    <a:stretch>
                      <a:fillRect/>
                    </a:stretch>
                  </pic:blipFill>
                  <pic:spPr>
                    <a:xfrm>
                      <a:off x="0" y="0"/>
                      <a:ext cx="5756910" cy="8123555"/>
                    </a:xfrm>
                    <a:prstGeom prst="rect">
                      <a:avLst/>
                    </a:prstGeom>
                  </pic:spPr>
                </pic:pic>
              </a:graphicData>
            </a:graphic>
          </wp:anchor>
        </w:drawing>
      </w:r>
    </w:p>
    <w:p w14:paraId="3CE4BA00">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3840" behindDoc="0" locked="0" layoutInCell="1" allowOverlap="1">
            <wp:simplePos x="0" y="0"/>
            <wp:positionH relativeFrom="column">
              <wp:posOffset>-93345</wp:posOffset>
            </wp:positionH>
            <wp:positionV relativeFrom="paragraph">
              <wp:posOffset>146685</wp:posOffset>
            </wp:positionV>
            <wp:extent cx="5758180" cy="7387590"/>
            <wp:effectExtent l="0" t="0" r="13970" b="3810"/>
            <wp:wrapNone/>
            <wp:docPr id="35" name="图片 35" descr="f0e655e6-04e3-4833-a1f6-f3493556f0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f0e655e6-04e3-4833-a1f6-f3493556f04b"/>
                    <pic:cNvPicPr>
                      <a:picLocks noChangeAspect="1"/>
                    </pic:cNvPicPr>
                  </pic:nvPicPr>
                  <pic:blipFill>
                    <a:blip r:embed="rId48"/>
                    <a:stretch>
                      <a:fillRect/>
                    </a:stretch>
                  </pic:blipFill>
                  <pic:spPr>
                    <a:xfrm>
                      <a:off x="0" y="0"/>
                      <a:ext cx="5758180" cy="7387590"/>
                    </a:xfrm>
                    <a:prstGeom prst="rect">
                      <a:avLst/>
                    </a:prstGeom>
                  </pic:spPr>
                </pic:pic>
              </a:graphicData>
            </a:graphic>
          </wp:anchor>
        </w:drawing>
      </w:r>
    </w:p>
    <w:p w14:paraId="10D3E79C">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4864" behindDoc="0" locked="0" layoutInCell="1" allowOverlap="1">
            <wp:simplePos x="0" y="0"/>
            <wp:positionH relativeFrom="column">
              <wp:posOffset>-67310</wp:posOffset>
            </wp:positionH>
            <wp:positionV relativeFrom="paragraph">
              <wp:posOffset>211455</wp:posOffset>
            </wp:positionV>
            <wp:extent cx="5756275" cy="8161020"/>
            <wp:effectExtent l="0" t="0" r="15875" b="11430"/>
            <wp:wrapNone/>
            <wp:docPr id="36" name="图片 36" descr="3d7804eb-e61d-4fe8-bbca-abd026ae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3d7804eb-e61d-4fe8-bbca-abd026ae5654"/>
                    <pic:cNvPicPr>
                      <a:picLocks noChangeAspect="1"/>
                    </pic:cNvPicPr>
                  </pic:nvPicPr>
                  <pic:blipFill>
                    <a:blip r:embed="rId49"/>
                    <a:stretch>
                      <a:fillRect/>
                    </a:stretch>
                  </pic:blipFill>
                  <pic:spPr>
                    <a:xfrm>
                      <a:off x="0" y="0"/>
                      <a:ext cx="5756275" cy="8161020"/>
                    </a:xfrm>
                    <a:prstGeom prst="rect">
                      <a:avLst/>
                    </a:prstGeom>
                  </pic:spPr>
                </pic:pic>
              </a:graphicData>
            </a:graphic>
          </wp:anchor>
        </w:drawing>
      </w:r>
    </w:p>
    <w:p w14:paraId="16DEAB3C">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5888" behindDoc="0" locked="0" layoutInCell="1" allowOverlap="1">
            <wp:simplePos x="0" y="0"/>
            <wp:positionH relativeFrom="column">
              <wp:posOffset>-28575</wp:posOffset>
            </wp:positionH>
            <wp:positionV relativeFrom="paragraph">
              <wp:posOffset>194310</wp:posOffset>
            </wp:positionV>
            <wp:extent cx="5648325" cy="8220075"/>
            <wp:effectExtent l="0" t="0" r="9525" b="9525"/>
            <wp:wrapNone/>
            <wp:docPr id="37" name="图片 37" descr="3009eff6-7481-43dd-aee8-739afbf4a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3009eff6-7481-43dd-aee8-739afbf4a486"/>
                    <pic:cNvPicPr>
                      <a:picLocks noChangeAspect="1"/>
                    </pic:cNvPicPr>
                  </pic:nvPicPr>
                  <pic:blipFill>
                    <a:blip r:embed="rId50"/>
                    <a:stretch>
                      <a:fillRect/>
                    </a:stretch>
                  </pic:blipFill>
                  <pic:spPr>
                    <a:xfrm>
                      <a:off x="0" y="0"/>
                      <a:ext cx="5648325" cy="8220075"/>
                    </a:xfrm>
                    <a:prstGeom prst="rect">
                      <a:avLst/>
                    </a:prstGeom>
                  </pic:spPr>
                </pic:pic>
              </a:graphicData>
            </a:graphic>
          </wp:anchor>
        </w:drawing>
      </w:r>
    </w:p>
    <w:p w14:paraId="0F920EFA">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6912" behindDoc="0" locked="0" layoutInCell="1" allowOverlap="1">
            <wp:simplePos x="0" y="0"/>
            <wp:positionH relativeFrom="column">
              <wp:posOffset>132080</wp:posOffset>
            </wp:positionH>
            <wp:positionV relativeFrom="paragraph">
              <wp:posOffset>140335</wp:posOffset>
            </wp:positionV>
            <wp:extent cx="5524500" cy="7629525"/>
            <wp:effectExtent l="0" t="0" r="0" b="9525"/>
            <wp:wrapNone/>
            <wp:docPr id="38" name="图片 38" descr="5a44ea9d-a2a5-42e4-8ceb-9c53aba0e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5a44ea9d-a2a5-42e4-8ceb-9c53aba0e265"/>
                    <pic:cNvPicPr>
                      <a:picLocks noChangeAspect="1"/>
                    </pic:cNvPicPr>
                  </pic:nvPicPr>
                  <pic:blipFill>
                    <a:blip r:embed="rId51"/>
                    <a:stretch>
                      <a:fillRect/>
                    </a:stretch>
                  </pic:blipFill>
                  <pic:spPr>
                    <a:xfrm>
                      <a:off x="0" y="0"/>
                      <a:ext cx="5524500" cy="7629525"/>
                    </a:xfrm>
                    <a:prstGeom prst="rect">
                      <a:avLst/>
                    </a:prstGeom>
                  </pic:spPr>
                </pic:pic>
              </a:graphicData>
            </a:graphic>
          </wp:anchor>
        </w:drawing>
      </w:r>
    </w:p>
    <w:p w14:paraId="79B69D55">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7936" behindDoc="0" locked="0" layoutInCell="1" allowOverlap="1">
            <wp:simplePos x="0" y="0"/>
            <wp:positionH relativeFrom="column">
              <wp:posOffset>26035</wp:posOffset>
            </wp:positionH>
            <wp:positionV relativeFrom="paragraph">
              <wp:posOffset>180975</wp:posOffset>
            </wp:positionV>
            <wp:extent cx="5760085" cy="7994015"/>
            <wp:effectExtent l="0" t="0" r="12065" b="6985"/>
            <wp:wrapNone/>
            <wp:docPr id="39" name="图片 39" descr="aa9c8c00-0155-471b-819e-d53c6f821c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a9c8c00-0155-471b-819e-d53c6f821cd8"/>
                    <pic:cNvPicPr>
                      <a:picLocks noChangeAspect="1"/>
                    </pic:cNvPicPr>
                  </pic:nvPicPr>
                  <pic:blipFill>
                    <a:blip r:embed="rId52"/>
                    <a:stretch>
                      <a:fillRect/>
                    </a:stretch>
                  </pic:blipFill>
                  <pic:spPr>
                    <a:xfrm>
                      <a:off x="0" y="0"/>
                      <a:ext cx="5760085" cy="7994015"/>
                    </a:xfrm>
                    <a:prstGeom prst="rect">
                      <a:avLst/>
                    </a:prstGeom>
                  </pic:spPr>
                </pic:pic>
              </a:graphicData>
            </a:graphic>
          </wp:anchor>
        </w:drawing>
      </w:r>
    </w:p>
    <w:p w14:paraId="6E07EE06">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8960" behindDoc="0" locked="0" layoutInCell="1" allowOverlap="1">
            <wp:simplePos x="0" y="0"/>
            <wp:positionH relativeFrom="column">
              <wp:posOffset>-40005</wp:posOffset>
            </wp:positionH>
            <wp:positionV relativeFrom="paragraph">
              <wp:posOffset>195580</wp:posOffset>
            </wp:positionV>
            <wp:extent cx="5724525" cy="7896225"/>
            <wp:effectExtent l="0" t="0" r="9525" b="9525"/>
            <wp:wrapNone/>
            <wp:docPr id="40" name="图片 40" descr="1188c4e1-3106-4e21-a6f2-576e8df1ba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1188c4e1-3106-4e21-a6f2-576e8df1baed"/>
                    <pic:cNvPicPr>
                      <a:picLocks noChangeAspect="1"/>
                    </pic:cNvPicPr>
                  </pic:nvPicPr>
                  <pic:blipFill>
                    <a:blip r:embed="rId53"/>
                    <a:stretch>
                      <a:fillRect/>
                    </a:stretch>
                  </pic:blipFill>
                  <pic:spPr>
                    <a:xfrm>
                      <a:off x="0" y="0"/>
                      <a:ext cx="5724525" cy="7896225"/>
                    </a:xfrm>
                    <a:prstGeom prst="rect">
                      <a:avLst/>
                    </a:prstGeom>
                  </pic:spPr>
                </pic:pic>
              </a:graphicData>
            </a:graphic>
          </wp:anchor>
        </w:drawing>
      </w:r>
    </w:p>
    <w:p w14:paraId="361A2F7F">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89984" behindDoc="0" locked="0" layoutInCell="1" allowOverlap="1">
            <wp:simplePos x="0" y="0"/>
            <wp:positionH relativeFrom="column">
              <wp:posOffset>26670</wp:posOffset>
            </wp:positionH>
            <wp:positionV relativeFrom="paragraph">
              <wp:posOffset>239395</wp:posOffset>
            </wp:positionV>
            <wp:extent cx="5734050" cy="7705725"/>
            <wp:effectExtent l="0" t="0" r="0" b="9525"/>
            <wp:wrapNone/>
            <wp:docPr id="41" name="图片 41" descr="3b0f3090-cd42-411a-81db-587be14cc1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3b0f3090-cd42-411a-81db-587be14cc19a"/>
                    <pic:cNvPicPr>
                      <a:picLocks noChangeAspect="1"/>
                    </pic:cNvPicPr>
                  </pic:nvPicPr>
                  <pic:blipFill>
                    <a:blip r:embed="rId54"/>
                    <a:stretch>
                      <a:fillRect/>
                    </a:stretch>
                  </pic:blipFill>
                  <pic:spPr>
                    <a:xfrm>
                      <a:off x="0" y="0"/>
                      <a:ext cx="5734050" cy="7705725"/>
                    </a:xfrm>
                    <a:prstGeom prst="rect">
                      <a:avLst/>
                    </a:prstGeom>
                  </pic:spPr>
                </pic:pic>
              </a:graphicData>
            </a:graphic>
          </wp:anchor>
        </w:drawing>
      </w:r>
    </w:p>
    <w:p w14:paraId="02A31C45">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1008" behindDoc="0" locked="0" layoutInCell="1" allowOverlap="1">
            <wp:simplePos x="0" y="0"/>
            <wp:positionH relativeFrom="column">
              <wp:posOffset>-80645</wp:posOffset>
            </wp:positionH>
            <wp:positionV relativeFrom="paragraph">
              <wp:posOffset>247650</wp:posOffset>
            </wp:positionV>
            <wp:extent cx="5756910" cy="7860665"/>
            <wp:effectExtent l="0" t="0" r="15240" b="6985"/>
            <wp:wrapNone/>
            <wp:docPr id="42" name="图片 42" descr="1fad6fed-713a-4f45-a3b8-5bb857f477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1fad6fed-713a-4f45-a3b8-5bb857f477eb"/>
                    <pic:cNvPicPr>
                      <a:picLocks noChangeAspect="1"/>
                    </pic:cNvPicPr>
                  </pic:nvPicPr>
                  <pic:blipFill>
                    <a:blip r:embed="rId55"/>
                    <a:stretch>
                      <a:fillRect/>
                    </a:stretch>
                  </pic:blipFill>
                  <pic:spPr>
                    <a:xfrm>
                      <a:off x="0" y="0"/>
                      <a:ext cx="5756910" cy="7860665"/>
                    </a:xfrm>
                    <a:prstGeom prst="rect">
                      <a:avLst/>
                    </a:prstGeom>
                  </pic:spPr>
                </pic:pic>
              </a:graphicData>
            </a:graphic>
          </wp:anchor>
        </w:drawing>
      </w:r>
    </w:p>
    <w:p w14:paraId="243FF231">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2032" behindDoc="0" locked="0" layoutInCell="1" allowOverlap="1">
            <wp:simplePos x="0" y="0"/>
            <wp:positionH relativeFrom="column">
              <wp:posOffset>38100</wp:posOffset>
            </wp:positionH>
            <wp:positionV relativeFrom="paragraph">
              <wp:posOffset>215900</wp:posOffset>
            </wp:positionV>
            <wp:extent cx="5648325" cy="8143875"/>
            <wp:effectExtent l="0" t="0" r="9525" b="9525"/>
            <wp:wrapNone/>
            <wp:docPr id="43" name="图片 43" descr="410a8931-a1ae-4aba-a14f-4e97c1e33a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410a8931-a1ae-4aba-a14f-4e97c1e33a82"/>
                    <pic:cNvPicPr>
                      <a:picLocks noChangeAspect="1"/>
                    </pic:cNvPicPr>
                  </pic:nvPicPr>
                  <pic:blipFill>
                    <a:blip r:embed="rId56"/>
                    <a:stretch>
                      <a:fillRect/>
                    </a:stretch>
                  </pic:blipFill>
                  <pic:spPr>
                    <a:xfrm>
                      <a:off x="0" y="0"/>
                      <a:ext cx="5648325" cy="8143875"/>
                    </a:xfrm>
                    <a:prstGeom prst="rect">
                      <a:avLst/>
                    </a:prstGeom>
                  </pic:spPr>
                </pic:pic>
              </a:graphicData>
            </a:graphic>
          </wp:anchor>
        </w:drawing>
      </w:r>
    </w:p>
    <w:p w14:paraId="4E4C8E2D">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3056" behindDoc="0" locked="0" layoutInCell="1" allowOverlap="1">
            <wp:simplePos x="0" y="0"/>
            <wp:positionH relativeFrom="column">
              <wp:posOffset>27305</wp:posOffset>
            </wp:positionH>
            <wp:positionV relativeFrom="paragraph">
              <wp:posOffset>241935</wp:posOffset>
            </wp:positionV>
            <wp:extent cx="5756275" cy="7391400"/>
            <wp:effectExtent l="0" t="0" r="15875" b="0"/>
            <wp:wrapNone/>
            <wp:docPr id="44" name="图片 44" descr="62cd96cf-223d-4b95-b38d-2aa4a1e44c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62cd96cf-223d-4b95-b38d-2aa4a1e44ccd"/>
                    <pic:cNvPicPr>
                      <a:picLocks noChangeAspect="1"/>
                    </pic:cNvPicPr>
                  </pic:nvPicPr>
                  <pic:blipFill>
                    <a:blip r:embed="rId57"/>
                    <a:stretch>
                      <a:fillRect/>
                    </a:stretch>
                  </pic:blipFill>
                  <pic:spPr>
                    <a:xfrm>
                      <a:off x="0" y="0"/>
                      <a:ext cx="5756275" cy="7391400"/>
                    </a:xfrm>
                    <a:prstGeom prst="rect">
                      <a:avLst/>
                    </a:prstGeom>
                  </pic:spPr>
                </pic:pic>
              </a:graphicData>
            </a:graphic>
          </wp:anchor>
        </w:drawing>
      </w:r>
    </w:p>
    <w:p w14:paraId="10BD73D8">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4080" behindDoc="0" locked="0" layoutInCell="1" allowOverlap="1">
            <wp:simplePos x="0" y="0"/>
            <wp:positionH relativeFrom="column">
              <wp:posOffset>133350</wp:posOffset>
            </wp:positionH>
            <wp:positionV relativeFrom="paragraph">
              <wp:posOffset>95885</wp:posOffset>
            </wp:positionV>
            <wp:extent cx="5600700" cy="7553325"/>
            <wp:effectExtent l="0" t="0" r="0" b="9525"/>
            <wp:wrapNone/>
            <wp:docPr id="45" name="图片 45" descr="068a48ab-81a5-428b-bea9-4795e0c951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068a48ab-81a5-428b-bea9-4795e0c951fe"/>
                    <pic:cNvPicPr>
                      <a:picLocks noChangeAspect="1"/>
                    </pic:cNvPicPr>
                  </pic:nvPicPr>
                  <pic:blipFill>
                    <a:blip r:embed="rId58"/>
                    <a:stretch>
                      <a:fillRect/>
                    </a:stretch>
                  </pic:blipFill>
                  <pic:spPr>
                    <a:xfrm>
                      <a:off x="0" y="0"/>
                      <a:ext cx="5600700" cy="7553325"/>
                    </a:xfrm>
                    <a:prstGeom prst="rect">
                      <a:avLst/>
                    </a:prstGeom>
                  </pic:spPr>
                </pic:pic>
              </a:graphicData>
            </a:graphic>
          </wp:anchor>
        </w:drawing>
      </w:r>
    </w:p>
    <w:p w14:paraId="40877B23">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5104" behindDoc="0" locked="0" layoutInCell="1" allowOverlap="1">
            <wp:simplePos x="0" y="0"/>
            <wp:positionH relativeFrom="column">
              <wp:posOffset>-80645</wp:posOffset>
            </wp:positionH>
            <wp:positionV relativeFrom="paragraph">
              <wp:posOffset>164465</wp:posOffset>
            </wp:positionV>
            <wp:extent cx="5756910" cy="8173720"/>
            <wp:effectExtent l="0" t="0" r="15240" b="17780"/>
            <wp:wrapNone/>
            <wp:docPr id="46" name="图片 46" descr="ab2335dc-a7b0-4d0b-b195-743b49041f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ab2335dc-a7b0-4d0b-b195-743b49041f6e"/>
                    <pic:cNvPicPr>
                      <a:picLocks noChangeAspect="1"/>
                    </pic:cNvPicPr>
                  </pic:nvPicPr>
                  <pic:blipFill>
                    <a:blip r:embed="rId59"/>
                    <a:stretch>
                      <a:fillRect/>
                    </a:stretch>
                  </pic:blipFill>
                  <pic:spPr>
                    <a:xfrm>
                      <a:off x="0" y="0"/>
                      <a:ext cx="5756910" cy="8173720"/>
                    </a:xfrm>
                    <a:prstGeom prst="rect">
                      <a:avLst/>
                    </a:prstGeom>
                  </pic:spPr>
                </pic:pic>
              </a:graphicData>
            </a:graphic>
          </wp:anchor>
        </w:drawing>
      </w:r>
    </w:p>
    <w:p w14:paraId="28D5AD79">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6128" behindDoc="0" locked="0" layoutInCell="1" allowOverlap="1">
            <wp:simplePos x="0" y="0"/>
            <wp:positionH relativeFrom="column">
              <wp:posOffset>53975</wp:posOffset>
            </wp:positionH>
            <wp:positionV relativeFrom="paragraph">
              <wp:posOffset>152400</wp:posOffset>
            </wp:positionV>
            <wp:extent cx="5758180" cy="7730490"/>
            <wp:effectExtent l="0" t="0" r="13970" b="3810"/>
            <wp:wrapNone/>
            <wp:docPr id="47" name="图片 47" descr="17a32a3b-c78c-47e7-a99d-82f733e49c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17a32a3b-c78c-47e7-a99d-82f733e49c2f"/>
                    <pic:cNvPicPr>
                      <a:picLocks noChangeAspect="1"/>
                    </pic:cNvPicPr>
                  </pic:nvPicPr>
                  <pic:blipFill>
                    <a:blip r:embed="rId60"/>
                    <a:stretch>
                      <a:fillRect/>
                    </a:stretch>
                  </pic:blipFill>
                  <pic:spPr>
                    <a:xfrm>
                      <a:off x="0" y="0"/>
                      <a:ext cx="5758180" cy="7730490"/>
                    </a:xfrm>
                    <a:prstGeom prst="rect">
                      <a:avLst/>
                    </a:prstGeom>
                  </pic:spPr>
                </pic:pic>
              </a:graphicData>
            </a:graphic>
          </wp:anchor>
        </w:drawing>
      </w:r>
    </w:p>
    <w:p w14:paraId="4CE22AAF">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7152" behindDoc="0" locked="0" layoutInCell="1" allowOverlap="1">
            <wp:simplePos x="0" y="0"/>
            <wp:positionH relativeFrom="column">
              <wp:posOffset>-26670</wp:posOffset>
            </wp:positionH>
            <wp:positionV relativeFrom="paragraph">
              <wp:posOffset>285750</wp:posOffset>
            </wp:positionV>
            <wp:extent cx="5756910" cy="7823200"/>
            <wp:effectExtent l="0" t="0" r="15240" b="6350"/>
            <wp:wrapNone/>
            <wp:docPr id="48" name="图片 48" descr="e0b1d847-1a05-4458-ad0f-57539351bf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e0b1d847-1a05-4458-ad0f-57539351bf06"/>
                    <pic:cNvPicPr>
                      <a:picLocks noChangeAspect="1"/>
                    </pic:cNvPicPr>
                  </pic:nvPicPr>
                  <pic:blipFill>
                    <a:blip r:embed="rId61"/>
                    <a:stretch>
                      <a:fillRect/>
                    </a:stretch>
                  </pic:blipFill>
                  <pic:spPr>
                    <a:xfrm>
                      <a:off x="0" y="0"/>
                      <a:ext cx="5756910" cy="7823200"/>
                    </a:xfrm>
                    <a:prstGeom prst="rect">
                      <a:avLst/>
                    </a:prstGeom>
                  </pic:spPr>
                </pic:pic>
              </a:graphicData>
            </a:graphic>
          </wp:anchor>
        </w:drawing>
      </w:r>
    </w:p>
    <w:p w14:paraId="0A473172">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8176" behindDoc="0" locked="0" layoutInCell="1" allowOverlap="1">
            <wp:simplePos x="0" y="0"/>
            <wp:positionH relativeFrom="column">
              <wp:posOffset>65405</wp:posOffset>
            </wp:positionH>
            <wp:positionV relativeFrom="paragraph">
              <wp:posOffset>169545</wp:posOffset>
            </wp:positionV>
            <wp:extent cx="5648325" cy="8267700"/>
            <wp:effectExtent l="0" t="0" r="9525" b="0"/>
            <wp:wrapNone/>
            <wp:docPr id="49" name="图片 49" descr="a88c6f74-f960-4dca-980e-07b0fb8e3a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a88c6f74-f960-4dca-980e-07b0fb8e3a25"/>
                    <pic:cNvPicPr>
                      <a:picLocks noChangeAspect="1"/>
                    </pic:cNvPicPr>
                  </pic:nvPicPr>
                  <pic:blipFill>
                    <a:blip r:embed="rId62"/>
                    <a:stretch>
                      <a:fillRect/>
                    </a:stretch>
                  </pic:blipFill>
                  <pic:spPr>
                    <a:xfrm>
                      <a:off x="0" y="0"/>
                      <a:ext cx="5648325" cy="8267700"/>
                    </a:xfrm>
                    <a:prstGeom prst="rect">
                      <a:avLst/>
                    </a:prstGeom>
                  </pic:spPr>
                </pic:pic>
              </a:graphicData>
            </a:graphic>
          </wp:anchor>
        </w:drawing>
      </w:r>
    </w:p>
    <w:p w14:paraId="46D2370B">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699200" behindDoc="0" locked="0" layoutInCell="1" allowOverlap="1">
            <wp:simplePos x="0" y="0"/>
            <wp:positionH relativeFrom="column">
              <wp:posOffset>133985</wp:posOffset>
            </wp:positionH>
            <wp:positionV relativeFrom="paragraph">
              <wp:posOffset>297180</wp:posOffset>
            </wp:positionV>
            <wp:extent cx="5591175" cy="8153400"/>
            <wp:effectExtent l="0" t="0" r="9525" b="0"/>
            <wp:wrapNone/>
            <wp:docPr id="50" name="图片 50" descr="07299674-ee4e-4a94-a491-64815fa61c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07299674-ee4e-4a94-a491-64815fa61c4f"/>
                    <pic:cNvPicPr>
                      <a:picLocks noChangeAspect="1"/>
                    </pic:cNvPicPr>
                  </pic:nvPicPr>
                  <pic:blipFill>
                    <a:blip r:embed="rId63"/>
                    <a:stretch>
                      <a:fillRect/>
                    </a:stretch>
                  </pic:blipFill>
                  <pic:spPr>
                    <a:xfrm>
                      <a:off x="0" y="0"/>
                      <a:ext cx="5591175" cy="8153400"/>
                    </a:xfrm>
                    <a:prstGeom prst="rect">
                      <a:avLst/>
                    </a:prstGeom>
                  </pic:spPr>
                </pic:pic>
              </a:graphicData>
            </a:graphic>
          </wp:anchor>
        </w:drawing>
      </w:r>
    </w:p>
    <w:p w14:paraId="23F2794A">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700224" behindDoc="0" locked="0" layoutInCell="1" allowOverlap="1">
            <wp:simplePos x="0" y="0"/>
            <wp:positionH relativeFrom="column">
              <wp:posOffset>-13970</wp:posOffset>
            </wp:positionH>
            <wp:positionV relativeFrom="paragraph">
              <wp:posOffset>184785</wp:posOffset>
            </wp:positionV>
            <wp:extent cx="5758180" cy="7929245"/>
            <wp:effectExtent l="0" t="0" r="13970" b="14605"/>
            <wp:wrapNone/>
            <wp:docPr id="51" name="图片 51" descr="bc8d69ff-c648-49b3-8e07-13190461ef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bc8d69ff-c648-49b3-8e07-13190461ef10"/>
                    <pic:cNvPicPr>
                      <a:picLocks noChangeAspect="1"/>
                    </pic:cNvPicPr>
                  </pic:nvPicPr>
                  <pic:blipFill>
                    <a:blip r:embed="rId64"/>
                    <a:stretch>
                      <a:fillRect/>
                    </a:stretch>
                  </pic:blipFill>
                  <pic:spPr>
                    <a:xfrm>
                      <a:off x="0" y="0"/>
                      <a:ext cx="5758180" cy="7929245"/>
                    </a:xfrm>
                    <a:prstGeom prst="rect">
                      <a:avLst/>
                    </a:prstGeom>
                  </pic:spPr>
                </pic:pic>
              </a:graphicData>
            </a:graphic>
          </wp:anchor>
        </w:drawing>
      </w:r>
    </w:p>
    <w:p w14:paraId="5DA9BB9A">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701248" behindDoc="0" locked="0" layoutInCell="1" allowOverlap="1">
            <wp:simplePos x="0" y="0"/>
            <wp:positionH relativeFrom="column">
              <wp:posOffset>13335</wp:posOffset>
            </wp:positionH>
            <wp:positionV relativeFrom="paragraph">
              <wp:posOffset>227330</wp:posOffset>
            </wp:positionV>
            <wp:extent cx="5755005" cy="7752080"/>
            <wp:effectExtent l="0" t="0" r="17145" b="1270"/>
            <wp:wrapNone/>
            <wp:docPr id="52" name="图片 52" descr="87fec1d7-dfce-46ce-8dab-204fab7b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87fec1d7-dfce-46ce-8dab-204fab7b5402"/>
                    <pic:cNvPicPr>
                      <a:picLocks noChangeAspect="1"/>
                    </pic:cNvPicPr>
                  </pic:nvPicPr>
                  <pic:blipFill>
                    <a:blip r:embed="rId65"/>
                    <a:stretch>
                      <a:fillRect/>
                    </a:stretch>
                  </pic:blipFill>
                  <pic:spPr>
                    <a:xfrm>
                      <a:off x="0" y="0"/>
                      <a:ext cx="5755005" cy="7752080"/>
                    </a:xfrm>
                    <a:prstGeom prst="rect">
                      <a:avLst/>
                    </a:prstGeom>
                  </pic:spPr>
                </pic:pic>
              </a:graphicData>
            </a:graphic>
          </wp:anchor>
        </w:drawing>
      </w:r>
    </w:p>
    <w:p w14:paraId="4312AAAA">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702272" behindDoc="0" locked="0" layoutInCell="1" allowOverlap="1">
            <wp:simplePos x="0" y="0"/>
            <wp:positionH relativeFrom="column">
              <wp:posOffset>-13335</wp:posOffset>
            </wp:positionH>
            <wp:positionV relativeFrom="paragraph">
              <wp:posOffset>301625</wp:posOffset>
            </wp:positionV>
            <wp:extent cx="5755005" cy="7860665"/>
            <wp:effectExtent l="0" t="0" r="17145" b="6985"/>
            <wp:wrapNone/>
            <wp:docPr id="53" name="图片 53" descr="319eaa11-7cbe-4282-8688-92dcec7a6f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319eaa11-7cbe-4282-8688-92dcec7a6f98"/>
                    <pic:cNvPicPr>
                      <a:picLocks noChangeAspect="1"/>
                    </pic:cNvPicPr>
                  </pic:nvPicPr>
                  <pic:blipFill>
                    <a:blip r:embed="rId66"/>
                    <a:stretch>
                      <a:fillRect/>
                    </a:stretch>
                  </pic:blipFill>
                  <pic:spPr>
                    <a:xfrm>
                      <a:off x="0" y="0"/>
                      <a:ext cx="5755005" cy="7860665"/>
                    </a:xfrm>
                    <a:prstGeom prst="rect">
                      <a:avLst/>
                    </a:prstGeom>
                  </pic:spPr>
                </pic:pic>
              </a:graphicData>
            </a:graphic>
          </wp:anchor>
        </w:drawing>
      </w:r>
    </w:p>
    <w:p w14:paraId="2BAAF719">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color w:val="auto"/>
          <w:sz w:val="36"/>
          <w:lang w:val="en-US" w:eastAsia="zh-CN"/>
        </w:rPr>
        <w:drawing>
          <wp:anchor distT="0" distB="0" distL="114300" distR="114300" simplePos="0" relativeHeight="251703296" behindDoc="0" locked="0" layoutInCell="1" allowOverlap="1">
            <wp:simplePos x="0" y="0"/>
            <wp:positionH relativeFrom="column">
              <wp:posOffset>-41275</wp:posOffset>
            </wp:positionH>
            <wp:positionV relativeFrom="paragraph">
              <wp:posOffset>219075</wp:posOffset>
            </wp:positionV>
            <wp:extent cx="5758815" cy="6991985"/>
            <wp:effectExtent l="0" t="0" r="13335" b="18415"/>
            <wp:wrapNone/>
            <wp:docPr id="54" name="图片 54" descr="2301cfa3-0f7e-4e72-801a-fc82719dfe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301cfa3-0f7e-4e72-801a-fc82719dfe05"/>
                    <pic:cNvPicPr>
                      <a:picLocks noChangeAspect="1"/>
                    </pic:cNvPicPr>
                  </pic:nvPicPr>
                  <pic:blipFill>
                    <a:blip r:embed="rId67"/>
                    <a:stretch>
                      <a:fillRect/>
                    </a:stretch>
                  </pic:blipFill>
                  <pic:spPr>
                    <a:xfrm>
                      <a:off x="0" y="0"/>
                      <a:ext cx="5758815" cy="6991985"/>
                    </a:xfrm>
                    <a:prstGeom prst="rect">
                      <a:avLst/>
                    </a:prstGeom>
                  </pic:spPr>
                </pic:pic>
              </a:graphicData>
            </a:graphic>
          </wp:anchor>
        </w:drawing>
      </w:r>
    </w:p>
    <w:p w14:paraId="12971980">
      <w:pPr>
        <w:pStyle w:val="22"/>
        <w:numPr>
          <w:ilvl w:val="0"/>
          <w:numId w:val="0"/>
        </w:numPr>
        <w:spacing w:before="0" w:after="0" w:line="420" w:lineRule="exact"/>
        <w:jc w:val="center"/>
        <w:outlineLvl w:val="0"/>
        <w:rPr>
          <w:rFonts w:hint="eastAsia" w:eastAsia="宋体"/>
          <w:color w:val="auto"/>
          <w:sz w:val="36"/>
        </w:rPr>
      </w:pPr>
      <w:bookmarkStart w:id="140" w:name="_Toc7576"/>
      <w:r>
        <w:rPr>
          <w:rFonts w:hint="eastAsia"/>
          <w:color w:val="auto"/>
          <w:sz w:val="36"/>
          <w:lang w:val="en-US" w:eastAsia="zh-CN"/>
        </w:rPr>
        <w:t xml:space="preserve">第六部分 </w:t>
      </w:r>
      <w:r>
        <w:rPr>
          <w:rFonts w:hint="eastAsia" w:eastAsia="宋体"/>
          <w:color w:val="auto"/>
          <w:sz w:val="36"/>
        </w:rPr>
        <w:t xml:space="preserve"> </w:t>
      </w:r>
      <w:bookmarkEnd w:id="130"/>
      <w:bookmarkEnd w:id="131"/>
      <w:bookmarkEnd w:id="134"/>
      <w:bookmarkEnd w:id="135"/>
      <w:bookmarkEnd w:id="136"/>
      <w:bookmarkEnd w:id="137"/>
      <w:bookmarkEnd w:id="138"/>
      <w:bookmarkStart w:id="141" w:name="_Toc3837039"/>
      <w:r>
        <w:rPr>
          <w:rFonts w:hint="eastAsia" w:eastAsia="宋体"/>
          <w:color w:val="auto"/>
          <w:sz w:val="36"/>
        </w:rPr>
        <w:t>合同主要条款</w:t>
      </w:r>
      <w:bookmarkEnd w:id="139"/>
      <w:bookmarkEnd w:id="140"/>
      <w:bookmarkEnd w:id="141"/>
    </w:p>
    <w:p w14:paraId="02E8E3BD">
      <w:pPr>
        <w:widowControl/>
        <w:jc w:val="center"/>
        <w:rPr>
          <w:rFonts w:hint="eastAsia" w:ascii="新宋体" w:hAnsi="新宋体" w:eastAsia="新宋体" w:cs="新宋体"/>
          <w:b/>
          <w:bCs/>
          <w:color w:val="auto"/>
          <w:kern w:val="0"/>
          <w:sz w:val="48"/>
          <w:szCs w:val="48"/>
          <w:lang w:val="en-US" w:eastAsia="zh-CN"/>
        </w:rPr>
      </w:pPr>
    </w:p>
    <w:p w14:paraId="3FFE2731">
      <w:pPr>
        <w:widowControl/>
        <w:jc w:val="center"/>
        <w:rPr>
          <w:rFonts w:hint="default" w:ascii="新宋体" w:hAnsi="新宋体" w:eastAsia="新宋体" w:cs="新宋体"/>
          <w:b/>
          <w:bCs/>
          <w:color w:val="auto"/>
          <w:kern w:val="0"/>
          <w:sz w:val="44"/>
          <w:szCs w:val="44"/>
          <w:lang w:val="en-US"/>
        </w:rPr>
      </w:pPr>
      <w:r>
        <w:rPr>
          <w:rFonts w:hint="eastAsia" w:ascii="新宋体" w:hAnsi="新宋体" w:eastAsia="新宋体" w:cs="新宋体"/>
          <w:b/>
          <w:bCs/>
          <w:color w:val="auto"/>
          <w:kern w:val="0"/>
          <w:sz w:val="48"/>
          <w:szCs w:val="48"/>
          <w:lang w:val="en-US" w:eastAsia="zh-CN"/>
        </w:rPr>
        <w:t>安康职业技术学院附属小学</w:t>
      </w:r>
      <w:r>
        <w:rPr>
          <w:rFonts w:hint="eastAsia" w:ascii="新宋体" w:hAnsi="新宋体" w:eastAsia="新宋体" w:cs="新宋体"/>
          <w:b/>
          <w:bCs/>
          <w:color w:val="auto"/>
          <w:kern w:val="0"/>
          <w:sz w:val="48"/>
          <w:szCs w:val="48"/>
          <w:u w:val="single"/>
          <w:lang w:val="en-US" w:eastAsia="zh-CN"/>
        </w:rPr>
        <w:t xml:space="preserve">              </w:t>
      </w:r>
      <w:r>
        <w:rPr>
          <w:rFonts w:hint="eastAsia" w:ascii="新宋体" w:hAnsi="新宋体" w:eastAsia="新宋体" w:cs="新宋体"/>
          <w:b/>
          <w:bCs/>
          <w:color w:val="auto"/>
          <w:kern w:val="0"/>
          <w:sz w:val="48"/>
          <w:szCs w:val="48"/>
          <w:lang w:val="en-US" w:eastAsia="zh-CN"/>
        </w:rPr>
        <w:t>项目</w:t>
      </w:r>
    </w:p>
    <w:p w14:paraId="0FF3A686">
      <w:pPr>
        <w:widowControl/>
        <w:rPr>
          <w:rFonts w:hint="eastAsia" w:ascii="新宋体" w:hAnsi="新宋体" w:eastAsia="新宋体" w:cs="新宋体"/>
          <w:b/>
          <w:bCs/>
          <w:color w:val="auto"/>
          <w:kern w:val="0"/>
          <w:sz w:val="36"/>
          <w:szCs w:val="36"/>
        </w:rPr>
      </w:pPr>
    </w:p>
    <w:p w14:paraId="3B5FE7FC">
      <w:pPr>
        <w:widowControl/>
        <w:rPr>
          <w:rFonts w:hint="eastAsia" w:ascii="新宋体" w:hAnsi="新宋体" w:eastAsia="新宋体" w:cs="新宋体"/>
          <w:b/>
          <w:bCs/>
          <w:color w:val="auto"/>
          <w:kern w:val="0"/>
          <w:sz w:val="36"/>
          <w:szCs w:val="36"/>
        </w:rPr>
      </w:pPr>
    </w:p>
    <w:p w14:paraId="1ED1144C">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施</w:t>
      </w:r>
    </w:p>
    <w:p w14:paraId="46954987">
      <w:pPr>
        <w:widowControl/>
        <w:jc w:val="center"/>
        <w:rPr>
          <w:rFonts w:hint="eastAsia" w:ascii="新宋体" w:hAnsi="新宋体" w:eastAsia="新宋体" w:cs="新宋体"/>
          <w:b/>
          <w:bCs/>
          <w:color w:val="auto"/>
          <w:kern w:val="0"/>
          <w:sz w:val="72"/>
          <w:szCs w:val="72"/>
        </w:rPr>
      </w:pPr>
    </w:p>
    <w:p w14:paraId="2CE7FDAD">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工</w:t>
      </w:r>
    </w:p>
    <w:p w14:paraId="1343F101">
      <w:pPr>
        <w:widowControl/>
        <w:jc w:val="center"/>
        <w:rPr>
          <w:rFonts w:hint="eastAsia" w:ascii="新宋体" w:hAnsi="新宋体" w:eastAsia="新宋体" w:cs="新宋体"/>
          <w:b/>
          <w:bCs/>
          <w:color w:val="auto"/>
          <w:kern w:val="0"/>
          <w:sz w:val="72"/>
          <w:szCs w:val="72"/>
        </w:rPr>
      </w:pPr>
    </w:p>
    <w:p w14:paraId="0B6FCFF3">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合</w:t>
      </w:r>
    </w:p>
    <w:p w14:paraId="74F6E518">
      <w:pPr>
        <w:widowControl/>
        <w:jc w:val="center"/>
        <w:rPr>
          <w:rFonts w:hint="eastAsia" w:ascii="新宋体" w:hAnsi="新宋体" w:eastAsia="新宋体" w:cs="新宋体"/>
          <w:b/>
          <w:bCs/>
          <w:color w:val="auto"/>
          <w:kern w:val="0"/>
          <w:sz w:val="72"/>
          <w:szCs w:val="72"/>
        </w:rPr>
      </w:pPr>
    </w:p>
    <w:p w14:paraId="1BE4A4F8">
      <w:pPr>
        <w:widowControl/>
        <w:jc w:val="center"/>
        <w:rPr>
          <w:rFonts w:hint="eastAsia" w:ascii="新宋体" w:hAnsi="新宋体" w:eastAsia="新宋体" w:cs="新宋体"/>
          <w:b/>
          <w:bCs/>
          <w:color w:val="auto"/>
          <w:kern w:val="0"/>
          <w:sz w:val="72"/>
          <w:szCs w:val="72"/>
        </w:rPr>
      </w:pPr>
      <w:r>
        <w:rPr>
          <w:rFonts w:hint="eastAsia" w:ascii="新宋体" w:hAnsi="新宋体" w:eastAsia="新宋体" w:cs="新宋体"/>
          <w:b/>
          <w:bCs/>
          <w:color w:val="auto"/>
          <w:kern w:val="0"/>
          <w:sz w:val="72"/>
          <w:szCs w:val="72"/>
        </w:rPr>
        <w:t>同</w:t>
      </w:r>
    </w:p>
    <w:p w14:paraId="5B01685B">
      <w:pPr>
        <w:widowControl/>
        <w:jc w:val="center"/>
        <w:rPr>
          <w:rFonts w:hint="eastAsia" w:ascii="新宋体" w:hAnsi="新宋体" w:eastAsia="新宋体" w:cs="新宋体"/>
          <w:b/>
          <w:bCs/>
          <w:color w:val="auto"/>
          <w:kern w:val="0"/>
          <w:sz w:val="36"/>
          <w:szCs w:val="36"/>
        </w:rPr>
      </w:pPr>
    </w:p>
    <w:p w14:paraId="7F3A4689">
      <w:pPr>
        <w:widowControl/>
        <w:rPr>
          <w:rFonts w:hint="eastAsia" w:ascii="新宋体" w:hAnsi="新宋体" w:eastAsia="新宋体" w:cs="新宋体"/>
          <w:b/>
          <w:bCs/>
          <w:color w:val="auto"/>
          <w:kern w:val="0"/>
          <w:sz w:val="32"/>
          <w:szCs w:val="32"/>
        </w:rPr>
      </w:pPr>
    </w:p>
    <w:p w14:paraId="3B7965BD">
      <w:pPr>
        <w:widowControl/>
        <w:rPr>
          <w:rFonts w:hint="default" w:ascii="新宋体" w:hAnsi="新宋体" w:eastAsia="新宋体" w:cs="新宋体"/>
          <w:b/>
          <w:bCs/>
          <w:color w:val="auto"/>
          <w:kern w:val="0"/>
          <w:sz w:val="32"/>
          <w:szCs w:val="32"/>
          <w:lang w:val="en-US" w:eastAsia="zh-CN"/>
        </w:rPr>
      </w:pPr>
      <w:r>
        <w:rPr>
          <w:rFonts w:hint="eastAsia" w:ascii="新宋体" w:hAnsi="新宋体" w:eastAsia="新宋体" w:cs="新宋体"/>
          <w:b/>
          <w:bCs/>
          <w:color w:val="auto"/>
          <w:kern w:val="0"/>
          <w:sz w:val="32"/>
          <w:szCs w:val="32"/>
          <w:lang w:val="en-US" w:eastAsia="zh-CN"/>
        </w:rPr>
        <w:t xml:space="preserve">           甲方：安康职业技术学院附属小学</w:t>
      </w:r>
    </w:p>
    <w:p w14:paraId="123C7459">
      <w:pPr>
        <w:widowControl/>
        <w:ind w:firstLine="200"/>
        <w:jc w:val="center"/>
        <w:rPr>
          <w:rFonts w:hint="eastAsia" w:ascii="新宋体" w:hAnsi="新宋体" w:eastAsia="新宋体" w:cs="新宋体"/>
          <w:b/>
          <w:bCs/>
          <w:color w:val="auto"/>
          <w:kern w:val="0"/>
          <w:sz w:val="36"/>
          <w:szCs w:val="36"/>
        </w:rPr>
      </w:pPr>
    </w:p>
    <w:p w14:paraId="59D7CEE6">
      <w:pPr>
        <w:ind w:firstLine="1807" w:firstLineChars="500"/>
        <w:rPr>
          <w:rFonts w:hint="eastAsia" w:ascii="宋体" w:hAnsi="宋体" w:eastAsia="宋体" w:cs="宋体"/>
          <w:color w:val="auto"/>
          <w:sz w:val="28"/>
          <w:szCs w:val="28"/>
        </w:rPr>
      </w:pPr>
      <w:r>
        <w:rPr>
          <w:rFonts w:hint="eastAsia" w:ascii="新宋体" w:hAnsi="新宋体" w:eastAsia="新宋体" w:cs="新宋体"/>
          <w:b/>
          <w:bCs/>
          <w:color w:val="auto"/>
          <w:kern w:val="0"/>
          <w:sz w:val="36"/>
          <w:szCs w:val="36"/>
          <w:lang w:eastAsia="zh-CN"/>
        </w:rPr>
        <w:t>乙方：</w:t>
      </w:r>
    </w:p>
    <w:p w14:paraId="664B7D1F">
      <w:pPr>
        <w:widowControl/>
        <w:spacing w:line="480" w:lineRule="atLeast"/>
        <w:jc w:val="center"/>
        <w:rPr>
          <w:rFonts w:hint="eastAsia" w:ascii="宋体" w:hAnsi="宋体" w:eastAsia="宋体" w:cs="宋体"/>
          <w:b/>
          <w:bCs w:val="0"/>
          <w:snapToGrid w:val="0"/>
          <w:color w:val="auto"/>
          <w:kern w:val="0"/>
          <w:sz w:val="32"/>
          <w:highlight w:val="none"/>
        </w:rPr>
      </w:pPr>
      <w:r>
        <w:rPr>
          <w:rFonts w:hint="eastAsia" w:ascii="宋体" w:hAnsi="宋体" w:eastAsia="宋体" w:cs="宋体"/>
          <w:b/>
          <w:bCs w:val="0"/>
          <w:snapToGrid w:val="0"/>
          <w:color w:val="auto"/>
          <w:kern w:val="0"/>
          <w:sz w:val="32"/>
          <w:highlight w:val="none"/>
        </w:rPr>
        <w:t>合同主要条款</w:t>
      </w:r>
    </w:p>
    <w:p w14:paraId="4CCB2D5B">
      <w:pPr>
        <w:keepNext w:val="0"/>
        <w:keepLines w:val="0"/>
        <w:pageBreakBefore w:val="0"/>
        <w:wordWrap/>
        <w:overflowPunct/>
        <w:topLinePunct w:val="0"/>
        <w:bidi w:val="0"/>
        <w:snapToGrid w:val="0"/>
        <w:spacing w:line="480" w:lineRule="exact"/>
        <w:textAlignment w:val="baseline"/>
        <w:rPr>
          <w:rFonts w:hint="eastAsia" w:ascii="宋体" w:hAnsi="宋体" w:eastAsia="宋体" w:cs="宋体"/>
          <w:snapToGrid w:val="0"/>
          <w:color w:val="auto"/>
          <w:kern w:val="0"/>
          <w:sz w:val="24"/>
          <w:szCs w:val="24"/>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以甲乙双方实际签订合同为准。</w:t>
      </w:r>
      <w:r>
        <w:rPr>
          <w:rFonts w:hint="eastAsia" w:ascii="宋体" w:hAnsi="宋体" w:cs="宋体"/>
          <w:b/>
          <w:bCs/>
          <w:color w:val="auto"/>
          <w:sz w:val="24"/>
          <w:szCs w:val="24"/>
        </w:rPr>
        <w:t>）</w:t>
      </w:r>
    </w:p>
    <w:p w14:paraId="35E4B1D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甲方（发包方）</w:t>
      </w:r>
      <w:r>
        <w:rPr>
          <w:rFonts w:hint="eastAsia" w:ascii="宋体" w:hAnsi="宋体" w:cs="宋体"/>
          <w:spacing w:val="-4"/>
          <w:sz w:val="24"/>
          <w:szCs w:val="24"/>
          <w:lang w:eastAsia="zh-CN"/>
        </w:rPr>
        <w:t>：</w:t>
      </w:r>
      <w:r>
        <w:rPr>
          <w:rFonts w:hint="eastAsia" w:ascii="宋体" w:hAnsi="宋体" w:eastAsia="宋体" w:cs="宋体"/>
          <w:spacing w:val="-4"/>
          <w:sz w:val="24"/>
          <w:szCs w:val="24"/>
        </w:rPr>
        <w:t>安康职业技术学院附属小学</w:t>
      </w:r>
    </w:p>
    <w:p w14:paraId="4D5BE0E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统一社会信用代码：</w:t>
      </w:r>
      <w:r>
        <w:rPr>
          <w:rFonts w:hint="eastAsia" w:ascii="宋体" w:hAnsi="宋体" w:eastAsia="宋体" w:cs="宋体"/>
          <w:sz w:val="24"/>
          <w:szCs w:val="24"/>
          <w:u w:val="single" w:color="auto"/>
        </w:rPr>
        <w:t xml:space="preserve">                     </w:t>
      </w:r>
    </w:p>
    <w:p w14:paraId="7969DF4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地址：</w:t>
      </w:r>
      <w:r>
        <w:rPr>
          <w:rFonts w:hint="eastAsia" w:ascii="宋体" w:hAnsi="宋体" w:eastAsia="宋体" w:cs="宋体"/>
          <w:spacing w:val="-5"/>
          <w:sz w:val="24"/>
          <w:szCs w:val="24"/>
          <w:u w:val="single" w:color="auto"/>
        </w:rPr>
        <w:t xml:space="preserve">                                 </w:t>
      </w:r>
    </w:p>
    <w:p w14:paraId="6C266DF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法定代表人：</w:t>
      </w:r>
      <w:r>
        <w:rPr>
          <w:rFonts w:hint="eastAsia" w:ascii="宋体" w:hAnsi="宋体" w:eastAsia="宋体" w:cs="宋体"/>
          <w:sz w:val="24"/>
          <w:szCs w:val="24"/>
          <w:u w:val="single" w:color="auto"/>
        </w:rPr>
        <w:t xml:space="preserve">                  </w:t>
      </w:r>
    </w:p>
    <w:p w14:paraId="436FB1B1">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z w:val="24"/>
          <w:szCs w:val="24"/>
        </w:rPr>
      </w:pPr>
    </w:p>
    <w:p w14:paraId="3886F1E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u w:val="single" w:color="auto"/>
        </w:rPr>
      </w:pPr>
      <w:r>
        <w:rPr>
          <w:rFonts w:hint="eastAsia" w:ascii="宋体" w:hAnsi="宋体" w:eastAsia="宋体" w:cs="宋体"/>
          <w:spacing w:val="-6"/>
          <w:sz w:val="24"/>
          <w:szCs w:val="24"/>
        </w:rPr>
        <w:t>乙方（承包方）</w:t>
      </w:r>
      <w:r>
        <w:rPr>
          <w:rFonts w:hint="eastAsia" w:ascii="宋体" w:hAnsi="宋体" w:eastAsia="宋体" w:cs="宋体"/>
          <w:sz w:val="24"/>
          <w:szCs w:val="24"/>
          <w:u w:val="single" w:color="auto"/>
        </w:rPr>
        <w:t xml:space="preserve">                            </w:t>
      </w:r>
    </w:p>
    <w:p w14:paraId="539C4E8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统一社会信用代码：</w:t>
      </w:r>
      <w:r>
        <w:rPr>
          <w:rFonts w:hint="eastAsia" w:ascii="宋体" w:hAnsi="宋体" w:eastAsia="宋体" w:cs="宋体"/>
          <w:sz w:val="24"/>
          <w:szCs w:val="24"/>
          <w:u w:val="single" w:color="auto"/>
        </w:rPr>
        <w:t xml:space="preserve">                     </w:t>
      </w:r>
    </w:p>
    <w:p w14:paraId="2F214AF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资质等级：建筑装修装饰工程专业承包</w:t>
      </w:r>
      <w:r>
        <w:rPr>
          <w:rFonts w:hint="eastAsia" w:ascii="宋体" w:hAnsi="宋体" w:eastAsia="宋体" w:cs="宋体"/>
          <w:spacing w:val="-2"/>
          <w:sz w:val="24"/>
          <w:szCs w:val="24"/>
          <w:u w:val="single" w:color="auto"/>
        </w:rPr>
        <w:t xml:space="preserve">    </w:t>
      </w:r>
      <w:r>
        <w:rPr>
          <w:rFonts w:hint="eastAsia" w:ascii="宋体" w:hAnsi="宋体" w:eastAsia="宋体" w:cs="宋体"/>
          <w:spacing w:val="-119"/>
          <w:sz w:val="24"/>
          <w:szCs w:val="24"/>
        </w:rPr>
        <w:t xml:space="preserve"> </w:t>
      </w:r>
      <w:r>
        <w:rPr>
          <w:rFonts w:hint="eastAsia" w:ascii="宋体" w:hAnsi="宋体" w:eastAsia="宋体" w:cs="宋体"/>
          <w:spacing w:val="-2"/>
          <w:sz w:val="24"/>
          <w:szCs w:val="24"/>
        </w:rPr>
        <w:t>级</w:t>
      </w:r>
    </w:p>
    <w:p w14:paraId="098D5B3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开户银行：</w:t>
      </w:r>
      <w:r>
        <w:rPr>
          <w:rFonts w:hint="eastAsia" w:ascii="宋体" w:hAnsi="宋体" w:eastAsia="宋体" w:cs="宋体"/>
          <w:sz w:val="24"/>
          <w:szCs w:val="24"/>
          <w:u w:val="single" w:color="auto"/>
        </w:rPr>
        <w:t xml:space="preserve">                             </w:t>
      </w:r>
    </w:p>
    <w:p w14:paraId="69E82DE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银行账号：</w:t>
      </w:r>
      <w:r>
        <w:rPr>
          <w:rFonts w:hint="eastAsia" w:ascii="宋体" w:hAnsi="宋体" w:eastAsia="宋体" w:cs="宋体"/>
          <w:sz w:val="24"/>
          <w:szCs w:val="24"/>
          <w:u w:val="single" w:color="auto"/>
        </w:rPr>
        <w:t xml:space="preserve">                             </w:t>
      </w:r>
    </w:p>
    <w:p w14:paraId="4407F1B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法定代表人：</w:t>
      </w:r>
      <w:r>
        <w:rPr>
          <w:rFonts w:hint="eastAsia" w:ascii="宋体" w:hAnsi="宋体" w:eastAsia="宋体" w:cs="宋体"/>
          <w:sz w:val="24"/>
          <w:szCs w:val="24"/>
          <w:u w:val="single" w:color="auto"/>
        </w:rPr>
        <w:t xml:space="preserve">                   </w:t>
      </w:r>
    </w:p>
    <w:p w14:paraId="7866985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项目负责人：</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联系电</w:t>
      </w:r>
      <w:r>
        <w:rPr>
          <w:rFonts w:hint="eastAsia" w:ascii="宋体" w:hAnsi="宋体" w:eastAsia="宋体" w:cs="宋体"/>
          <w:spacing w:val="-2"/>
          <w:sz w:val="24"/>
          <w:szCs w:val="24"/>
        </w:rPr>
        <w:t>话：</w:t>
      </w:r>
      <w:r>
        <w:rPr>
          <w:rFonts w:hint="eastAsia" w:ascii="宋体" w:hAnsi="宋体" w:eastAsia="宋体" w:cs="宋体"/>
          <w:sz w:val="24"/>
          <w:szCs w:val="24"/>
          <w:u w:val="single" w:color="auto"/>
        </w:rPr>
        <w:t xml:space="preserve">             </w:t>
      </w:r>
    </w:p>
    <w:p w14:paraId="549DF63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施工安全员：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联系电话：</w:t>
      </w:r>
      <w:r>
        <w:rPr>
          <w:rFonts w:hint="eastAsia" w:ascii="宋体" w:hAnsi="宋体" w:eastAsia="宋体" w:cs="宋体"/>
          <w:sz w:val="24"/>
          <w:szCs w:val="24"/>
          <w:u w:val="single" w:color="auto"/>
        </w:rPr>
        <w:t xml:space="preserve">             </w:t>
      </w:r>
    </w:p>
    <w:p w14:paraId="23333991">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z w:val="24"/>
          <w:szCs w:val="24"/>
        </w:rPr>
      </w:pPr>
    </w:p>
    <w:p w14:paraId="21588E1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jc w:val="both"/>
        <w:textAlignment w:val="baseline"/>
        <w:rPr>
          <w:rFonts w:hint="eastAsia" w:ascii="宋体" w:hAnsi="宋体" w:eastAsia="宋体" w:cs="宋体"/>
          <w:sz w:val="24"/>
          <w:szCs w:val="24"/>
        </w:rPr>
      </w:pPr>
      <w:r>
        <w:rPr>
          <w:rFonts w:hint="eastAsia" w:ascii="宋体" w:hAnsi="宋体" w:eastAsia="宋体" w:cs="宋体"/>
          <w:spacing w:val="-6"/>
          <w:sz w:val="24"/>
          <w:szCs w:val="24"/>
        </w:rPr>
        <w:t>甲方委托乙方实施校内教学楼、科技楼走廊及梯间校园文化</w:t>
      </w:r>
      <w:r>
        <w:rPr>
          <w:rFonts w:hint="eastAsia" w:ascii="宋体" w:hAnsi="宋体" w:eastAsia="宋体" w:cs="宋体"/>
          <w:spacing w:val="-4"/>
          <w:sz w:val="24"/>
          <w:szCs w:val="24"/>
        </w:rPr>
        <w:t>整体改造建设工程，双方本着平等自愿、公平公正、诚实信用原</w:t>
      </w:r>
      <w:r>
        <w:rPr>
          <w:rFonts w:hint="eastAsia" w:ascii="宋体" w:hAnsi="宋体" w:eastAsia="宋体" w:cs="宋体"/>
          <w:spacing w:val="-1"/>
          <w:sz w:val="24"/>
          <w:szCs w:val="24"/>
        </w:rPr>
        <w:t>则，依据《中华人民共和国民法典》《建设工程质量管理条例》</w:t>
      </w:r>
      <w:r>
        <w:rPr>
          <w:rFonts w:hint="eastAsia" w:ascii="宋体" w:hAnsi="宋体" w:eastAsia="宋体" w:cs="宋体"/>
          <w:spacing w:val="-4"/>
          <w:sz w:val="24"/>
          <w:szCs w:val="24"/>
        </w:rPr>
        <w:t>《建筑装饰装修工程质量验收标准》等法律法规，结合本项目报价清单、施工效果图、工艺标准，经充分协商订立本合同，共同</w:t>
      </w:r>
      <w:r>
        <w:rPr>
          <w:rFonts w:hint="eastAsia" w:ascii="宋体" w:hAnsi="宋体" w:eastAsia="宋体" w:cs="宋体"/>
          <w:spacing w:val="-9"/>
          <w:sz w:val="24"/>
          <w:szCs w:val="24"/>
        </w:rPr>
        <w:t>遵照执行。</w:t>
      </w:r>
    </w:p>
    <w:p w14:paraId="706EC617">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outlineLvl w:val="2"/>
        <w:rPr>
          <w:rFonts w:hint="eastAsia" w:ascii="宋体" w:hAnsi="宋体" w:eastAsia="宋体" w:cs="宋体"/>
          <w:sz w:val="24"/>
          <w:szCs w:val="24"/>
        </w:rPr>
      </w:pPr>
      <w:r>
        <w:rPr>
          <w:rFonts w:hint="eastAsia" w:ascii="宋体" w:hAnsi="宋体" w:eastAsia="宋体" w:cs="宋体"/>
          <w:spacing w:val="-2"/>
          <w:sz w:val="24"/>
          <w:szCs w:val="24"/>
        </w:rPr>
        <w:t>第一条 工程概况</w:t>
      </w:r>
    </w:p>
    <w:p w14:paraId="0A344E8A">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outlineLvl w:val="3"/>
        <w:rPr>
          <w:rFonts w:hint="eastAsia" w:ascii="宋体" w:hAnsi="宋体" w:eastAsia="宋体" w:cs="宋体"/>
          <w:sz w:val="24"/>
          <w:szCs w:val="24"/>
        </w:rPr>
      </w:pPr>
      <w:r>
        <w:rPr>
          <w:rFonts w:hint="eastAsia" w:ascii="宋体" w:hAnsi="宋体" w:eastAsia="宋体" w:cs="宋体"/>
          <w:spacing w:val="-6"/>
          <w:sz w:val="24"/>
          <w:szCs w:val="24"/>
        </w:rPr>
        <w:t>1.1</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工程名称</w:t>
      </w:r>
    </w:p>
    <w:p w14:paraId="717644B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pacing w:val="-4"/>
          <w:sz w:val="24"/>
          <w:szCs w:val="24"/>
          <w:lang w:eastAsia="zh-CN"/>
        </w:rPr>
      </w:pPr>
      <w:r>
        <w:rPr>
          <w:rFonts w:hint="eastAsia" w:ascii="宋体" w:hAnsi="宋体" w:eastAsia="宋体" w:cs="宋体"/>
          <w:spacing w:val="-5"/>
          <w:sz w:val="24"/>
          <w:szCs w:val="24"/>
          <w:lang w:eastAsia="zh-CN"/>
        </w:rPr>
        <w:t>安康职业技术学院附属小学教学楼及科技楼梯间文化建设项目</w:t>
      </w:r>
    </w:p>
    <w:p w14:paraId="026B17C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1.2</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工程地点</w:t>
      </w:r>
    </w:p>
    <w:p w14:paraId="3828D79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52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安康职业技术学院附属小学校内教学楼1-4 层、科技楼</w:t>
      </w:r>
      <w:r>
        <w:rPr>
          <w:rFonts w:hint="eastAsia" w:ascii="宋体" w:hAnsi="宋体" w:eastAsia="宋体" w:cs="宋体"/>
          <w:spacing w:val="-2"/>
          <w:sz w:val="24"/>
          <w:szCs w:val="24"/>
        </w:rPr>
        <w:t>1-4 层全部走廊、楼梯间、转角功能角（画里</w:t>
      </w:r>
      <w:r>
        <w:rPr>
          <w:rFonts w:hint="eastAsia" w:ascii="宋体" w:hAnsi="宋体" w:eastAsia="宋体" w:cs="宋体"/>
          <w:spacing w:val="-3"/>
          <w:sz w:val="24"/>
          <w:szCs w:val="24"/>
        </w:rPr>
        <w:t>家乡、文明安康、巧手乐园、创客空间等功能区域）</w:t>
      </w:r>
    </w:p>
    <w:p w14:paraId="2794587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pacing w:val="-5"/>
          <w:sz w:val="24"/>
          <w:szCs w:val="24"/>
        </w:rPr>
      </w:pPr>
      <w:r>
        <w:rPr>
          <w:rFonts w:hint="eastAsia" w:ascii="宋体" w:hAnsi="宋体" w:eastAsia="宋体" w:cs="宋体"/>
          <w:spacing w:val="-5"/>
          <w:sz w:val="24"/>
          <w:szCs w:val="24"/>
        </w:rPr>
        <w:t>1.3 工程承包范围</w:t>
      </w:r>
    </w:p>
    <w:p w14:paraId="344D17A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原有基层拆除工程：原有墙裙瓷砖、真石漆铲除、垃圾袋装</w:t>
      </w:r>
      <w:r>
        <w:rPr>
          <w:rFonts w:hint="eastAsia" w:ascii="宋体" w:hAnsi="宋体" w:eastAsia="宋体" w:cs="宋体"/>
          <w:spacing w:val="-10"/>
          <w:sz w:val="24"/>
          <w:szCs w:val="24"/>
        </w:rPr>
        <w:t>清运、场地清理；</w:t>
      </w:r>
    </w:p>
    <w:p w14:paraId="4BB426B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墙面基层修复工程：石膏找平、腻子批刮、分色定制乳胶漆</w:t>
      </w:r>
      <w:r>
        <w:rPr>
          <w:rFonts w:hint="eastAsia" w:ascii="宋体" w:hAnsi="宋体" w:eastAsia="宋体" w:cs="宋体"/>
          <w:spacing w:val="-3"/>
          <w:sz w:val="24"/>
          <w:szCs w:val="24"/>
        </w:rPr>
        <w:t>滚涂、宣绒布墙面铺设、防撞墙板 / 木工板基层打</w:t>
      </w:r>
      <w:r>
        <w:rPr>
          <w:rFonts w:hint="eastAsia" w:ascii="宋体" w:hAnsi="宋体" w:eastAsia="宋体" w:cs="宋体"/>
          <w:spacing w:val="-4"/>
          <w:sz w:val="24"/>
          <w:szCs w:val="24"/>
        </w:rPr>
        <w:t>底；</w:t>
      </w:r>
    </w:p>
    <w:p w14:paraId="2ED8845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轻钢龙骨 / 方管轻质隔断、定制暗门制作安装（双面封板、</w:t>
      </w:r>
      <w:r>
        <w:rPr>
          <w:rFonts w:hint="eastAsia" w:ascii="宋体" w:hAnsi="宋体" w:eastAsia="宋体" w:cs="宋体"/>
          <w:spacing w:val="-7"/>
          <w:sz w:val="24"/>
          <w:szCs w:val="24"/>
        </w:rPr>
        <w:t>双面批灰乳胶漆精细工艺</w:t>
      </w:r>
      <w:r>
        <w:rPr>
          <w:rFonts w:hint="eastAsia" w:ascii="宋体" w:hAnsi="宋体" w:eastAsia="宋体" w:cs="宋体"/>
          <w:spacing w:val="-2"/>
          <w:sz w:val="24"/>
          <w:szCs w:val="24"/>
        </w:rPr>
        <w:t>）；</w:t>
      </w:r>
    </w:p>
    <w:p w14:paraId="20AB4BA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4" w:firstLineChars="200"/>
        <w:jc w:val="both"/>
        <w:textAlignment w:val="baseline"/>
        <w:rPr>
          <w:rFonts w:hint="eastAsia" w:ascii="宋体" w:hAnsi="宋体" w:eastAsia="宋体" w:cs="宋体"/>
          <w:sz w:val="24"/>
          <w:szCs w:val="24"/>
        </w:rPr>
      </w:pPr>
      <w:r>
        <w:rPr>
          <w:rFonts w:hint="eastAsia" w:ascii="宋体" w:hAnsi="宋体" w:eastAsia="宋体" w:cs="宋体"/>
          <w:spacing w:val="1"/>
          <w:sz w:val="24"/>
          <w:szCs w:val="24"/>
        </w:rPr>
        <w:t xml:space="preserve">各类文化造型制作安装：通体高密度 </w:t>
      </w:r>
      <w:r>
        <w:rPr>
          <w:rFonts w:hint="eastAsia" w:ascii="宋体" w:hAnsi="宋体" w:eastAsia="宋体" w:cs="宋体"/>
          <w:sz w:val="24"/>
          <w:szCs w:val="24"/>
        </w:rPr>
        <w:t>PVC</w:t>
      </w:r>
      <w:r>
        <w:rPr>
          <w:rFonts w:hint="eastAsia" w:ascii="宋体" w:hAnsi="宋体" w:eastAsia="宋体" w:cs="宋体"/>
          <w:spacing w:val="1"/>
          <w:sz w:val="24"/>
          <w:szCs w:val="24"/>
        </w:rPr>
        <w:t xml:space="preserve"> 数控雕刻烤漆造型、双层加厚</w:t>
      </w:r>
      <w:r>
        <w:rPr>
          <w:rFonts w:hint="eastAsia" w:ascii="宋体" w:hAnsi="宋体" w:eastAsia="宋体" w:cs="宋体"/>
          <w:spacing w:val="1"/>
          <w:sz w:val="24"/>
          <w:szCs w:val="24"/>
          <w:lang w:val="en-US" w:eastAsia="zh-CN"/>
        </w:rPr>
        <w:t xml:space="preserve"> </w:t>
      </w:r>
      <w:r>
        <w:rPr>
          <w:rFonts w:hint="eastAsia" w:ascii="宋体" w:hAnsi="宋体" w:eastAsia="宋体" w:cs="宋体"/>
          <w:sz w:val="24"/>
          <w:szCs w:val="24"/>
        </w:rPr>
        <w:t>PVC</w:t>
      </w:r>
      <w:r>
        <w:rPr>
          <w:rFonts w:hint="eastAsia" w:ascii="宋体" w:hAnsi="宋体" w:eastAsia="宋体" w:cs="宋体"/>
          <w:spacing w:val="1"/>
          <w:sz w:val="24"/>
          <w:szCs w:val="24"/>
        </w:rPr>
        <w:t>立体字、镀锌板立体字、亚克力点缀、玻璃</w:t>
      </w:r>
      <w:r>
        <w:rPr>
          <w:rFonts w:hint="eastAsia" w:ascii="宋体" w:hAnsi="宋体" w:eastAsia="宋体" w:cs="宋体"/>
          <w:spacing w:val="-4"/>
          <w:sz w:val="24"/>
          <w:szCs w:val="24"/>
        </w:rPr>
        <w:t>钢卡通雕塑、AI 互动装置、可旋转转轴展示件；</w:t>
      </w:r>
    </w:p>
    <w:p w14:paraId="7349268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实木免漆置物柜、洞洞展示板、</w:t>
      </w:r>
      <w:r>
        <w:rPr>
          <w:rFonts w:hint="eastAsia" w:ascii="宋体" w:hAnsi="宋体" w:eastAsia="宋体" w:cs="宋体"/>
          <w:sz w:val="24"/>
          <w:szCs w:val="24"/>
        </w:rPr>
        <w:t>PU</w:t>
      </w:r>
      <w:r>
        <w:rPr>
          <w:rFonts w:hint="eastAsia" w:ascii="宋体" w:hAnsi="宋体" w:eastAsia="宋体" w:cs="宋体"/>
          <w:spacing w:val="1"/>
          <w:sz w:val="24"/>
          <w:szCs w:val="24"/>
        </w:rPr>
        <w:t xml:space="preserve"> 成品休闲坐凳、定制照</w:t>
      </w:r>
      <w:r>
        <w:rPr>
          <w:rFonts w:hint="eastAsia" w:ascii="宋体" w:hAnsi="宋体" w:eastAsia="宋体" w:cs="宋体"/>
          <w:spacing w:val="-12"/>
          <w:sz w:val="24"/>
          <w:szCs w:val="24"/>
        </w:rPr>
        <w:t>明灯具更换安装；</w:t>
      </w:r>
    </w:p>
    <w:p w14:paraId="7B6FE59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地面环氧地坪分色造型滚涂、楼梯装饰线条、楼层导视、榜</w:t>
      </w:r>
      <w:r>
        <w:rPr>
          <w:rFonts w:hint="eastAsia" w:ascii="宋体" w:hAnsi="宋体" w:eastAsia="宋体" w:cs="宋体"/>
          <w:spacing w:val="-4"/>
          <w:sz w:val="24"/>
          <w:szCs w:val="24"/>
        </w:rPr>
        <w:t>样人物文化墙、非遗文化墙、航天科技文化墙、礼仪文</w:t>
      </w:r>
      <w:r>
        <w:rPr>
          <w:rFonts w:hint="eastAsia" w:ascii="宋体" w:hAnsi="宋体" w:eastAsia="宋体" w:cs="宋体"/>
          <w:spacing w:val="-5"/>
          <w:sz w:val="24"/>
          <w:szCs w:val="24"/>
        </w:rPr>
        <w:t>化墙全套</w:t>
      </w:r>
      <w:r>
        <w:rPr>
          <w:rFonts w:hint="eastAsia" w:ascii="宋体" w:hAnsi="宋体" w:eastAsia="宋体" w:cs="宋体"/>
          <w:spacing w:val="-20"/>
          <w:sz w:val="24"/>
          <w:szCs w:val="24"/>
        </w:rPr>
        <w:t>制作；</w:t>
      </w:r>
    </w:p>
    <w:p w14:paraId="7E45FDF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成品保护、现场垃圾外运、竣工整体保洁、材料运输、人工</w:t>
      </w:r>
      <w:r>
        <w:rPr>
          <w:rFonts w:hint="eastAsia" w:ascii="宋体" w:hAnsi="宋体" w:eastAsia="宋体" w:cs="宋体"/>
          <w:spacing w:val="-3"/>
          <w:sz w:val="24"/>
          <w:szCs w:val="24"/>
        </w:rPr>
        <w:t>安装、五金辅材、税费、质保维修等全部配套工作。</w:t>
      </w:r>
    </w:p>
    <w:p w14:paraId="6B8D4377">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outlineLvl w:val="3"/>
        <w:rPr>
          <w:rFonts w:hint="eastAsia" w:ascii="宋体" w:hAnsi="宋体" w:eastAsia="宋体" w:cs="宋体"/>
          <w:sz w:val="24"/>
          <w:szCs w:val="24"/>
        </w:rPr>
      </w:pPr>
      <w:r>
        <w:rPr>
          <w:rFonts w:hint="eastAsia" w:ascii="宋体" w:hAnsi="宋体" w:eastAsia="宋体" w:cs="宋体"/>
          <w:spacing w:val="-4"/>
          <w:sz w:val="24"/>
          <w:szCs w:val="24"/>
        </w:rPr>
        <w:t>1.4 承包方式</w:t>
      </w:r>
    </w:p>
    <w:p w14:paraId="436D498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color w:val="auto"/>
          <w:spacing w:val="-3"/>
          <w:sz w:val="24"/>
          <w:szCs w:val="24"/>
        </w:rPr>
      </w:pPr>
      <w:r>
        <w:rPr>
          <w:rFonts w:hint="eastAsia" w:ascii="宋体" w:hAnsi="宋体" w:eastAsia="宋体" w:cs="宋体"/>
          <w:spacing w:val="-6"/>
          <w:sz w:val="24"/>
          <w:szCs w:val="24"/>
        </w:rPr>
        <w:t>固定总价包干承包乙方包工、包料、包机械、包运输、包制</w:t>
      </w:r>
      <w:r>
        <w:rPr>
          <w:rFonts w:hint="eastAsia" w:ascii="宋体" w:hAnsi="宋体" w:eastAsia="宋体" w:cs="宋体"/>
          <w:spacing w:val="-4"/>
          <w:sz w:val="24"/>
          <w:szCs w:val="24"/>
        </w:rPr>
        <w:t>作、包安装、包辅料五金、包垃圾清运、包成</w:t>
      </w:r>
      <w:r>
        <w:rPr>
          <w:rFonts w:hint="eastAsia" w:ascii="宋体" w:hAnsi="宋体" w:eastAsia="宋体" w:cs="宋体"/>
          <w:spacing w:val="-5"/>
          <w:sz w:val="24"/>
          <w:szCs w:val="24"/>
        </w:rPr>
        <w:t>品保护、包安全文</w:t>
      </w:r>
      <w:r>
        <w:rPr>
          <w:rFonts w:hint="eastAsia" w:ascii="宋体" w:hAnsi="宋体" w:eastAsia="宋体" w:cs="宋体"/>
          <w:spacing w:val="-11"/>
          <w:sz w:val="24"/>
          <w:szCs w:val="24"/>
        </w:rPr>
        <w:t xml:space="preserve">明施工、包检测验收、包 9% </w:t>
      </w:r>
      <w:r>
        <w:rPr>
          <w:rFonts w:hint="eastAsia" w:ascii="宋体" w:hAnsi="宋体" w:eastAsia="宋体" w:cs="宋体"/>
          <w:color w:val="auto"/>
          <w:spacing w:val="-11"/>
          <w:sz w:val="24"/>
          <w:szCs w:val="24"/>
        </w:rPr>
        <w:t>增值税专用发票；</w:t>
      </w:r>
      <w:r>
        <w:rPr>
          <w:rFonts w:hint="eastAsia" w:ascii="宋体" w:hAnsi="宋体" w:eastAsia="宋体" w:cs="宋体"/>
          <w:color w:val="auto"/>
          <w:spacing w:val="-11"/>
          <w:sz w:val="24"/>
          <w:szCs w:val="24"/>
          <w:highlight w:val="none"/>
        </w:rPr>
        <w:t>包一年质保售后；</w:t>
      </w:r>
      <w:r>
        <w:rPr>
          <w:rFonts w:hint="eastAsia" w:ascii="宋体" w:hAnsi="宋体" w:eastAsia="宋体" w:cs="宋体"/>
          <w:color w:val="auto"/>
          <w:spacing w:val="-3"/>
          <w:sz w:val="24"/>
          <w:szCs w:val="24"/>
        </w:rPr>
        <w:t>合同总价除甲方书面设计变更、增项签证外，不作任何调整。</w:t>
      </w:r>
    </w:p>
    <w:p w14:paraId="361F4AA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1.5 施工依据</w:t>
      </w:r>
    </w:p>
    <w:p w14:paraId="0CF57A6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附件一：《安康职小梯间文化建设报价清单》（材</w:t>
      </w:r>
      <w:r>
        <w:rPr>
          <w:rFonts w:hint="eastAsia" w:ascii="宋体" w:hAnsi="宋体" w:eastAsia="宋体" w:cs="宋体"/>
          <w:spacing w:val="-4"/>
          <w:sz w:val="24"/>
          <w:szCs w:val="24"/>
        </w:rPr>
        <w:t>料规格、密度、烤漆工艺、尺寸、单价、工程量、备注约束全部作为施工</w:t>
      </w:r>
      <w:r>
        <w:rPr>
          <w:rFonts w:hint="eastAsia" w:ascii="宋体" w:hAnsi="宋体" w:eastAsia="宋体" w:cs="宋体"/>
          <w:spacing w:val="-14"/>
          <w:sz w:val="24"/>
          <w:szCs w:val="24"/>
        </w:rPr>
        <w:t>硬性标准</w:t>
      </w:r>
      <w:r>
        <w:rPr>
          <w:rFonts w:hint="eastAsia" w:ascii="宋体" w:hAnsi="宋体" w:eastAsia="宋体" w:cs="宋体"/>
          <w:spacing w:val="-7"/>
          <w:sz w:val="24"/>
          <w:szCs w:val="24"/>
        </w:rPr>
        <w:t>）；</w:t>
      </w:r>
    </w:p>
    <w:p w14:paraId="3CB4F12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附件二：全套项目效果图、平面尺寸图；</w:t>
      </w:r>
    </w:p>
    <w:p w14:paraId="24354D9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国家现行装饰装修、环保、消防安全规范；</w:t>
      </w:r>
    </w:p>
    <w:p w14:paraId="3401C52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甲方现场交底书面要求、变更签证单。</w:t>
      </w:r>
    </w:p>
    <w:p w14:paraId="4D973A28">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outlineLvl w:val="3"/>
        <w:rPr>
          <w:rFonts w:hint="eastAsia" w:ascii="宋体" w:hAnsi="宋体" w:eastAsia="宋体" w:cs="宋体"/>
          <w:sz w:val="24"/>
          <w:szCs w:val="24"/>
        </w:rPr>
      </w:pPr>
      <w:r>
        <w:rPr>
          <w:rFonts w:hint="eastAsia" w:ascii="宋体" w:hAnsi="宋体" w:eastAsia="宋体" w:cs="宋体"/>
          <w:spacing w:val="-3"/>
          <w:sz w:val="24"/>
          <w:szCs w:val="24"/>
        </w:rPr>
        <w:t>1.6 合同总价款</w:t>
      </w:r>
    </w:p>
    <w:p w14:paraId="1ABE439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lang w:val="en-US" w:eastAsia="zh-CN"/>
        </w:rPr>
      </w:pPr>
      <w:r>
        <w:rPr>
          <w:rFonts w:hint="eastAsia" w:ascii="宋体" w:hAnsi="宋体" w:eastAsia="宋体" w:cs="宋体"/>
          <w:spacing w:val="-4"/>
          <w:sz w:val="24"/>
          <w:szCs w:val="24"/>
        </w:rPr>
        <w:t>人民币大写：</w:t>
      </w:r>
      <w:r>
        <w:rPr>
          <w:rFonts w:hint="eastAsia" w:ascii="宋体" w:hAnsi="宋体" w:eastAsia="宋体" w:cs="宋体"/>
          <w:spacing w:val="1"/>
          <w:sz w:val="24"/>
          <w:szCs w:val="24"/>
          <w:u w:val="single"/>
        </w:rPr>
        <w:t xml:space="preserve">              </w:t>
      </w:r>
      <w:r>
        <w:rPr>
          <w:rFonts w:hint="eastAsia" w:ascii="宋体" w:hAnsi="宋体" w:eastAsia="宋体" w:cs="宋体"/>
          <w:spacing w:val="-4"/>
          <w:sz w:val="24"/>
          <w:szCs w:val="24"/>
        </w:rPr>
        <w:t>元</w:t>
      </w:r>
      <w:r>
        <w:rPr>
          <w:rFonts w:hint="eastAsia"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小写：</w:t>
      </w:r>
      <w:r>
        <w:rPr>
          <w:rFonts w:hint="eastAsia" w:ascii="宋体" w:hAnsi="宋体" w:eastAsia="宋体" w:cs="宋体"/>
          <w:spacing w:val="1"/>
          <w:sz w:val="24"/>
          <w:szCs w:val="24"/>
          <w:u w:val="single"/>
        </w:rPr>
        <w:t xml:space="preserve">              </w:t>
      </w:r>
      <w:r>
        <w:rPr>
          <w:rFonts w:hint="eastAsia" w:ascii="宋体" w:hAnsi="宋体" w:eastAsia="宋体" w:cs="宋体"/>
          <w:spacing w:val="-4"/>
          <w:sz w:val="24"/>
          <w:szCs w:val="24"/>
        </w:rPr>
        <w:t>元</w:t>
      </w:r>
      <w:r>
        <w:rPr>
          <w:rFonts w:hint="eastAsia" w:ascii="宋体" w:hAnsi="宋体" w:eastAsia="宋体" w:cs="宋体"/>
          <w:spacing w:val="-4"/>
          <w:sz w:val="24"/>
          <w:szCs w:val="24"/>
          <w:lang w:eastAsia="zh-CN"/>
        </w:rPr>
        <w:t>。</w:t>
      </w:r>
    </w:p>
    <w:p w14:paraId="4071BDAA">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1.7</w:t>
      </w:r>
      <w:r>
        <w:rPr>
          <w:rFonts w:hint="eastAsia" w:ascii="宋体" w:hAnsi="宋体" w:eastAsia="宋体" w:cs="宋体"/>
          <w:spacing w:val="17"/>
          <w:sz w:val="24"/>
          <w:szCs w:val="24"/>
        </w:rPr>
        <w:t xml:space="preserve"> </w:t>
      </w:r>
      <w:r>
        <w:rPr>
          <w:rFonts w:hint="eastAsia" w:ascii="宋体" w:hAnsi="宋体" w:eastAsia="宋体" w:cs="宋体"/>
          <w:spacing w:val="-6"/>
          <w:sz w:val="24"/>
          <w:szCs w:val="24"/>
        </w:rPr>
        <w:t>工期约定</w:t>
      </w:r>
    </w:p>
    <w:p w14:paraId="160CE9B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总日历工期：</w:t>
      </w:r>
      <w:r>
        <w:rPr>
          <w:rFonts w:hint="eastAsia" w:ascii="宋体" w:hAnsi="宋体" w:eastAsia="宋体" w:cs="宋体"/>
          <w:spacing w:val="-11"/>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1"/>
          <w:sz w:val="24"/>
          <w:szCs w:val="24"/>
        </w:rPr>
        <w:t>日历天；</w:t>
      </w:r>
    </w:p>
    <w:p w14:paraId="4D29416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开工日期：甲方出具《开工通知书》次日起计算；</w:t>
      </w:r>
    </w:p>
    <w:p w14:paraId="63542E4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竣工交付日期：开工后</w:t>
      </w:r>
      <w:r>
        <w:rPr>
          <w:rFonts w:hint="eastAsia" w:ascii="宋体" w:hAnsi="宋体" w:eastAsia="宋体" w:cs="宋体"/>
          <w:spacing w:val="-6"/>
          <w:sz w:val="24"/>
          <w:szCs w:val="24"/>
          <w:u w:val="single" w:color="auto"/>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6"/>
          <w:sz w:val="24"/>
          <w:szCs w:val="24"/>
        </w:rPr>
        <w:t>日历天内全部完工、保洁完毕、</w:t>
      </w:r>
      <w:r>
        <w:rPr>
          <w:rFonts w:hint="eastAsia" w:ascii="宋体" w:hAnsi="宋体" w:eastAsia="宋体" w:cs="宋体"/>
          <w:spacing w:val="-11"/>
          <w:sz w:val="24"/>
          <w:szCs w:val="24"/>
        </w:rPr>
        <w:t>提交验收申请；</w:t>
      </w:r>
    </w:p>
    <w:p w14:paraId="75AEDA0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z w:val="24"/>
          <w:szCs w:val="24"/>
        </w:rPr>
      </w:pPr>
      <w:r>
        <w:rPr>
          <w:rFonts w:hint="eastAsia" w:ascii="宋体" w:hAnsi="宋体" w:eastAsia="宋体" w:cs="宋体"/>
          <w:spacing w:val="-4"/>
          <w:sz w:val="24"/>
          <w:szCs w:val="24"/>
        </w:rPr>
        <w:t>节假日、学校上课时间施工降噪、分时段作业不抵扣工期；</w:t>
      </w:r>
      <w:r>
        <w:rPr>
          <w:rFonts w:hint="eastAsia" w:ascii="宋体" w:hAnsi="宋体" w:eastAsia="宋体" w:cs="宋体"/>
          <w:spacing w:val="-3"/>
          <w:sz w:val="24"/>
          <w:szCs w:val="24"/>
        </w:rPr>
        <w:t>因甲方场地协调、设计变更、逾期付款导致停工的，工期顺延，</w:t>
      </w:r>
      <w:r>
        <w:rPr>
          <w:rFonts w:hint="eastAsia" w:ascii="宋体" w:hAnsi="宋体" w:eastAsia="宋体" w:cs="宋体"/>
          <w:spacing w:val="-4"/>
          <w:sz w:val="24"/>
          <w:szCs w:val="24"/>
        </w:rPr>
        <w:t>乙方书面签证确认；乙方自身人员、材料、工艺延误，</w:t>
      </w:r>
      <w:r>
        <w:rPr>
          <w:rFonts w:hint="eastAsia" w:ascii="宋体" w:hAnsi="宋体" w:eastAsia="宋体" w:cs="宋体"/>
          <w:spacing w:val="-5"/>
          <w:sz w:val="24"/>
          <w:szCs w:val="24"/>
        </w:rPr>
        <w:t>工期不予顺延，承担逾期违约责任。</w:t>
      </w:r>
    </w:p>
    <w:p w14:paraId="4C42F634">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outlineLvl w:val="2"/>
        <w:rPr>
          <w:rFonts w:hint="eastAsia" w:ascii="宋体" w:hAnsi="宋体" w:eastAsia="宋体" w:cs="宋体"/>
          <w:sz w:val="24"/>
          <w:szCs w:val="24"/>
        </w:rPr>
      </w:pPr>
      <w:r>
        <w:rPr>
          <w:rFonts w:hint="eastAsia" w:ascii="宋体" w:hAnsi="宋体" w:eastAsia="宋体" w:cs="宋体"/>
          <w:spacing w:val="-1"/>
          <w:sz w:val="24"/>
          <w:szCs w:val="24"/>
        </w:rPr>
        <w:t>第二条 合同文件及解释顺序</w:t>
      </w:r>
    </w:p>
    <w:p w14:paraId="72088E3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组成本合同的文件互为补充，如有冲突，按以下优先顺序解</w:t>
      </w:r>
      <w:r>
        <w:rPr>
          <w:rFonts w:hint="eastAsia" w:ascii="宋体" w:hAnsi="宋体" w:eastAsia="宋体" w:cs="宋体"/>
          <w:spacing w:val="-22"/>
          <w:sz w:val="24"/>
          <w:szCs w:val="24"/>
        </w:rPr>
        <w:t>释：</w:t>
      </w:r>
    </w:p>
    <w:p w14:paraId="26936C0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2" w:firstLineChars="200"/>
        <w:textAlignment w:val="baseline"/>
        <w:rPr>
          <w:rFonts w:hint="eastAsia" w:ascii="宋体" w:hAnsi="宋体" w:eastAsia="宋体" w:cs="宋体"/>
          <w:sz w:val="24"/>
          <w:szCs w:val="24"/>
        </w:rPr>
      </w:pPr>
      <w:r>
        <w:rPr>
          <w:rFonts w:hint="eastAsia" w:ascii="宋体" w:hAnsi="宋体" w:eastAsia="宋体" w:cs="宋体"/>
          <w:spacing w:val="-7"/>
          <w:sz w:val="24"/>
          <w:szCs w:val="24"/>
        </w:rPr>
        <w:t>本施工合同补充协议（如有</w:t>
      </w:r>
      <w:r>
        <w:rPr>
          <w:rFonts w:hint="eastAsia" w:ascii="宋体" w:hAnsi="宋体" w:eastAsia="宋体" w:cs="宋体"/>
          <w:spacing w:val="1"/>
          <w:sz w:val="24"/>
          <w:szCs w:val="24"/>
        </w:rPr>
        <w:t>）；</w:t>
      </w:r>
    </w:p>
    <w:p w14:paraId="5CFAC68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本施工合同正文；</w:t>
      </w:r>
    </w:p>
    <w:p w14:paraId="5587A49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附件一：报价清单（材料工艺硬性标准</w:t>
      </w:r>
      <w:r>
        <w:rPr>
          <w:rFonts w:hint="eastAsia" w:ascii="宋体" w:hAnsi="宋体" w:eastAsia="宋体" w:cs="宋体"/>
          <w:spacing w:val="3"/>
          <w:sz w:val="24"/>
          <w:szCs w:val="24"/>
        </w:rPr>
        <w:t>）；</w:t>
      </w:r>
    </w:p>
    <w:p w14:paraId="77275A8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附件二：全套施工效果图、尺寸图纸；</w:t>
      </w:r>
    </w:p>
    <w:p w14:paraId="22867D0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8" w:firstLineChars="200"/>
        <w:textAlignment w:val="baseline"/>
        <w:rPr>
          <w:rFonts w:hint="eastAsia" w:ascii="宋体" w:hAnsi="宋体" w:eastAsia="宋体" w:cs="宋体"/>
          <w:sz w:val="24"/>
          <w:szCs w:val="24"/>
        </w:rPr>
      </w:pPr>
      <w:r>
        <w:rPr>
          <w:rFonts w:hint="eastAsia" w:ascii="宋体" w:hAnsi="宋体" w:eastAsia="宋体" w:cs="宋体"/>
          <w:spacing w:val="-8"/>
          <w:sz w:val="24"/>
          <w:szCs w:val="24"/>
        </w:rPr>
        <w:t>国家现行相关施工、验收规范标准；</w:t>
      </w:r>
    </w:p>
    <w:p w14:paraId="5925334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双方往来正式书面函件（微信口头沟通、临时闲</w:t>
      </w:r>
      <w:r>
        <w:rPr>
          <w:rFonts w:hint="eastAsia" w:ascii="宋体" w:hAnsi="宋体" w:eastAsia="宋体" w:cs="宋体"/>
          <w:spacing w:val="-5"/>
          <w:sz w:val="24"/>
          <w:szCs w:val="24"/>
        </w:rPr>
        <w:t>聊不作为依</w:t>
      </w:r>
      <w:r>
        <w:rPr>
          <w:rFonts w:hint="eastAsia" w:ascii="宋体" w:hAnsi="宋体" w:eastAsia="宋体" w:cs="宋体"/>
          <w:spacing w:val="-14"/>
          <w:sz w:val="24"/>
          <w:szCs w:val="24"/>
        </w:rPr>
        <w:t>据）。</w:t>
      </w:r>
    </w:p>
    <w:p w14:paraId="2174B7E3">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outlineLvl w:val="2"/>
        <w:rPr>
          <w:rFonts w:hint="eastAsia" w:ascii="宋体" w:hAnsi="宋体" w:eastAsia="宋体" w:cs="宋体"/>
          <w:sz w:val="24"/>
          <w:szCs w:val="24"/>
        </w:rPr>
      </w:pPr>
      <w:r>
        <w:rPr>
          <w:rFonts w:hint="eastAsia" w:ascii="宋体" w:hAnsi="宋体" w:eastAsia="宋体" w:cs="宋体"/>
          <w:spacing w:val="-1"/>
          <w:sz w:val="24"/>
          <w:szCs w:val="24"/>
        </w:rPr>
        <w:t>第三条 合同价款、付款方式及发票约定</w:t>
      </w:r>
    </w:p>
    <w:p w14:paraId="75DDA5F3">
      <w:pPr>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3.1 价款包干说明</w:t>
      </w:r>
    </w:p>
    <w:p w14:paraId="7489B7F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清单内所有材料均为通体高密度 PVC（密度≥0.45g</w:t>
      </w:r>
      <w:r>
        <w:rPr>
          <w:rFonts w:hint="eastAsia" w:ascii="宋体" w:hAnsi="宋体" w:eastAsia="宋体" w:cs="宋体"/>
          <w:spacing w:val="-6"/>
          <w:sz w:val="24"/>
          <w:szCs w:val="24"/>
        </w:rPr>
        <w:t>/cm³)</w:t>
      </w:r>
      <w:r>
        <w:rPr>
          <w:rFonts w:hint="eastAsia" w:ascii="宋体" w:hAnsi="宋体" w:eastAsia="宋体" w:cs="宋体"/>
          <w:spacing w:val="42"/>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5"/>
          <w:sz w:val="24"/>
          <w:szCs w:val="24"/>
        </w:rPr>
        <w:t>禁止替换结皮低密度 PVC 板；所有造型必须执行双层底漆 +多</w:t>
      </w:r>
      <w:r>
        <w:rPr>
          <w:rFonts w:hint="eastAsia" w:ascii="宋体" w:hAnsi="宋体" w:eastAsia="宋体" w:cs="宋体"/>
          <w:spacing w:val="-4"/>
          <w:sz w:val="24"/>
          <w:szCs w:val="24"/>
        </w:rPr>
        <w:t>层汽车色漆+恒温无尘高温烤漆工艺，禁止简易喷涂；</w:t>
      </w:r>
    </w:p>
    <w:p w14:paraId="32F5017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2" w:firstLineChars="200"/>
        <w:jc w:val="both"/>
        <w:textAlignment w:val="baseline"/>
        <w:rPr>
          <w:rFonts w:hint="eastAsia" w:ascii="宋体" w:hAnsi="宋体" w:eastAsia="宋体" w:cs="宋体"/>
          <w:sz w:val="24"/>
          <w:szCs w:val="24"/>
        </w:rPr>
      </w:pPr>
      <w:r>
        <w:rPr>
          <w:rFonts w:hint="eastAsia" w:ascii="宋体" w:hAnsi="宋体" w:eastAsia="宋体" w:cs="宋体"/>
          <w:spacing w:val="-12"/>
          <w:sz w:val="24"/>
          <w:szCs w:val="24"/>
        </w:rPr>
        <w:t>所有人工、五金挂件、防腐膨胀螺丝、粘接辅材、数控雕刻、</w:t>
      </w:r>
      <w:r>
        <w:rPr>
          <w:rFonts w:hint="eastAsia" w:ascii="宋体" w:hAnsi="宋体" w:eastAsia="宋体" w:cs="宋体"/>
          <w:spacing w:val="-11"/>
          <w:sz w:val="24"/>
          <w:szCs w:val="24"/>
        </w:rPr>
        <w:t>打磨修边、边角钝化、垃圾外运、上楼搬运、保洁、检测、税费、</w:t>
      </w:r>
      <w:r>
        <w:rPr>
          <w:rFonts w:hint="eastAsia" w:ascii="宋体" w:hAnsi="宋体" w:eastAsia="宋体" w:cs="宋体"/>
          <w:spacing w:val="-4"/>
          <w:sz w:val="24"/>
          <w:szCs w:val="24"/>
        </w:rPr>
        <w:t>售后维修全部包含在总价内，甲方无需额外支付任何杂费；</w:t>
      </w:r>
    </w:p>
    <w:p w14:paraId="517FAF1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清单备注内定额低价不足以覆盖工艺成本部分，总价已综合</w:t>
      </w:r>
      <w:r>
        <w:rPr>
          <w:rFonts w:hint="eastAsia" w:ascii="宋体" w:hAnsi="宋体" w:eastAsia="宋体" w:cs="宋体"/>
          <w:spacing w:val="-4"/>
          <w:sz w:val="24"/>
          <w:szCs w:val="24"/>
        </w:rPr>
        <w:t>考虑溢价，施工不得减配、简化工序、降低板材厚度、</w:t>
      </w:r>
      <w:r>
        <w:rPr>
          <w:rFonts w:hint="eastAsia" w:ascii="宋体" w:hAnsi="宋体" w:eastAsia="宋体" w:cs="宋体"/>
          <w:spacing w:val="-5"/>
          <w:sz w:val="24"/>
          <w:szCs w:val="24"/>
        </w:rPr>
        <w:t>减少烤漆</w:t>
      </w:r>
      <w:r>
        <w:rPr>
          <w:rFonts w:hint="eastAsia" w:ascii="宋体" w:hAnsi="宋体" w:eastAsia="宋体" w:cs="宋体"/>
          <w:spacing w:val="-14"/>
          <w:sz w:val="24"/>
          <w:szCs w:val="24"/>
        </w:rPr>
        <w:t>层数。</w:t>
      </w:r>
    </w:p>
    <w:p w14:paraId="6FDE015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3.2 付款节点（所有付款前乙方必须提供等额合规 9% 增值</w:t>
      </w:r>
      <w:r>
        <w:rPr>
          <w:rFonts w:hint="eastAsia" w:ascii="宋体" w:hAnsi="宋体" w:eastAsia="宋体" w:cs="宋体"/>
          <w:spacing w:val="-1"/>
          <w:sz w:val="24"/>
          <w:szCs w:val="24"/>
        </w:rPr>
        <w:t>税专用发票，</w:t>
      </w:r>
      <w:r>
        <w:rPr>
          <w:rFonts w:hint="eastAsia" w:ascii="宋体" w:hAnsi="宋体" w:eastAsia="宋体" w:cs="宋体"/>
          <w:spacing w:val="-85"/>
          <w:sz w:val="24"/>
          <w:szCs w:val="24"/>
        </w:rPr>
        <w:t xml:space="preserve"> </w:t>
      </w:r>
      <w:r>
        <w:rPr>
          <w:rFonts w:hint="eastAsia" w:ascii="宋体" w:hAnsi="宋体" w:eastAsia="宋体" w:cs="宋体"/>
          <w:spacing w:val="-1"/>
          <w:sz w:val="24"/>
          <w:szCs w:val="24"/>
        </w:rPr>
        <w:t>甲方收到发票后 7 个工作日内转账支付，无发票有权顺延付款，不承担逾期责任，节假日除外）</w:t>
      </w:r>
    </w:p>
    <w:p w14:paraId="330FE28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color w:val="auto"/>
          <w:sz w:val="24"/>
          <w:szCs w:val="24"/>
        </w:rPr>
      </w:pPr>
      <w:r>
        <w:rPr>
          <w:rFonts w:hint="eastAsia" w:ascii="宋体" w:hAnsi="宋体" w:cs="宋体"/>
          <w:snapToGrid w:val="0"/>
          <w:color w:val="auto"/>
          <w:kern w:val="0"/>
          <w:sz w:val="24"/>
          <w:szCs w:val="24"/>
          <w:lang w:val="en-US" w:eastAsia="zh-CN"/>
        </w:rPr>
        <w:t>合同签订生效、乙方材料进场15日内，甲方支付合同总价40%预付款仅用于采购主材。验收结束后付总工程价款的97%。剩余合同总价3%竣工验收合格后满1年无任何质量缺陷、乙方完成全部维修义务后15个工作日无息一次性付清</w:t>
      </w:r>
      <w:r>
        <w:rPr>
          <w:rFonts w:hint="eastAsia" w:ascii="宋体" w:hAnsi="宋体" w:eastAsia="宋体" w:cs="宋体"/>
          <w:color w:val="auto"/>
          <w:spacing w:val="-5"/>
          <w:sz w:val="24"/>
          <w:szCs w:val="24"/>
        </w:rPr>
        <w:t>。</w:t>
      </w:r>
    </w:p>
    <w:p w14:paraId="76FF26B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3.3</w:t>
      </w:r>
      <w:r>
        <w:rPr>
          <w:rFonts w:hint="eastAsia" w:ascii="宋体" w:hAnsi="宋体" w:eastAsia="宋体" w:cs="宋体"/>
          <w:spacing w:val="22"/>
          <w:sz w:val="24"/>
          <w:szCs w:val="24"/>
        </w:rPr>
        <w:t xml:space="preserve"> </w:t>
      </w:r>
      <w:r>
        <w:rPr>
          <w:rFonts w:hint="eastAsia" w:ascii="宋体" w:hAnsi="宋体" w:eastAsia="宋体" w:cs="宋体"/>
          <w:spacing w:val="-5"/>
          <w:sz w:val="24"/>
          <w:szCs w:val="24"/>
        </w:rPr>
        <w:t>付款方式</w:t>
      </w:r>
    </w:p>
    <w:p w14:paraId="5BBEEFA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全部款项对公银行转账，乙方不得要求现金、私人转账；乙</w:t>
      </w:r>
      <w:r>
        <w:rPr>
          <w:rFonts w:hint="eastAsia" w:ascii="宋体" w:hAnsi="宋体" w:eastAsia="宋体" w:cs="宋体"/>
          <w:spacing w:val="1"/>
          <w:sz w:val="24"/>
          <w:szCs w:val="24"/>
        </w:rPr>
        <w:t>方账户信息变更必须提前 5 个工作日书面加盖公</w:t>
      </w:r>
      <w:r>
        <w:rPr>
          <w:rFonts w:hint="eastAsia" w:ascii="宋体" w:hAnsi="宋体" w:eastAsia="宋体" w:cs="宋体"/>
          <w:sz w:val="24"/>
          <w:szCs w:val="24"/>
        </w:rPr>
        <w:t>章告知甲方，</w:t>
      </w:r>
      <w:r>
        <w:rPr>
          <w:rFonts w:hint="eastAsia" w:ascii="宋体" w:hAnsi="宋体" w:eastAsia="宋体" w:cs="宋体"/>
          <w:spacing w:val="-4"/>
          <w:sz w:val="24"/>
          <w:szCs w:val="24"/>
        </w:rPr>
        <w:t>否则甲方付款延误责任由乙方自行承担。</w:t>
      </w:r>
    </w:p>
    <w:p w14:paraId="413D00F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3.4</w:t>
      </w:r>
      <w:r>
        <w:rPr>
          <w:rFonts w:hint="eastAsia" w:ascii="宋体" w:hAnsi="宋体" w:eastAsia="宋体" w:cs="宋体"/>
          <w:spacing w:val="31"/>
          <w:sz w:val="24"/>
          <w:szCs w:val="24"/>
        </w:rPr>
        <w:t xml:space="preserve"> </w:t>
      </w:r>
      <w:r>
        <w:rPr>
          <w:rFonts w:hint="eastAsia" w:ascii="宋体" w:hAnsi="宋体" w:eastAsia="宋体" w:cs="宋体"/>
          <w:spacing w:val="-6"/>
          <w:sz w:val="24"/>
          <w:szCs w:val="24"/>
        </w:rPr>
        <w:t>发票约束</w:t>
      </w:r>
    </w:p>
    <w:p w14:paraId="1C72F62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乙方开具发票类目为：建筑服务 * 装饰装修工程；发票不</w:t>
      </w:r>
      <w:r>
        <w:rPr>
          <w:rFonts w:hint="eastAsia" w:ascii="宋体" w:hAnsi="宋体" w:eastAsia="宋体" w:cs="宋体"/>
          <w:spacing w:val="-5"/>
          <w:sz w:val="24"/>
          <w:szCs w:val="24"/>
        </w:rPr>
        <w:t>合规、虚开、税率不符，甲方有权拒付，乙方重新开具并承担甲</w:t>
      </w:r>
      <w:r>
        <w:rPr>
          <w:rFonts w:hint="eastAsia" w:ascii="宋体" w:hAnsi="宋体" w:eastAsia="宋体" w:cs="宋体"/>
          <w:spacing w:val="-10"/>
          <w:sz w:val="24"/>
          <w:szCs w:val="24"/>
        </w:rPr>
        <w:t>方财务损失。</w:t>
      </w:r>
    </w:p>
    <w:p w14:paraId="405A398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第四条 材料、设备、施工工艺标准（核心</w:t>
      </w:r>
      <w:r>
        <w:rPr>
          <w:rFonts w:hint="eastAsia" w:ascii="宋体" w:hAnsi="宋体" w:eastAsia="宋体" w:cs="宋体"/>
          <w:spacing w:val="-3"/>
          <w:sz w:val="24"/>
          <w:szCs w:val="24"/>
        </w:rPr>
        <w:t>约束条款）</w:t>
      </w:r>
    </w:p>
    <w:p w14:paraId="076756E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4.1 材料采购与封样</w:t>
      </w:r>
    </w:p>
    <w:p w14:paraId="700BB87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本项目所有主材（PVC 板、实木板材、乳胶漆、玻</w:t>
      </w:r>
      <w:r>
        <w:rPr>
          <w:rFonts w:hint="eastAsia" w:ascii="宋体" w:hAnsi="宋体" w:eastAsia="宋体" w:cs="宋体"/>
          <w:spacing w:val="-5"/>
          <w:sz w:val="24"/>
          <w:szCs w:val="24"/>
        </w:rPr>
        <w:t>璃钢、亚克力、镀锌板、宣绒布、五金挂件）乙方采购前必须送样品至甲</w:t>
      </w:r>
      <w:r>
        <w:rPr>
          <w:rFonts w:hint="eastAsia" w:ascii="宋体" w:hAnsi="宋体" w:eastAsia="宋体" w:cs="宋体"/>
          <w:spacing w:val="-12"/>
          <w:sz w:val="24"/>
          <w:szCs w:val="24"/>
        </w:rPr>
        <w:t>方现场封样留存；未封样擅自进场材料，甲方有权要求全部退场，</w:t>
      </w:r>
      <w:r>
        <w:rPr>
          <w:rFonts w:hint="eastAsia" w:ascii="宋体" w:hAnsi="宋体" w:eastAsia="宋体" w:cs="宋体"/>
          <w:spacing w:val="-6"/>
          <w:sz w:val="24"/>
          <w:szCs w:val="24"/>
        </w:rPr>
        <w:t>工期不予顺延，损失由乙方承担；</w:t>
      </w:r>
    </w:p>
    <w:p w14:paraId="373E9CD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jc w:val="both"/>
        <w:textAlignment w:val="baseline"/>
        <w:rPr>
          <w:rFonts w:hint="eastAsia" w:ascii="宋体" w:hAnsi="宋体" w:eastAsia="宋体" w:cs="宋体"/>
          <w:sz w:val="24"/>
          <w:szCs w:val="24"/>
        </w:rPr>
      </w:pPr>
      <w:r>
        <w:rPr>
          <w:rFonts w:hint="eastAsia" w:ascii="宋体" w:hAnsi="宋体" w:eastAsia="宋体" w:cs="宋体"/>
          <w:sz w:val="24"/>
          <w:szCs w:val="24"/>
        </w:rPr>
        <w:t>PVC 板材硬性标准：通体高密度整板，密度≥</w:t>
      </w:r>
      <w:r>
        <w:rPr>
          <w:rFonts w:hint="eastAsia" w:ascii="宋体" w:hAnsi="宋体" w:eastAsia="宋体" w:cs="宋体"/>
          <w:spacing w:val="-1"/>
          <w:sz w:val="24"/>
          <w:szCs w:val="24"/>
        </w:rPr>
        <w:t>0.45g/cm³</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4"/>
          <w:sz w:val="24"/>
          <w:szCs w:val="24"/>
        </w:rPr>
        <w:t>禁止夹心、结皮、回收料板材；板材厚度严格按清单：9mm、9+9</w:t>
      </w:r>
      <w:r>
        <w:rPr>
          <w:rFonts w:hint="eastAsia" w:ascii="宋体" w:hAnsi="宋体" w:eastAsia="宋体" w:cs="宋体"/>
          <w:spacing w:val="-5"/>
          <w:sz w:val="24"/>
          <w:szCs w:val="24"/>
        </w:rPr>
        <w:t>双层加厚、18mm 分类使用；</w:t>
      </w:r>
    </w:p>
    <w:p w14:paraId="3CC0814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漆面工艺：所有雕刻造型必须精细打磨除尘→2 道环氧封闭</w:t>
      </w:r>
      <w:r>
        <w:rPr>
          <w:rFonts w:hint="eastAsia" w:ascii="宋体" w:hAnsi="宋体" w:eastAsia="宋体" w:cs="宋体"/>
          <w:spacing w:val="-6"/>
          <w:sz w:val="24"/>
          <w:szCs w:val="24"/>
        </w:rPr>
        <w:t>防锈底漆→</w:t>
      </w:r>
      <w:r>
        <w:rPr>
          <w:rFonts w:hint="eastAsia" w:ascii="宋体" w:hAnsi="宋体" w:eastAsia="宋体" w:cs="宋体"/>
          <w:spacing w:val="-102"/>
          <w:sz w:val="24"/>
          <w:szCs w:val="24"/>
        </w:rPr>
        <w:t xml:space="preserve"> </w:t>
      </w:r>
      <w:r>
        <w:rPr>
          <w:rFonts w:hint="eastAsia" w:ascii="宋体" w:hAnsi="宋体" w:eastAsia="宋体" w:cs="宋体"/>
          <w:spacing w:val="-6"/>
          <w:sz w:val="24"/>
          <w:szCs w:val="24"/>
        </w:rPr>
        <w:t>多层汽车专用色漆→恒温无尘烤漆房高温固化；要求</w:t>
      </w:r>
      <w:r>
        <w:rPr>
          <w:rFonts w:hint="eastAsia" w:ascii="宋体" w:hAnsi="宋体" w:eastAsia="宋体" w:cs="宋体"/>
          <w:spacing w:val="-4"/>
          <w:sz w:val="24"/>
          <w:szCs w:val="24"/>
        </w:rPr>
        <w:t>耐擦洗、抗紫外线、不褪色、不起皮、无流挂</w:t>
      </w:r>
      <w:r>
        <w:rPr>
          <w:rFonts w:hint="eastAsia" w:ascii="宋体" w:hAnsi="宋体" w:eastAsia="宋体" w:cs="宋体"/>
          <w:spacing w:val="-5"/>
          <w:sz w:val="24"/>
          <w:szCs w:val="24"/>
        </w:rPr>
        <w:t>颗粒；现场简易自</w:t>
      </w:r>
      <w:r>
        <w:rPr>
          <w:rFonts w:hint="eastAsia" w:ascii="宋体" w:hAnsi="宋体" w:eastAsia="宋体" w:cs="宋体"/>
          <w:spacing w:val="-4"/>
          <w:sz w:val="24"/>
          <w:szCs w:val="24"/>
        </w:rPr>
        <w:t>喷漆、木器漆严禁使用，一经发现甲方要求全</w:t>
      </w:r>
      <w:r>
        <w:rPr>
          <w:rFonts w:hint="eastAsia" w:ascii="宋体" w:hAnsi="宋体" w:eastAsia="宋体" w:cs="宋体"/>
          <w:spacing w:val="-5"/>
          <w:sz w:val="24"/>
          <w:szCs w:val="24"/>
        </w:rPr>
        <w:t>部拆除重做，费用</w:t>
      </w:r>
      <w:r>
        <w:rPr>
          <w:rFonts w:hint="eastAsia" w:ascii="宋体" w:hAnsi="宋体" w:eastAsia="宋体" w:cs="宋体"/>
          <w:spacing w:val="-11"/>
          <w:sz w:val="24"/>
          <w:szCs w:val="24"/>
        </w:rPr>
        <w:t>乙方自理。</w:t>
      </w:r>
    </w:p>
    <w:p w14:paraId="122B744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4.2 施工工艺强制要求</w:t>
      </w:r>
    </w:p>
    <w:p w14:paraId="2ABB11C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数控加工：所有立体造型、线条采用三轴 CNC 精雕，修边、</w:t>
      </w:r>
      <w:r>
        <w:rPr>
          <w:rFonts w:hint="eastAsia" w:ascii="宋体" w:hAnsi="宋体" w:eastAsia="宋体" w:cs="宋体"/>
          <w:spacing w:val="-5"/>
          <w:sz w:val="24"/>
          <w:szCs w:val="24"/>
        </w:rPr>
        <w:t>去毛刺、边角钝化，无崩边、缺角、毛边；</w:t>
      </w:r>
    </w:p>
    <w:p w14:paraId="7950378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墙面基层：拆除后石膏找平，腻子至少 2 遍；分色乳胶漆</w:t>
      </w:r>
      <w:r>
        <w:rPr>
          <w:rFonts w:hint="eastAsia" w:ascii="宋体" w:hAnsi="宋体" w:eastAsia="宋体" w:cs="宋体"/>
          <w:spacing w:val="17"/>
          <w:sz w:val="24"/>
          <w:szCs w:val="24"/>
        </w:rPr>
        <w:t xml:space="preserve"> </w:t>
      </w:r>
      <w:r>
        <w:rPr>
          <w:rFonts w:hint="eastAsia" w:ascii="宋体" w:hAnsi="宋体" w:eastAsia="宋体" w:cs="宋体"/>
          <w:spacing w:val="-10"/>
          <w:sz w:val="24"/>
          <w:szCs w:val="24"/>
        </w:rPr>
        <w:t>3</w:t>
      </w:r>
      <w:r>
        <w:rPr>
          <w:rFonts w:hint="eastAsia" w:ascii="宋体" w:hAnsi="宋体" w:eastAsia="宋体" w:cs="宋体"/>
          <w:spacing w:val="-5"/>
          <w:sz w:val="24"/>
          <w:szCs w:val="24"/>
        </w:rPr>
        <w:t>遍，分色线条精细收口，无色差、渗边；</w:t>
      </w:r>
    </w:p>
    <w:p w14:paraId="5478F29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轻质隔断：25*25 方管骨架 +</w:t>
      </w:r>
      <w:r>
        <w:rPr>
          <w:rFonts w:hint="eastAsia" w:ascii="宋体" w:hAnsi="宋体" w:eastAsia="宋体" w:cs="宋体"/>
          <w:spacing w:val="32"/>
          <w:sz w:val="24"/>
          <w:szCs w:val="24"/>
        </w:rPr>
        <w:t xml:space="preserve"> </w:t>
      </w:r>
      <w:r>
        <w:rPr>
          <w:rFonts w:hint="eastAsia" w:ascii="宋体" w:hAnsi="宋体" w:eastAsia="宋体" w:cs="宋体"/>
          <w:spacing w:val="-3"/>
          <w:sz w:val="24"/>
          <w:szCs w:val="24"/>
        </w:rPr>
        <w:t>15mm</w:t>
      </w:r>
      <w:r>
        <w:rPr>
          <w:rFonts w:hint="eastAsia" w:ascii="宋体" w:hAnsi="宋体" w:eastAsia="宋体" w:cs="宋体"/>
          <w:spacing w:val="41"/>
          <w:sz w:val="24"/>
          <w:szCs w:val="24"/>
        </w:rPr>
        <w:t xml:space="preserve"> </w:t>
      </w:r>
      <w:r>
        <w:rPr>
          <w:rFonts w:hint="eastAsia" w:ascii="宋体" w:hAnsi="宋体" w:eastAsia="宋体" w:cs="宋体"/>
          <w:spacing w:val="-3"/>
          <w:sz w:val="24"/>
          <w:szCs w:val="24"/>
        </w:rPr>
        <w:t>欧松板打底</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w:t>
      </w:r>
      <w:r>
        <w:rPr>
          <w:rFonts w:hint="eastAsia" w:ascii="宋体" w:hAnsi="宋体" w:eastAsia="宋体" w:cs="宋体"/>
          <w:spacing w:val="17"/>
          <w:sz w:val="24"/>
          <w:szCs w:val="24"/>
        </w:rPr>
        <w:t xml:space="preserve"> </w:t>
      </w:r>
      <w:r>
        <w:rPr>
          <w:rFonts w:hint="eastAsia" w:ascii="宋体" w:hAnsi="宋体" w:eastAsia="宋体" w:cs="宋体"/>
          <w:spacing w:val="-3"/>
          <w:sz w:val="24"/>
          <w:szCs w:val="24"/>
        </w:rPr>
        <w:t>9mm</w:t>
      </w:r>
      <w:r>
        <w:rPr>
          <w:rFonts w:hint="eastAsia" w:ascii="宋体" w:hAnsi="宋体" w:eastAsia="宋体" w:cs="宋体"/>
          <w:spacing w:val="22"/>
          <w:sz w:val="24"/>
          <w:szCs w:val="24"/>
        </w:rPr>
        <w:t xml:space="preserve"> </w:t>
      </w:r>
      <w:r>
        <w:rPr>
          <w:rFonts w:hint="eastAsia" w:ascii="宋体" w:hAnsi="宋体" w:eastAsia="宋体" w:cs="宋体"/>
          <w:spacing w:val="-3"/>
          <w:sz w:val="24"/>
          <w:szCs w:val="24"/>
        </w:rPr>
        <w:t>石</w:t>
      </w:r>
      <w:r>
        <w:rPr>
          <w:rFonts w:hint="eastAsia" w:ascii="宋体" w:hAnsi="宋体" w:eastAsia="宋体" w:cs="宋体"/>
          <w:spacing w:val="-5"/>
          <w:sz w:val="24"/>
          <w:szCs w:val="24"/>
        </w:rPr>
        <w:t>膏双面封板，双面批刮腻子、双遍乳胶漆，配套定制暗门、异形</w:t>
      </w:r>
      <w:r>
        <w:rPr>
          <w:rFonts w:hint="eastAsia" w:ascii="宋体" w:hAnsi="宋体" w:eastAsia="宋体" w:cs="宋体"/>
          <w:spacing w:val="-7"/>
          <w:sz w:val="24"/>
          <w:szCs w:val="24"/>
        </w:rPr>
        <w:t>隐形收边，不得简化单面施工；</w:t>
      </w:r>
    </w:p>
    <w:p w14:paraId="4B7CC7C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0" w:firstLineChars="200"/>
        <w:jc w:val="both"/>
        <w:textAlignment w:val="baseline"/>
        <w:rPr>
          <w:rFonts w:hint="eastAsia" w:ascii="宋体" w:hAnsi="宋体" w:eastAsia="宋体" w:cs="宋体"/>
          <w:sz w:val="24"/>
          <w:szCs w:val="24"/>
        </w:rPr>
      </w:pPr>
      <w:r>
        <w:rPr>
          <w:rFonts w:hint="eastAsia" w:ascii="宋体" w:hAnsi="宋体" w:eastAsia="宋体" w:cs="宋体"/>
          <w:spacing w:val="-10"/>
          <w:sz w:val="24"/>
          <w:szCs w:val="24"/>
        </w:rPr>
        <w:t>玻璃钢雕塑（阳光娃娃、航天模型</w:t>
      </w:r>
      <w:r>
        <w:rPr>
          <w:rFonts w:hint="eastAsia" w:ascii="宋体" w:hAnsi="宋体" w:eastAsia="宋体" w:cs="宋体"/>
          <w:spacing w:val="-33"/>
          <w:sz w:val="24"/>
          <w:szCs w:val="24"/>
        </w:rPr>
        <w:t>）：</w:t>
      </w:r>
      <w:r>
        <w:rPr>
          <w:rFonts w:hint="eastAsia" w:ascii="宋体" w:hAnsi="宋体" w:eastAsia="宋体" w:cs="宋体"/>
          <w:spacing w:val="-10"/>
          <w:sz w:val="24"/>
          <w:szCs w:val="24"/>
        </w:rPr>
        <w:t>泥塑原模、硅胶硬模、</w:t>
      </w:r>
      <w:r>
        <w:rPr>
          <w:rFonts w:hint="eastAsia" w:ascii="宋体" w:hAnsi="宋体" w:eastAsia="宋体" w:cs="宋体"/>
          <w:spacing w:val="-5"/>
          <w:sz w:val="24"/>
          <w:szCs w:val="24"/>
        </w:rPr>
        <w:t>多层玻纤内置钢架加固，全套打磨底漆面漆，杜绝薄料易开裂工</w:t>
      </w:r>
      <w:r>
        <w:rPr>
          <w:rFonts w:hint="eastAsia" w:ascii="宋体" w:hAnsi="宋体" w:eastAsia="宋体" w:cs="宋体"/>
          <w:spacing w:val="-24"/>
          <w:sz w:val="24"/>
          <w:szCs w:val="24"/>
        </w:rPr>
        <w:t>艺；</w:t>
      </w:r>
    </w:p>
    <w:p w14:paraId="2A8EC7A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安装标准：全部采用不锈钢隐形挂件 +</w:t>
      </w:r>
      <w:r>
        <w:rPr>
          <w:rFonts w:hint="eastAsia" w:ascii="宋体" w:hAnsi="宋体" w:eastAsia="宋体" w:cs="宋体"/>
          <w:spacing w:val="42"/>
          <w:sz w:val="24"/>
          <w:szCs w:val="24"/>
        </w:rPr>
        <w:t xml:space="preserve"> </w:t>
      </w:r>
      <w:r>
        <w:rPr>
          <w:rFonts w:hint="eastAsia" w:ascii="宋体" w:hAnsi="宋体" w:eastAsia="宋体" w:cs="宋体"/>
          <w:spacing w:val="-6"/>
          <w:sz w:val="24"/>
          <w:szCs w:val="24"/>
        </w:rPr>
        <w:t>防腐膨胀螺栓固定，</w:t>
      </w:r>
      <w:r>
        <w:rPr>
          <w:rFonts w:hint="eastAsia" w:ascii="宋体" w:hAnsi="宋体" w:eastAsia="宋体" w:cs="宋体"/>
          <w:spacing w:val="-4"/>
          <w:sz w:val="24"/>
          <w:szCs w:val="24"/>
        </w:rPr>
        <w:t>水平校准、垂直定位，墙面不打孔破损原有管线，成品完整</w:t>
      </w:r>
      <w:r>
        <w:rPr>
          <w:rFonts w:hint="eastAsia" w:ascii="宋体" w:hAnsi="宋体" w:eastAsia="宋体" w:cs="宋体"/>
          <w:spacing w:val="-5"/>
          <w:sz w:val="24"/>
          <w:szCs w:val="24"/>
        </w:rPr>
        <w:t>无磕</w:t>
      </w:r>
      <w:r>
        <w:rPr>
          <w:rFonts w:hint="eastAsia" w:ascii="宋体" w:hAnsi="宋体" w:eastAsia="宋体" w:cs="宋体"/>
          <w:spacing w:val="-16"/>
          <w:sz w:val="24"/>
          <w:szCs w:val="24"/>
        </w:rPr>
        <w:t>碰划痕；</w:t>
      </w:r>
    </w:p>
    <w:p w14:paraId="10E3C19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AI</w:t>
      </w:r>
      <w:r>
        <w:rPr>
          <w:rFonts w:hint="eastAsia" w:ascii="宋体" w:hAnsi="宋体" w:eastAsia="宋体" w:cs="宋体"/>
          <w:spacing w:val="2"/>
          <w:sz w:val="24"/>
          <w:szCs w:val="24"/>
        </w:rPr>
        <w:t xml:space="preserve"> 互动装置、灯具布线规范，符合校园用电安全规范，绝</w:t>
      </w:r>
      <w:r>
        <w:rPr>
          <w:rFonts w:hint="eastAsia" w:ascii="宋体" w:hAnsi="宋体" w:eastAsia="宋体" w:cs="宋体"/>
          <w:spacing w:val="-9"/>
          <w:sz w:val="24"/>
          <w:szCs w:val="24"/>
        </w:rPr>
        <w:t>缘保护到位。</w:t>
      </w:r>
    </w:p>
    <w:p w14:paraId="288BC1A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4.3 材料成品保护</w:t>
      </w:r>
    </w:p>
    <w:p w14:paraId="1A7D1DF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施工期间对学校原有墙面、门窗、扶手、地面、教学设施全</w:t>
      </w:r>
      <w:r>
        <w:rPr>
          <w:rFonts w:hint="eastAsia" w:ascii="宋体" w:hAnsi="宋体" w:eastAsia="宋体" w:cs="宋体"/>
          <w:spacing w:val="-12"/>
          <w:sz w:val="24"/>
          <w:szCs w:val="24"/>
        </w:rPr>
        <w:t>覆盖保护；施工造成原有设施破损，乙方无条件修复并赔偿损失；</w:t>
      </w:r>
    </w:p>
    <w:p w14:paraId="3E518A6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成品文化造型上墙后覆盖保护膜，竣工保洁前不得撕除；搬</w:t>
      </w:r>
      <w:r>
        <w:rPr>
          <w:rFonts w:hint="eastAsia" w:ascii="宋体" w:hAnsi="宋体" w:eastAsia="宋体" w:cs="宋体"/>
          <w:spacing w:val="-4"/>
          <w:sz w:val="24"/>
          <w:szCs w:val="24"/>
        </w:rPr>
        <w:t>运、安装磕碰划伤，乙方拆除重做。</w:t>
      </w:r>
    </w:p>
    <w:p w14:paraId="286EC18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4.4</w:t>
      </w:r>
      <w:r>
        <w:rPr>
          <w:rFonts w:hint="eastAsia" w:ascii="宋体" w:hAnsi="宋体" w:eastAsia="宋体" w:cs="宋体"/>
          <w:spacing w:val="23"/>
          <w:sz w:val="24"/>
          <w:szCs w:val="24"/>
        </w:rPr>
        <w:t xml:space="preserve"> </w:t>
      </w:r>
      <w:r>
        <w:rPr>
          <w:rFonts w:hint="eastAsia" w:ascii="宋体" w:hAnsi="宋体" w:eastAsia="宋体" w:cs="宋体"/>
          <w:spacing w:val="-4"/>
          <w:sz w:val="24"/>
          <w:szCs w:val="24"/>
        </w:rPr>
        <w:t>垃圾清运</w:t>
      </w:r>
    </w:p>
    <w:p w14:paraId="60E9A21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施工垃圾每日袋装集中转运至一楼指定堆放点，专车外运离</w:t>
      </w:r>
      <w:r>
        <w:rPr>
          <w:rFonts w:hint="eastAsia" w:ascii="宋体" w:hAnsi="宋体" w:eastAsia="宋体" w:cs="宋体"/>
          <w:spacing w:val="-4"/>
          <w:sz w:val="24"/>
          <w:szCs w:val="24"/>
        </w:rPr>
        <w:t>校，场内不得长期堆积垃圾；竣工后全屋深度保洁，无胶渍、油</w:t>
      </w:r>
      <w:r>
        <w:rPr>
          <w:rFonts w:hint="eastAsia" w:ascii="宋体" w:hAnsi="宋体" w:eastAsia="宋体" w:cs="宋体"/>
          <w:spacing w:val="-8"/>
          <w:sz w:val="24"/>
          <w:szCs w:val="24"/>
        </w:rPr>
        <w:t>漆、粉尘废料。</w:t>
      </w:r>
    </w:p>
    <w:p w14:paraId="6D7C00A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第五条 双方权利与义务</w:t>
      </w:r>
    </w:p>
    <w:p w14:paraId="454B1EE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8" w:firstLineChars="200"/>
        <w:textAlignment w:val="baseline"/>
        <w:rPr>
          <w:rFonts w:hint="eastAsia" w:ascii="宋体" w:hAnsi="宋体" w:eastAsia="宋体" w:cs="宋体"/>
          <w:sz w:val="24"/>
          <w:szCs w:val="24"/>
        </w:rPr>
      </w:pPr>
      <w:r>
        <w:rPr>
          <w:rFonts w:hint="eastAsia" w:ascii="宋体" w:hAnsi="宋体" w:eastAsia="宋体" w:cs="宋体"/>
          <w:spacing w:val="-8"/>
          <w:sz w:val="24"/>
          <w:szCs w:val="24"/>
        </w:rPr>
        <w:t>5.1</w:t>
      </w:r>
      <w:r>
        <w:rPr>
          <w:rFonts w:hint="eastAsia" w:ascii="宋体" w:hAnsi="宋体" w:eastAsia="宋体" w:cs="宋体"/>
          <w:spacing w:val="64"/>
          <w:sz w:val="24"/>
          <w:szCs w:val="24"/>
        </w:rPr>
        <w:t xml:space="preserve"> </w:t>
      </w:r>
      <w:r>
        <w:rPr>
          <w:rFonts w:hint="eastAsia" w:ascii="宋体" w:hAnsi="宋体" w:eastAsia="宋体" w:cs="宋体"/>
          <w:spacing w:val="-8"/>
          <w:sz w:val="24"/>
          <w:szCs w:val="24"/>
        </w:rPr>
        <w:t>甲方权利义务</w:t>
      </w:r>
    </w:p>
    <w:p w14:paraId="5A0D6B7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提供施工条件：开工前移交施工场地，协调校内各部门，划</w:t>
      </w:r>
      <w:r>
        <w:rPr>
          <w:rFonts w:hint="eastAsia" w:ascii="宋体" w:hAnsi="宋体" w:eastAsia="宋体" w:cs="宋体"/>
          <w:spacing w:val="-2"/>
          <w:sz w:val="24"/>
          <w:szCs w:val="24"/>
        </w:rPr>
        <w:t>定材料堆放区、垃圾堆放区；协调施工水电。</w:t>
      </w:r>
    </w:p>
    <w:p w14:paraId="56CF688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现场对接：指派专职对接人，3 个工作日内答复乙方施工、</w:t>
      </w:r>
      <w:r>
        <w:rPr>
          <w:rFonts w:hint="eastAsia" w:ascii="宋体" w:hAnsi="宋体" w:eastAsia="宋体" w:cs="宋体"/>
          <w:spacing w:val="-4"/>
          <w:sz w:val="24"/>
          <w:szCs w:val="24"/>
        </w:rPr>
        <w:t>变更问询；隐蔽工程、分部分项接到乙方通知 24 小时</w:t>
      </w:r>
      <w:r>
        <w:rPr>
          <w:rFonts w:hint="eastAsia" w:ascii="宋体" w:hAnsi="宋体" w:eastAsia="宋体" w:cs="宋体"/>
          <w:spacing w:val="-5"/>
          <w:sz w:val="24"/>
          <w:szCs w:val="24"/>
        </w:rPr>
        <w:t>内到场验</w:t>
      </w:r>
      <w:r>
        <w:rPr>
          <w:rFonts w:hint="eastAsia" w:ascii="宋体" w:hAnsi="宋体" w:eastAsia="宋体" w:cs="宋体"/>
          <w:spacing w:val="-8"/>
          <w:sz w:val="24"/>
          <w:szCs w:val="24"/>
        </w:rPr>
        <w:t>收，逾期视为默认合格；</w:t>
      </w:r>
    </w:p>
    <w:p w14:paraId="54FD67A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设计变更：如需调整造型、尺寸、增减工程量，出具加盖公</w:t>
      </w:r>
      <w:r>
        <w:rPr>
          <w:rFonts w:hint="eastAsia" w:ascii="宋体" w:hAnsi="宋体" w:eastAsia="宋体" w:cs="宋体"/>
          <w:spacing w:val="-4"/>
          <w:sz w:val="24"/>
          <w:szCs w:val="24"/>
        </w:rPr>
        <w:t>章《工程变更签证单》，双方确认增减价款后方可施</w:t>
      </w:r>
      <w:r>
        <w:rPr>
          <w:rFonts w:hint="eastAsia" w:ascii="宋体" w:hAnsi="宋体" w:eastAsia="宋体" w:cs="宋体"/>
          <w:spacing w:val="-5"/>
          <w:sz w:val="24"/>
          <w:szCs w:val="24"/>
        </w:rPr>
        <w:t>工；无书面</w:t>
      </w:r>
      <w:r>
        <w:rPr>
          <w:rFonts w:hint="eastAsia" w:ascii="宋体" w:hAnsi="宋体" w:eastAsia="宋体" w:cs="宋体"/>
          <w:spacing w:val="-6"/>
          <w:sz w:val="24"/>
          <w:szCs w:val="24"/>
        </w:rPr>
        <w:t>变更，乙方不得擅自改动图纸清单；</w:t>
      </w:r>
    </w:p>
    <w:p w14:paraId="37B27D3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按时付款：严格按合同节点、收到合规发票后支付工程款；</w:t>
      </w:r>
    </w:p>
    <w:p w14:paraId="1B3E728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pacing w:val="-22"/>
          <w:sz w:val="24"/>
          <w:szCs w:val="24"/>
        </w:rPr>
      </w:pPr>
      <w:r>
        <w:rPr>
          <w:rFonts w:hint="eastAsia" w:ascii="宋体" w:hAnsi="宋体" w:eastAsia="宋体" w:cs="宋体"/>
          <w:spacing w:val="-5"/>
          <w:sz w:val="24"/>
          <w:szCs w:val="24"/>
        </w:rPr>
        <w:t>监督检查：甲方有权随时进入施工现场检查材料、工艺、安</w:t>
      </w:r>
      <w:r>
        <w:rPr>
          <w:rFonts w:hint="eastAsia" w:ascii="宋体" w:hAnsi="宋体" w:eastAsia="宋体" w:cs="宋体"/>
          <w:spacing w:val="-4"/>
          <w:sz w:val="24"/>
          <w:szCs w:val="24"/>
        </w:rPr>
        <w:t>全，发现减配、偷工、简化工序，有权要求停工整改，工</w:t>
      </w:r>
      <w:r>
        <w:rPr>
          <w:rFonts w:hint="eastAsia" w:ascii="宋体" w:hAnsi="宋体" w:eastAsia="宋体" w:cs="宋体"/>
          <w:spacing w:val="-5"/>
          <w:sz w:val="24"/>
          <w:szCs w:val="24"/>
        </w:rPr>
        <w:t>期不顺</w:t>
      </w:r>
      <w:r>
        <w:rPr>
          <w:rFonts w:hint="eastAsia" w:ascii="宋体" w:hAnsi="宋体" w:eastAsia="宋体" w:cs="宋体"/>
          <w:spacing w:val="-22"/>
          <w:sz w:val="24"/>
          <w:szCs w:val="24"/>
        </w:rPr>
        <w:t>延；</w:t>
      </w:r>
    </w:p>
    <w:p w14:paraId="0B5A044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2" w:firstLineChars="200"/>
        <w:jc w:val="both"/>
        <w:textAlignment w:val="baseline"/>
        <w:rPr>
          <w:rFonts w:hint="eastAsia" w:ascii="宋体" w:hAnsi="宋体" w:eastAsia="宋体" w:cs="宋体"/>
          <w:sz w:val="24"/>
          <w:szCs w:val="24"/>
        </w:rPr>
      </w:pPr>
      <w:r>
        <w:rPr>
          <w:rFonts w:hint="eastAsia" w:ascii="宋体" w:hAnsi="宋体" w:eastAsia="宋体" w:cs="宋体"/>
          <w:spacing w:val="-7"/>
          <w:sz w:val="24"/>
          <w:szCs w:val="24"/>
        </w:rPr>
        <w:t>竣工验收：乙方提交验收资料后 7 个工作日组织联合验收，</w:t>
      </w:r>
      <w:r>
        <w:rPr>
          <w:rFonts w:hint="eastAsia" w:ascii="宋体" w:hAnsi="宋体" w:eastAsia="宋体" w:cs="宋体"/>
          <w:spacing w:val="-6"/>
          <w:sz w:val="24"/>
          <w:szCs w:val="24"/>
        </w:rPr>
        <w:t>出具整改清单，乙方限期整改。</w:t>
      </w:r>
    </w:p>
    <w:p w14:paraId="61B7AAA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5.2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乙方权利义务</w:t>
      </w:r>
    </w:p>
    <w:p w14:paraId="437F7C5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施工组织：开工前3日提交《施工组织方案》《安全文明</w:t>
      </w:r>
      <w:r>
        <w:rPr>
          <w:rFonts w:hint="eastAsia" w:ascii="宋体" w:hAnsi="宋体" w:eastAsia="宋体" w:cs="宋体"/>
          <w:spacing w:val="-4"/>
          <w:sz w:val="24"/>
          <w:szCs w:val="24"/>
        </w:rPr>
        <w:t>施工方案》《人员花名册》，明确项目经理、安全员、技工；所</w:t>
      </w:r>
      <w:r>
        <w:rPr>
          <w:rFonts w:hint="eastAsia" w:ascii="宋体" w:hAnsi="宋体" w:eastAsia="宋体" w:cs="宋体"/>
          <w:spacing w:val="-8"/>
          <w:sz w:val="24"/>
          <w:szCs w:val="24"/>
        </w:rPr>
        <w:t>有施工人员持证上岗；</w:t>
      </w:r>
    </w:p>
    <w:p w14:paraId="43AB9E1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工期管控：合理调配工人、材料，提前备货避免停工；每周</w:t>
      </w:r>
      <w:r>
        <w:rPr>
          <w:rFonts w:hint="eastAsia" w:ascii="宋体" w:hAnsi="宋体" w:eastAsia="宋体" w:cs="宋体"/>
          <w:spacing w:val="-10"/>
          <w:sz w:val="24"/>
          <w:szCs w:val="24"/>
        </w:rPr>
        <w:t>向甲方报送施工进度周报；</w:t>
      </w:r>
    </w:p>
    <w:p w14:paraId="0E178FC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z w:val="24"/>
          <w:szCs w:val="24"/>
        </w:rPr>
      </w:pPr>
      <w:r>
        <w:rPr>
          <w:rFonts w:hint="eastAsia" w:ascii="宋体" w:hAnsi="宋体" w:eastAsia="宋体" w:cs="宋体"/>
          <w:spacing w:val="-4"/>
          <w:sz w:val="24"/>
          <w:szCs w:val="24"/>
        </w:rPr>
        <w:t>质量终身负责：严格执行封样材料、清单工艺、图纸效果；任何工序减配、降标，甲方有权无条件要求拆除返工，全部</w:t>
      </w:r>
      <w:r>
        <w:rPr>
          <w:rFonts w:hint="eastAsia" w:ascii="宋体" w:hAnsi="宋体" w:eastAsia="宋体" w:cs="宋体"/>
          <w:spacing w:val="-5"/>
          <w:sz w:val="24"/>
          <w:szCs w:val="24"/>
        </w:rPr>
        <w:t>人工</w:t>
      </w:r>
      <w:r>
        <w:rPr>
          <w:rFonts w:hint="eastAsia" w:ascii="宋体" w:hAnsi="宋体" w:eastAsia="宋体" w:cs="宋体"/>
          <w:spacing w:val="-3"/>
          <w:sz w:val="24"/>
          <w:szCs w:val="24"/>
        </w:rPr>
        <w:t>材料成本乙方承担，且支付合同总价 5% 违约金；</w:t>
      </w:r>
    </w:p>
    <w:p w14:paraId="699B5B3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92"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安全文明施工（重点</w:t>
      </w:r>
      <w:r>
        <w:rPr>
          <w:rFonts w:hint="eastAsia" w:ascii="宋体" w:hAnsi="宋体" w:eastAsia="宋体" w:cs="宋体"/>
          <w:spacing w:val="-20"/>
          <w:sz w:val="24"/>
          <w:szCs w:val="24"/>
        </w:rPr>
        <w:t>）（</w:t>
      </w:r>
      <w:r>
        <w:rPr>
          <w:rFonts w:hint="eastAsia" w:ascii="宋体" w:hAnsi="宋体" w:eastAsia="宋体" w:cs="宋体"/>
          <w:spacing w:val="3"/>
          <w:sz w:val="24"/>
          <w:szCs w:val="24"/>
        </w:rPr>
        <w:t>1）乙方为本项目安全生</w:t>
      </w:r>
      <w:r>
        <w:rPr>
          <w:rFonts w:hint="eastAsia" w:ascii="宋体" w:hAnsi="宋体" w:eastAsia="宋体" w:cs="宋体"/>
          <w:spacing w:val="2"/>
          <w:sz w:val="24"/>
          <w:szCs w:val="24"/>
        </w:rPr>
        <w:t>产第一责</w:t>
      </w:r>
      <w:r>
        <w:rPr>
          <w:rFonts w:hint="eastAsia" w:ascii="宋体" w:hAnsi="宋体" w:eastAsia="宋体" w:cs="宋体"/>
          <w:spacing w:val="-4"/>
          <w:sz w:val="24"/>
          <w:szCs w:val="24"/>
        </w:rPr>
        <w:t>任主体，施工期间所有工伤、意外、第三方人身财产损害全</w:t>
      </w:r>
      <w:r>
        <w:rPr>
          <w:rFonts w:hint="eastAsia" w:ascii="宋体" w:hAnsi="宋体" w:eastAsia="宋体" w:cs="宋体"/>
          <w:spacing w:val="-5"/>
          <w:sz w:val="24"/>
          <w:szCs w:val="24"/>
        </w:rPr>
        <w:t>部由</w:t>
      </w:r>
      <w:r>
        <w:rPr>
          <w:rFonts w:hint="eastAsia" w:ascii="宋体" w:hAnsi="宋体" w:eastAsia="宋体" w:cs="宋体"/>
          <w:spacing w:val="3"/>
          <w:sz w:val="24"/>
          <w:szCs w:val="24"/>
        </w:rPr>
        <w:t>乙方承担赔偿</w:t>
      </w:r>
      <w:r>
        <w:rPr>
          <w:rFonts w:hint="eastAsia" w:ascii="宋体" w:hAnsi="宋体" w:eastAsia="宋体" w:cs="宋体"/>
          <w:spacing w:val="-20"/>
          <w:sz w:val="24"/>
          <w:szCs w:val="24"/>
        </w:rPr>
        <w:t>；（</w:t>
      </w:r>
      <w:r>
        <w:rPr>
          <w:rFonts w:hint="eastAsia" w:ascii="宋体" w:hAnsi="宋体" w:eastAsia="宋体" w:cs="宋体"/>
          <w:spacing w:val="3"/>
          <w:sz w:val="24"/>
          <w:szCs w:val="24"/>
        </w:rPr>
        <w:t>2）校园施工采取降噪措施，上课时段</w:t>
      </w:r>
      <w:r>
        <w:rPr>
          <w:rFonts w:hint="eastAsia" w:ascii="宋体" w:hAnsi="宋体" w:eastAsia="宋体" w:cs="宋体"/>
          <w:spacing w:val="2"/>
          <w:sz w:val="24"/>
          <w:szCs w:val="24"/>
        </w:rPr>
        <w:t>禁止切</w:t>
      </w:r>
      <w:r>
        <w:rPr>
          <w:rFonts w:hint="eastAsia" w:ascii="宋体" w:hAnsi="宋体" w:eastAsia="宋体" w:cs="宋体"/>
          <w:spacing w:val="-4"/>
          <w:sz w:val="24"/>
          <w:szCs w:val="24"/>
        </w:rPr>
        <w:t>割、打磨高分贝作业；设置安全警示围挡，禁止学生进入施</w:t>
      </w:r>
      <w:r>
        <w:rPr>
          <w:rFonts w:hint="eastAsia" w:ascii="宋体" w:hAnsi="宋体" w:eastAsia="宋体" w:cs="宋体"/>
          <w:spacing w:val="-5"/>
          <w:sz w:val="24"/>
          <w:szCs w:val="24"/>
        </w:rPr>
        <w:t>工区</w:t>
      </w:r>
      <w:r>
        <w:rPr>
          <w:rFonts w:hint="eastAsia" w:ascii="宋体" w:hAnsi="宋体" w:eastAsia="宋体" w:cs="宋体"/>
          <w:spacing w:val="3"/>
          <w:sz w:val="24"/>
          <w:szCs w:val="24"/>
        </w:rPr>
        <w:t>域</w:t>
      </w:r>
      <w:r>
        <w:rPr>
          <w:rFonts w:hint="eastAsia" w:ascii="宋体" w:hAnsi="宋体" w:eastAsia="宋体" w:cs="宋体"/>
          <w:spacing w:val="-20"/>
          <w:sz w:val="24"/>
          <w:szCs w:val="24"/>
        </w:rPr>
        <w:t>；（</w:t>
      </w:r>
      <w:r>
        <w:rPr>
          <w:rFonts w:hint="eastAsia" w:ascii="宋体" w:hAnsi="宋体" w:eastAsia="宋体" w:cs="宋体"/>
          <w:spacing w:val="3"/>
          <w:sz w:val="24"/>
          <w:szCs w:val="24"/>
        </w:rPr>
        <w:t>3）施工人员统一着装，不与师生发生冲突，遵守</w:t>
      </w:r>
      <w:r>
        <w:rPr>
          <w:rFonts w:hint="eastAsia" w:ascii="宋体" w:hAnsi="宋体" w:eastAsia="宋体" w:cs="宋体"/>
          <w:spacing w:val="2"/>
          <w:sz w:val="24"/>
          <w:szCs w:val="24"/>
        </w:rPr>
        <w:t>学校管</w:t>
      </w:r>
      <w:r>
        <w:rPr>
          <w:rFonts w:hint="eastAsia" w:ascii="宋体" w:hAnsi="宋体" w:eastAsia="宋体" w:cs="宋体"/>
          <w:sz w:val="24"/>
          <w:szCs w:val="24"/>
        </w:rPr>
        <w:t>理规章制度</w:t>
      </w:r>
      <w:r>
        <w:rPr>
          <w:rFonts w:hint="eastAsia" w:ascii="宋体" w:hAnsi="宋体" w:eastAsia="宋体" w:cs="宋体"/>
          <w:spacing w:val="-20"/>
          <w:sz w:val="24"/>
          <w:szCs w:val="24"/>
        </w:rPr>
        <w:t>；（</w:t>
      </w:r>
      <w:r>
        <w:rPr>
          <w:rFonts w:hint="eastAsia" w:ascii="宋体" w:hAnsi="宋体" w:eastAsia="宋体" w:cs="宋体"/>
          <w:sz w:val="24"/>
          <w:szCs w:val="24"/>
        </w:rPr>
        <w:t>4）</w:t>
      </w:r>
      <w:r>
        <w:rPr>
          <w:rFonts w:hint="eastAsia" w:ascii="宋体" w:hAnsi="宋体" w:eastAsia="宋体" w:cs="宋体"/>
          <w:spacing w:val="-69"/>
          <w:sz w:val="24"/>
          <w:szCs w:val="24"/>
        </w:rPr>
        <w:t xml:space="preserve"> </w:t>
      </w:r>
      <w:r>
        <w:rPr>
          <w:rFonts w:hint="eastAsia" w:ascii="宋体" w:hAnsi="宋体" w:eastAsia="宋体" w:cs="宋体"/>
          <w:sz w:val="24"/>
          <w:szCs w:val="24"/>
        </w:rPr>
        <w:t>自备灭火器等消防器材，油</w:t>
      </w:r>
      <w:r>
        <w:rPr>
          <w:rFonts w:hint="eastAsia" w:ascii="宋体" w:hAnsi="宋体" w:eastAsia="宋体" w:cs="宋体"/>
          <w:spacing w:val="-1"/>
          <w:sz w:val="24"/>
          <w:szCs w:val="24"/>
        </w:rPr>
        <w:t>漆、板材分开存</w:t>
      </w:r>
      <w:r>
        <w:rPr>
          <w:rFonts w:hint="eastAsia" w:ascii="宋体" w:hAnsi="宋体" w:eastAsia="宋体" w:cs="宋体"/>
          <w:spacing w:val="-9"/>
          <w:sz w:val="24"/>
          <w:szCs w:val="24"/>
        </w:rPr>
        <w:t>放，杜绝消防隐患；</w:t>
      </w:r>
    </w:p>
    <w:p w14:paraId="688F5BD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资料交付：竣工同步交付完整竣工资料：材料合格证、板材</w:t>
      </w:r>
      <w:r>
        <w:rPr>
          <w:rFonts w:hint="eastAsia" w:ascii="宋体" w:hAnsi="宋体" w:eastAsia="宋体" w:cs="宋体"/>
          <w:spacing w:val="-3"/>
          <w:sz w:val="24"/>
          <w:szCs w:val="24"/>
        </w:rPr>
        <w:t>密度检测报告、油漆环保检测报告、竣工图纸、隐蔽验收记录、</w:t>
      </w:r>
      <w:r>
        <w:rPr>
          <w:rFonts w:hint="eastAsia" w:ascii="宋体" w:hAnsi="宋体" w:eastAsia="宋体" w:cs="宋体"/>
          <w:spacing w:val="-13"/>
          <w:sz w:val="24"/>
          <w:szCs w:val="24"/>
        </w:rPr>
        <w:t>质保承诺书；</w:t>
      </w:r>
    </w:p>
    <w:p w14:paraId="747EBAC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售后质保：质保期内接到甲方维修通知 24 小时响应，48</w:t>
      </w:r>
      <w:r>
        <w:rPr>
          <w:rFonts w:hint="eastAsia" w:ascii="宋体" w:hAnsi="宋体" w:eastAsia="宋体" w:cs="宋体"/>
          <w:spacing w:val="38"/>
          <w:sz w:val="24"/>
          <w:szCs w:val="24"/>
        </w:rPr>
        <w:t xml:space="preserve"> </w:t>
      </w:r>
      <w:r>
        <w:rPr>
          <w:rFonts w:hint="eastAsia" w:ascii="宋体" w:hAnsi="宋体" w:eastAsia="宋体" w:cs="宋体"/>
          <w:spacing w:val="-11"/>
          <w:sz w:val="24"/>
          <w:szCs w:val="24"/>
        </w:rPr>
        <w:t>小</w:t>
      </w:r>
      <w:r>
        <w:rPr>
          <w:rFonts w:hint="eastAsia" w:ascii="宋体" w:hAnsi="宋体" w:eastAsia="宋体" w:cs="宋体"/>
          <w:spacing w:val="-5"/>
          <w:sz w:val="24"/>
          <w:szCs w:val="24"/>
        </w:rPr>
        <w:t>时抵达现场免费维修更换；人为损坏仅收取材料成本；</w:t>
      </w:r>
    </w:p>
    <w:p w14:paraId="7C13603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z w:val="24"/>
          <w:szCs w:val="24"/>
        </w:rPr>
      </w:pPr>
      <w:r>
        <w:rPr>
          <w:rFonts w:hint="eastAsia" w:ascii="宋体" w:hAnsi="宋体" w:eastAsia="宋体" w:cs="宋体"/>
          <w:spacing w:val="-4"/>
          <w:sz w:val="24"/>
          <w:szCs w:val="24"/>
        </w:rPr>
        <w:t>禁止转包分包：本工程严禁整体转包、拆分分包给第三方，</w:t>
      </w:r>
      <w:r>
        <w:rPr>
          <w:rFonts w:hint="eastAsia" w:ascii="宋体" w:hAnsi="宋体" w:eastAsia="宋体" w:cs="宋体"/>
          <w:spacing w:val="1"/>
          <w:sz w:val="24"/>
          <w:szCs w:val="24"/>
        </w:rPr>
        <w:t>一经发现甲方有权单方解除合同，乙方支付合同总价 20% 违约</w:t>
      </w:r>
      <w:r>
        <w:rPr>
          <w:rFonts w:hint="eastAsia" w:ascii="宋体" w:hAnsi="宋体" w:eastAsia="宋体" w:cs="宋体"/>
          <w:spacing w:val="-4"/>
          <w:sz w:val="24"/>
          <w:szCs w:val="24"/>
        </w:rPr>
        <w:t>金，已完工工程量仅按 60%</w:t>
      </w:r>
      <w:r>
        <w:rPr>
          <w:rFonts w:hint="eastAsia" w:ascii="宋体" w:hAnsi="宋体" w:eastAsia="宋体" w:cs="宋体"/>
          <w:spacing w:val="28"/>
          <w:sz w:val="24"/>
          <w:szCs w:val="24"/>
        </w:rPr>
        <w:t xml:space="preserve"> </w:t>
      </w:r>
      <w:r>
        <w:rPr>
          <w:rFonts w:hint="eastAsia" w:ascii="宋体" w:hAnsi="宋体" w:eastAsia="宋体" w:cs="宋体"/>
          <w:spacing w:val="-4"/>
          <w:sz w:val="24"/>
          <w:szCs w:val="24"/>
        </w:rPr>
        <w:t>结算。</w:t>
      </w:r>
    </w:p>
    <w:p w14:paraId="04466BA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第六条 工程变更、现场签证管理</w:t>
      </w:r>
    </w:p>
    <w:p w14:paraId="685475F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jc w:val="both"/>
        <w:textAlignment w:val="baseline"/>
        <w:rPr>
          <w:rFonts w:hint="eastAsia" w:ascii="宋体" w:hAnsi="宋体" w:eastAsia="宋体" w:cs="宋体"/>
          <w:spacing w:val="-4"/>
          <w:sz w:val="24"/>
          <w:szCs w:val="24"/>
        </w:rPr>
      </w:pPr>
      <w:r>
        <w:rPr>
          <w:rFonts w:hint="eastAsia" w:ascii="宋体" w:hAnsi="宋体" w:eastAsia="宋体" w:cs="宋体"/>
          <w:spacing w:val="-6"/>
          <w:sz w:val="24"/>
          <w:szCs w:val="24"/>
        </w:rPr>
        <w:t>6.1 仅甲方书面盖章《工程变更单》为有效增 / 减项依据，</w:t>
      </w:r>
      <w:r>
        <w:rPr>
          <w:rFonts w:hint="eastAsia" w:ascii="宋体" w:hAnsi="宋体" w:eastAsia="宋体" w:cs="宋体"/>
          <w:spacing w:val="-4"/>
          <w:sz w:val="24"/>
          <w:szCs w:val="24"/>
        </w:rPr>
        <w:t>微信、口头、临时调整均不计入结算；</w:t>
      </w:r>
    </w:p>
    <w:p w14:paraId="10C4910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pacing w:val="-3"/>
          <w:sz w:val="24"/>
          <w:szCs w:val="24"/>
        </w:rPr>
      </w:pPr>
      <w:r>
        <w:rPr>
          <w:rFonts w:hint="eastAsia" w:ascii="宋体" w:hAnsi="宋体" w:eastAsia="宋体" w:cs="宋体"/>
          <w:spacing w:val="-4"/>
          <w:sz w:val="24"/>
          <w:szCs w:val="24"/>
        </w:rPr>
        <w:t>6.2 变更计价规则：清单内已有相同子目，按原单价；清单无对应子目，双方提前协</w:t>
      </w:r>
      <w:r>
        <w:rPr>
          <w:rFonts w:hint="eastAsia" w:ascii="宋体" w:hAnsi="宋体" w:eastAsia="宋体" w:cs="宋体"/>
          <w:spacing w:val="-5"/>
          <w:sz w:val="24"/>
          <w:szCs w:val="24"/>
        </w:rPr>
        <w:t>商确</w:t>
      </w:r>
      <w:r>
        <w:rPr>
          <w:rFonts w:hint="eastAsia" w:ascii="宋体" w:hAnsi="宋体" w:eastAsia="宋体" w:cs="宋体"/>
          <w:spacing w:val="-3"/>
          <w:sz w:val="24"/>
          <w:szCs w:val="24"/>
        </w:rPr>
        <w:t>认综合单价后施工，事后不予议价；</w:t>
      </w:r>
    </w:p>
    <w:p w14:paraId="23F6E71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6.3</w:t>
      </w:r>
      <w:r>
        <w:rPr>
          <w:rFonts w:hint="eastAsia" w:ascii="宋体" w:hAnsi="宋体" w:eastAsia="宋体" w:cs="宋体"/>
          <w:spacing w:val="60"/>
          <w:sz w:val="24"/>
          <w:szCs w:val="24"/>
        </w:rPr>
        <w:t xml:space="preserve"> </w:t>
      </w:r>
      <w:r>
        <w:rPr>
          <w:rFonts w:hint="eastAsia" w:ascii="宋体" w:hAnsi="宋体" w:eastAsia="宋体" w:cs="宋体"/>
          <w:spacing w:val="-3"/>
          <w:sz w:val="24"/>
          <w:szCs w:val="24"/>
        </w:rPr>
        <w:t>因变更产生工期增减，</w:t>
      </w:r>
      <w:r>
        <w:rPr>
          <w:rFonts w:hint="eastAsia" w:ascii="宋体" w:hAnsi="宋体" w:eastAsia="宋体" w:cs="宋体"/>
          <w:spacing w:val="-4"/>
          <w:sz w:val="24"/>
          <w:szCs w:val="24"/>
        </w:rPr>
        <w:t>同步在签证单注明；乙方未确认价款擅自施工，甲方有权不</w:t>
      </w:r>
      <w:r>
        <w:rPr>
          <w:rFonts w:hint="eastAsia" w:ascii="宋体" w:hAnsi="宋体" w:eastAsia="宋体" w:cs="宋体"/>
          <w:spacing w:val="-5"/>
          <w:sz w:val="24"/>
          <w:szCs w:val="24"/>
        </w:rPr>
        <w:t>予支</w:t>
      </w:r>
      <w:r>
        <w:rPr>
          <w:rFonts w:hint="eastAsia" w:ascii="宋体" w:hAnsi="宋体" w:eastAsia="宋体" w:cs="宋体"/>
          <w:spacing w:val="-9"/>
          <w:sz w:val="24"/>
          <w:szCs w:val="24"/>
        </w:rPr>
        <w:t>付增项费用。</w:t>
      </w:r>
    </w:p>
    <w:p w14:paraId="63D0FA6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第七条 工程验收规范（分三级验收）</w:t>
      </w:r>
    </w:p>
    <w:p w14:paraId="2CCA214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7.1</w:t>
      </w:r>
      <w:r>
        <w:rPr>
          <w:rFonts w:hint="eastAsia" w:ascii="宋体" w:hAnsi="宋体" w:eastAsia="宋体" w:cs="宋体"/>
          <w:spacing w:val="44"/>
          <w:sz w:val="24"/>
          <w:szCs w:val="24"/>
        </w:rPr>
        <w:t xml:space="preserve"> </w:t>
      </w:r>
      <w:r>
        <w:rPr>
          <w:rFonts w:hint="eastAsia" w:ascii="宋体" w:hAnsi="宋体" w:eastAsia="宋体" w:cs="宋体"/>
          <w:spacing w:val="-11"/>
          <w:sz w:val="24"/>
          <w:szCs w:val="24"/>
        </w:rPr>
        <w:t>隐蔽工程验收（拆除、墙面找平、隔断骨架、预埋布线）</w:t>
      </w:r>
    </w:p>
    <w:p w14:paraId="60EA80C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每道隐蔽工序完工，乙方书面通知甲方验收，验收签字后方</w:t>
      </w:r>
      <w:r>
        <w:rPr>
          <w:rFonts w:hint="eastAsia" w:ascii="宋体" w:hAnsi="宋体" w:eastAsia="宋体" w:cs="宋体"/>
          <w:spacing w:val="-4"/>
          <w:sz w:val="24"/>
          <w:szCs w:val="24"/>
        </w:rPr>
        <w:t>可封墙、封板；未通知擅自覆盖隐蔽，甲方可要求拆除复验</w:t>
      </w:r>
      <w:r>
        <w:rPr>
          <w:rFonts w:hint="eastAsia" w:ascii="宋体" w:hAnsi="宋体" w:eastAsia="宋体" w:cs="宋体"/>
          <w:spacing w:val="-5"/>
          <w:sz w:val="24"/>
          <w:szCs w:val="24"/>
        </w:rPr>
        <w:t>，全</w:t>
      </w:r>
      <w:r>
        <w:rPr>
          <w:rFonts w:hint="eastAsia" w:ascii="宋体" w:hAnsi="宋体" w:eastAsia="宋体" w:cs="宋体"/>
          <w:spacing w:val="-7"/>
          <w:sz w:val="24"/>
          <w:szCs w:val="24"/>
        </w:rPr>
        <w:t>部费用乙方承担。</w:t>
      </w:r>
    </w:p>
    <w:p w14:paraId="1EE6874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7.2 分区分项阶段性验收</w:t>
      </w:r>
    </w:p>
    <w:p w14:paraId="477F0F4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教学楼主过道、画里家乡、文明安康、巧手乐园、科技楼外</w:t>
      </w:r>
      <w:r>
        <w:rPr>
          <w:rFonts w:hint="eastAsia" w:ascii="宋体" w:hAnsi="宋体" w:eastAsia="宋体" w:cs="宋体"/>
          <w:spacing w:val="-2"/>
          <w:sz w:val="24"/>
          <w:szCs w:val="24"/>
        </w:rPr>
        <w:t>立面、各梯间完工后分区验收，单项不合格限期 3日内整</w:t>
      </w:r>
      <w:r>
        <w:rPr>
          <w:rFonts w:hint="eastAsia" w:ascii="宋体" w:hAnsi="宋体" w:eastAsia="宋体" w:cs="宋体"/>
          <w:spacing w:val="-3"/>
          <w:sz w:val="24"/>
          <w:szCs w:val="24"/>
        </w:rPr>
        <w:t>改完</w:t>
      </w:r>
      <w:r>
        <w:rPr>
          <w:rFonts w:hint="eastAsia" w:ascii="宋体" w:hAnsi="宋体" w:eastAsia="宋体" w:cs="宋体"/>
          <w:spacing w:val="-17"/>
          <w:sz w:val="24"/>
          <w:szCs w:val="24"/>
        </w:rPr>
        <w:t>毕。</w:t>
      </w:r>
    </w:p>
    <w:p w14:paraId="181FA8E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7.3</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整体竣工验收</w:t>
      </w:r>
    </w:p>
    <w:p w14:paraId="204F1FE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全部工程完工、全场保洁完成，乙方提交《竣工验收申请表》</w:t>
      </w:r>
      <w:r>
        <w:rPr>
          <w:rFonts w:hint="eastAsia" w:ascii="宋体" w:hAnsi="宋体" w:eastAsia="宋体" w:cs="宋体"/>
          <w:spacing w:val="-10"/>
          <w:sz w:val="24"/>
          <w:szCs w:val="24"/>
        </w:rPr>
        <w:t>及全套竣工资料；</w:t>
      </w:r>
    </w:p>
    <w:p w14:paraId="7965995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甲方 5日内组织后勤、德育、总务多方联合验收，对照效</w:t>
      </w:r>
      <w:r>
        <w:rPr>
          <w:rFonts w:hint="eastAsia" w:ascii="宋体" w:hAnsi="宋体" w:eastAsia="宋体" w:cs="宋体"/>
          <w:spacing w:val="-7"/>
          <w:sz w:val="24"/>
          <w:szCs w:val="24"/>
        </w:rPr>
        <w:t>果图、报价工艺逐项核查；</w:t>
      </w:r>
    </w:p>
    <w:p w14:paraId="4463F72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验收合格：双方签署《竣工验收合格单》，进入结算付款流</w:t>
      </w:r>
      <w:r>
        <w:rPr>
          <w:rFonts w:hint="eastAsia" w:ascii="宋体" w:hAnsi="宋体" w:eastAsia="宋体" w:cs="宋体"/>
          <w:spacing w:val="-22"/>
          <w:sz w:val="24"/>
          <w:szCs w:val="24"/>
        </w:rPr>
        <w:t>程；</w:t>
      </w:r>
    </w:p>
    <w:p w14:paraId="71BE7CF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验收不合格：出具书面整改清单，乙方在约定期限内无偿整</w:t>
      </w:r>
      <w:r>
        <w:rPr>
          <w:rFonts w:hint="eastAsia" w:ascii="宋体" w:hAnsi="宋体" w:eastAsia="宋体" w:cs="宋体"/>
          <w:spacing w:val="1"/>
          <w:sz w:val="24"/>
          <w:szCs w:val="24"/>
        </w:rPr>
        <w:t>改完毕，逾期每日按合同总价 0.05% 计取违约金，直至复验合</w:t>
      </w:r>
      <w:r>
        <w:rPr>
          <w:rFonts w:hint="eastAsia" w:ascii="宋体" w:hAnsi="宋体" w:eastAsia="宋体" w:cs="宋体"/>
          <w:spacing w:val="-15"/>
          <w:sz w:val="24"/>
          <w:szCs w:val="24"/>
        </w:rPr>
        <w:t>格。</w:t>
      </w:r>
    </w:p>
    <w:p w14:paraId="486012D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7.4</w:t>
      </w:r>
      <w:r>
        <w:rPr>
          <w:rFonts w:hint="eastAsia" w:ascii="宋体" w:hAnsi="宋体" w:eastAsia="宋体" w:cs="宋体"/>
          <w:spacing w:val="21"/>
          <w:sz w:val="24"/>
          <w:szCs w:val="24"/>
        </w:rPr>
        <w:t xml:space="preserve"> </w:t>
      </w:r>
      <w:r>
        <w:rPr>
          <w:rFonts w:hint="eastAsia" w:ascii="宋体" w:hAnsi="宋体" w:eastAsia="宋体" w:cs="宋体"/>
          <w:spacing w:val="-5"/>
          <w:sz w:val="24"/>
          <w:szCs w:val="24"/>
        </w:rPr>
        <w:t>验收标准</w:t>
      </w:r>
    </w:p>
    <w:p w14:paraId="60FB52C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造型尺寸、配色、文字、画面与效果图完全一致；</w:t>
      </w:r>
      <w:r>
        <w:rPr>
          <w:rFonts w:hint="eastAsia" w:ascii="宋体" w:hAnsi="宋体" w:eastAsia="宋体" w:cs="宋体"/>
          <w:spacing w:val="-4"/>
          <w:sz w:val="24"/>
          <w:szCs w:val="24"/>
        </w:rPr>
        <w:t>板材厚度、材质、漆面烤漆达到清单约定标准；</w:t>
      </w:r>
    </w:p>
    <w:p w14:paraId="39399C0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墙面无开裂、色差、掉皮，安装牢固无松动；</w:t>
      </w:r>
    </w:p>
    <w:p w14:paraId="3A0DAAB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无施工垃圾、胶痕、磕碰破损，校园原有设施完好；</w:t>
      </w:r>
    </w:p>
    <w:p w14:paraId="7759EC3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灯具、AI 装置、隔断门功能正常，布线合规安全。</w:t>
      </w:r>
    </w:p>
    <w:p w14:paraId="25694F5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第八条 质保、维修售后服务条款</w:t>
      </w:r>
    </w:p>
    <w:p w14:paraId="01E0A55D">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8.1 质</w:t>
      </w:r>
      <w:r>
        <w:rPr>
          <w:rFonts w:hint="eastAsia" w:ascii="宋体" w:hAnsi="宋体" w:eastAsia="宋体" w:cs="宋体"/>
          <w:color w:val="auto"/>
          <w:spacing w:val="-3"/>
          <w:sz w:val="24"/>
          <w:szCs w:val="24"/>
        </w:rPr>
        <w:t>保期限：</w:t>
      </w:r>
      <w:r>
        <w:rPr>
          <w:rFonts w:hint="eastAsia" w:ascii="宋体" w:hAnsi="宋体" w:eastAsia="宋体" w:cs="宋体"/>
          <w:color w:val="auto"/>
          <w:spacing w:val="-3"/>
          <w:sz w:val="24"/>
          <w:szCs w:val="24"/>
          <w:highlight w:val="none"/>
        </w:rPr>
        <w:t>整体工程免费质保</w:t>
      </w: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3"/>
          <w:sz w:val="24"/>
          <w:szCs w:val="24"/>
        </w:rPr>
        <w:t>自双方签</w:t>
      </w:r>
      <w:r>
        <w:rPr>
          <w:rFonts w:hint="eastAsia" w:ascii="宋体" w:hAnsi="宋体" w:eastAsia="宋体" w:cs="宋体"/>
          <w:spacing w:val="-3"/>
          <w:sz w:val="24"/>
          <w:szCs w:val="24"/>
        </w:rPr>
        <w:t>署《竣</w:t>
      </w:r>
      <w:r>
        <w:rPr>
          <w:rFonts w:hint="eastAsia" w:ascii="宋体" w:hAnsi="宋体" w:eastAsia="宋体" w:cs="宋体"/>
          <w:spacing w:val="-8"/>
          <w:sz w:val="24"/>
          <w:szCs w:val="24"/>
        </w:rPr>
        <w:t>工验收合格单》当日起算；</w:t>
      </w:r>
    </w:p>
    <w:p w14:paraId="05CA0A1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 xml:space="preserve">8.2 质保范围：所有 </w:t>
      </w:r>
      <w:r>
        <w:rPr>
          <w:rFonts w:hint="eastAsia" w:ascii="宋体" w:hAnsi="宋体" w:eastAsia="宋体" w:cs="宋体"/>
          <w:sz w:val="24"/>
          <w:szCs w:val="24"/>
        </w:rPr>
        <w:t>PVC</w:t>
      </w:r>
      <w:r>
        <w:rPr>
          <w:rFonts w:hint="eastAsia" w:ascii="宋体" w:hAnsi="宋体" w:eastAsia="宋体" w:cs="宋体"/>
          <w:spacing w:val="1"/>
          <w:sz w:val="24"/>
          <w:szCs w:val="24"/>
        </w:rPr>
        <w:t xml:space="preserve"> 造型、立体字、墙面乳胶漆、隔断、柜体、玻璃钢雕塑、灯具、</w:t>
      </w:r>
      <w:r>
        <w:rPr>
          <w:rFonts w:hint="eastAsia" w:ascii="宋体" w:hAnsi="宋体" w:eastAsia="宋体" w:cs="宋体"/>
          <w:sz w:val="24"/>
          <w:szCs w:val="24"/>
        </w:rPr>
        <w:t>AI</w:t>
      </w:r>
      <w:r>
        <w:rPr>
          <w:rFonts w:hint="eastAsia" w:ascii="宋体" w:hAnsi="宋体" w:eastAsia="宋体" w:cs="宋体"/>
          <w:spacing w:val="1"/>
          <w:sz w:val="24"/>
          <w:szCs w:val="24"/>
        </w:rPr>
        <w:t xml:space="preserve"> 互动装置、五金挂件的材料</w:t>
      </w:r>
      <w:r>
        <w:rPr>
          <w:rFonts w:hint="eastAsia" w:ascii="宋体" w:hAnsi="宋体" w:eastAsia="宋体" w:cs="宋体"/>
          <w:spacing w:val="-4"/>
          <w:sz w:val="24"/>
          <w:szCs w:val="24"/>
        </w:rPr>
        <w:t>脱落、漆面开裂、褪色、安装松动、非人为损坏故障，全</w:t>
      </w:r>
      <w:r>
        <w:rPr>
          <w:rFonts w:hint="eastAsia" w:ascii="宋体" w:hAnsi="宋体" w:eastAsia="宋体" w:cs="宋体"/>
          <w:spacing w:val="-5"/>
          <w:sz w:val="24"/>
          <w:szCs w:val="24"/>
        </w:rPr>
        <w:t>部免费</w:t>
      </w:r>
      <w:r>
        <w:rPr>
          <w:rFonts w:hint="eastAsia" w:ascii="宋体" w:hAnsi="宋体" w:eastAsia="宋体" w:cs="宋体"/>
          <w:spacing w:val="-12"/>
          <w:sz w:val="24"/>
          <w:szCs w:val="24"/>
        </w:rPr>
        <w:t>更换、维修；</w:t>
      </w:r>
    </w:p>
    <w:p w14:paraId="67C2C04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2" w:firstLineChars="200"/>
        <w:textAlignment w:val="baseline"/>
        <w:rPr>
          <w:rFonts w:hint="eastAsia" w:ascii="宋体" w:hAnsi="宋体" w:eastAsia="宋体" w:cs="宋体"/>
          <w:sz w:val="24"/>
          <w:szCs w:val="24"/>
        </w:rPr>
      </w:pPr>
      <w:r>
        <w:rPr>
          <w:rFonts w:hint="eastAsia" w:ascii="宋体" w:hAnsi="宋体" w:eastAsia="宋体" w:cs="宋体"/>
          <w:spacing w:val="-12"/>
          <w:sz w:val="24"/>
          <w:szCs w:val="24"/>
        </w:rPr>
        <w:t>8.3</w:t>
      </w:r>
      <w:r>
        <w:rPr>
          <w:rFonts w:hint="eastAsia" w:ascii="宋体" w:hAnsi="宋体" w:eastAsia="宋体" w:cs="宋体"/>
          <w:spacing w:val="34"/>
          <w:sz w:val="24"/>
          <w:szCs w:val="24"/>
        </w:rPr>
        <w:t xml:space="preserve"> </w:t>
      </w:r>
      <w:r>
        <w:rPr>
          <w:rFonts w:hint="eastAsia" w:ascii="宋体" w:hAnsi="宋体" w:eastAsia="宋体" w:cs="宋体"/>
          <w:spacing w:val="-12"/>
          <w:sz w:val="24"/>
          <w:szCs w:val="24"/>
        </w:rPr>
        <w:t>除外责任：学生人为磕碰、刻画、外力撞击、涉</w:t>
      </w:r>
      <w:r>
        <w:rPr>
          <w:rFonts w:hint="eastAsia" w:ascii="宋体" w:hAnsi="宋体" w:eastAsia="宋体" w:cs="宋体"/>
          <w:spacing w:val="-13"/>
          <w:sz w:val="24"/>
          <w:szCs w:val="24"/>
        </w:rPr>
        <w:t>水浸泡、</w:t>
      </w:r>
      <w:r>
        <w:rPr>
          <w:rFonts w:hint="eastAsia" w:ascii="宋体" w:hAnsi="宋体" w:eastAsia="宋体" w:cs="宋体"/>
          <w:spacing w:val="-4"/>
          <w:sz w:val="24"/>
          <w:szCs w:val="24"/>
        </w:rPr>
        <w:t>甲方自行改动线路造成损坏，不在免费质保范围，乙方可</w:t>
      </w:r>
      <w:r>
        <w:rPr>
          <w:rFonts w:hint="eastAsia" w:ascii="宋体" w:hAnsi="宋体" w:eastAsia="宋体" w:cs="宋体"/>
          <w:spacing w:val="-5"/>
          <w:sz w:val="24"/>
          <w:szCs w:val="24"/>
        </w:rPr>
        <w:t>提供有</w:t>
      </w:r>
      <w:r>
        <w:rPr>
          <w:rFonts w:hint="eastAsia" w:ascii="宋体" w:hAnsi="宋体" w:eastAsia="宋体" w:cs="宋体"/>
          <w:spacing w:val="-17"/>
          <w:sz w:val="24"/>
          <w:szCs w:val="24"/>
        </w:rPr>
        <w:t>偿维修；</w:t>
      </w:r>
    </w:p>
    <w:p w14:paraId="55421C8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8.4 质保期届满后，乙方提供终身成本价维修服务，仅收取</w:t>
      </w:r>
      <w:r>
        <w:rPr>
          <w:rFonts w:hint="eastAsia" w:ascii="宋体" w:hAnsi="宋体" w:eastAsia="宋体" w:cs="宋体"/>
          <w:spacing w:val="-6"/>
          <w:sz w:val="24"/>
          <w:szCs w:val="24"/>
        </w:rPr>
        <w:t>材料工本费，免收人工安装费；</w:t>
      </w:r>
    </w:p>
    <w:p w14:paraId="2412D50C">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8.5 质保保证金返还：质保期满，甲方现场核查无遗留质量问题，7 个工作日无息全额返还质保金；存在未维修缺</w:t>
      </w:r>
      <w:r>
        <w:rPr>
          <w:rFonts w:hint="eastAsia" w:ascii="宋体" w:hAnsi="宋体" w:eastAsia="宋体" w:cs="宋体"/>
          <w:spacing w:val="-5"/>
          <w:sz w:val="24"/>
          <w:szCs w:val="24"/>
        </w:rPr>
        <w:t>陷，甲方</w:t>
      </w:r>
      <w:r>
        <w:rPr>
          <w:rFonts w:hint="eastAsia" w:ascii="宋体" w:hAnsi="宋体" w:eastAsia="宋体" w:cs="宋体"/>
          <w:spacing w:val="-4"/>
          <w:sz w:val="24"/>
          <w:szCs w:val="24"/>
        </w:rPr>
        <w:t>可扣除对应维修费用后返还剩余质保金。</w:t>
      </w:r>
    </w:p>
    <w:p w14:paraId="28EEDB9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8" w:firstLineChars="200"/>
        <w:textAlignment w:val="baseline"/>
        <w:rPr>
          <w:rFonts w:hint="eastAsia" w:ascii="宋体" w:hAnsi="宋体" w:eastAsia="宋体" w:cs="宋体"/>
          <w:sz w:val="24"/>
          <w:szCs w:val="24"/>
        </w:rPr>
      </w:pPr>
      <w:r>
        <w:rPr>
          <w:rFonts w:hint="eastAsia" w:ascii="宋体" w:hAnsi="宋体" w:eastAsia="宋体" w:cs="宋体"/>
          <w:spacing w:val="-8"/>
          <w:sz w:val="24"/>
          <w:szCs w:val="24"/>
        </w:rPr>
        <w:t>第九条</w:t>
      </w:r>
      <w:r>
        <w:rPr>
          <w:rFonts w:hint="eastAsia" w:ascii="宋体" w:hAnsi="宋体" w:eastAsia="宋体" w:cs="宋体"/>
          <w:spacing w:val="26"/>
          <w:sz w:val="24"/>
          <w:szCs w:val="24"/>
        </w:rPr>
        <w:t xml:space="preserve"> </w:t>
      </w:r>
      <w:r>
        <w:rPr>
          <w:rFonts w:hint="eastAsia" w:ascii="宋体" w:hAnsi="宋体" w:eastAsia="宋体" w:cs="宋体"/>
          <w:spacing w:val="-8"/>
          <w:sz w:val="24"/>
          <w:szCs w:val="24"/>
        </w:rPr>
        <w:t>违约责任</w:t>
      </w:r>
    </w:p>
    <w:p w14:paraId="3D67A38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9.1</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乙方逾期完工违约责任</w:t>
      </w:r>
    </w:p>
    <w:p w14:paraId="4A90263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28" w:firstLineChars="200"/>
        <w:textAlignment w:val="baseline"/>
        <w:rPr>
          <w:rFonts w:hint="eastAsia" w:ascii="宋体" w:hAnsi="宋体" w:eastAsia="宋体" w:cs="宋体"/>
          <w:sz w:val="24"/>
          <w:szCs w:val="24"/>
        </w:rPr>
      </w:pPr>
      <w:r>
        <w:rPr>
          <w:rFonts w:hint="eastAsia" w:ascii="宋体" w:hAnsi="宋体" w:eastAsia="宋体" w:cs="宋体"/>
          <w:spacing w:val="-13"/>
          <w:sz w:val="24"/>
          <w:szCs w:val="24"/>
        </w:rPr>
        <w:t>因乙方材料、人员、施工管理延误，未按合同约定</w:t>
      </w:r>
      <w:r>
        <w:rPr>
          <w:rFonts w:hint="eastAsia" w:ascii="宋体" w:hAnsi="宋体" w:eastAsia="宋体" w:cs="宋体"/>
          <w:spacing w:val="-14"/>
          <w:sz w:val="24"/>
          <w:szCs w:val="24"/>
        </w:rPr>
        <w:t>日期竣工，</w:t>
      </w:r>
      <w:r>
        <w:rPr>
          <w:rFonts w:hint="eastAsia" w:ascii="宋体" w:hAnsi="宋体" w:eastAsia="宋体" w:cs="宋体"/>
          <w:spacing w:val="-8"/>
          <w:sz w:val="24"/>
          <w:szCs w:val="24"/>
        </w:rPr>
        <w:t>每逾期 1日历天，乙方支付合同总价款 0.05%的违约金；逾期</w:t>
      </w:r>
      <w:r>
        <w:rPr>
          <w:rFonts w:hint="eastAsia" w:ascii="宋体" w:hAnsi="宋体" w:eastAsia="宋体" w:cs="宋体"/>
          <w:spacing w:val="-9"/>
          <w:sz w:val="24"/>
          <w:szCs w:val="24"/>
        </w:rPr>
        <w:t>超过15日，</w:t>
      </w:r>
      <w:r>
        <w:rPr>
          <w:rFonts w:hint="eastAsia" w:ascii="宋体" w:hAnsi="宋体" w:eastAsia="宋体" w:cs="宋体"/>
          <w:spacing w:val="-85"/>
          <w:sz w:val="24"/>
          <w:szCs w:val="24"/>
        </w:rPr>
        <w:t xml:space="preserve"> </w:t>
      </w:r>
      <w:r>
        <w:rPr>
          <w:rFonts w:hint="eastAsia" w:ascii="宋体" w:hAnsi="宋体" w:eastAsia="宋体" w:cs="宋体"/>
          <w:spacing w:val="-9"/>
          <w:sz w:val="24"/>
          <w:szCs w:val="24"/>
        </w:rPr>
        <w:t>甲方有权单方解除合同，乙方3日内退场，仅结</w:t>
      </w:r>
      <w:r>
        <w:rPr>
          <w:rFonts w:hint="eastAsia" w:ascii="宋体" w:hAnsi="宋体" w:eastAsia="宋体" w:cs="宋体"/>
          <w:spacing w:val="-2"/>
          <w:sz w:val="24"/>
          <w:szCs w:val="24"/>
        </w:rPr>
        <w:t>算已合格工程量60%，并另行支付合同总价15%</w:t>
      </w:r>
      <w:r>
        <w:rPr>
          <w:rFonts w:hint="eastAsia" w:ascii="宋体" w:hAnsi="宋体" w:eastAsia="宋体" w:cs="宋体"/>
          <w:spacing w:val="-3"/>
          <w:sz w:val="24"/>
          <w:szCs w:val="24"/>
        </w:rPr>
        <w:t>违约金，</w:t>
      </w:r>
      <w:r>
        <w:rPr>
          <w:rFonts w:hint="eastAsia" w:ascii="宋体" w:hAnsi="宋体" w:eastAsia="宋体" w:cs="宋体"/>
          <w:spacing w:val="-85"/>
          <w:sz w:val="24"/>
          <w:szCs w:val="24"/>
        </w:rPr>
        <w:t xml:space="preserve"> </w:t>
      </w:r>
      <w:r>
        <w:rPr>
          <w:rFonts w:hint="eastAsia" w:ascii="宋体" w:hAnsi="宋体" w:eastAsia="宋体" w:cs="宋体"/>
          <w:spacing w:val="-3"/>
          <w:sz w:val="24"/>
          <w:szCs w:val="24"/>
        </w:rPr>
        <w:t>甲方</w:t>
      </w:r>
      <w:r>
        <w:rPr>
          <w:rFonts w:hint="eastAsia" w:ascii="宋体" w:hAnsi="宋体" w:eastAsia="宋体" w:cs="宋体"/>
          <w:spacing w:val="-4"/>
          <w:sz w:val="24"/>
          <w:szCs w:val="24"/>
        </w:rPr>
        <w:t>另行委托施工的差价损失由乙方补足。</w:t>
      </w:r>
    </w:p>
    <w:p w14:paraId="2404ACA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9.2</w:t>
      </w:r>
      <w:r>
        <w:rPr>
          <w:rFonts w:hint="eastAsia" w:ascii="宋体" w:hAnsi="宋体" w:eastAsia="宋体" w:cs="宋体"/>
          <w:spacing w:val="54"/>
          <w:sz w:val="24"/>
          <w:szCs w:val="24"/>
        </w:rPr>
        <w:t xml:space="preserve"> </w:t>
      </w:r>
      <w:r>
        <w:rPr>
          <w:rFonts w:hint="eastAsia" w:ascii="宋体" w:hAnsi="宋体" w:eastAsia="宋体" w:cs="宋体"/>
          <w:spacing w:val="-4"/>
          <w:sz w:val="24"/>
          <w:szCs w:val="24"/>
        </w:rPr>
        <w:t>乙方偷工减料、降配工艺违约</w:t>
      </w:r>
    </w:p>
    <w:p w14:paraId="733B173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未按封样、清单材质 / 厚度 / 烤漆标准施工，甲方有权：</w:t>
      </w:r>
    </w:p>
    <w:p w14:paraId="58EAB0F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①责令全部拆除返工，工期不予顺延；②扣除该分</w:t>
      </w:r>
      <w:r>
        <w:rPr>
          <w:rFonts w:hint="eastAsia" w:ascii="宋体" w:hAnsi="宋体" w:eastAsia="宋体" w:cs="宋体"/>
          <w:spacing w:val="-11"/>
          <w:sz w:val="24"/>
          <w:szCs w:val="24"/>
        </w:rPr>
        <w:t>项全部工程款；</w:t>
      </w:r>
      <w:r>
        <w:rPr>
          <w:rFonts w:hint="eastAsia" w:ascii="宋体" w:hAnsi="宋体" w:eastAsia="宋体" w:cs="宋体"/>
          <w:sz w:val="24"/>
          <w:szCs w:val="24"/>
        </w:rPr>
        <w:t xml:space="preserve"> </w:t>
      </w:r>
      <w:r>
        <w:rPr>
          <w:rFonts w:hint="eastAsia" w:ascii="宋体" w:hAnsi="宋体" w:eastAsia="宋体" w:cs="宋体"/>
          <w:spacing w:val="-10"/>
          <w:sz w:val="24"/>
          <w:szCs w:val="24"/>
        </w:rPr>
        <w:t>③加收合同总价 5% 一次性违约金；拒不整改，甲方可解除合同。</w:t>
      </w:r>
    </w:p>
    <w:p w14:paraId="58E79CF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9.3</w:t>
      </w:r>
      <w:r>
        <w:rPr>
          <w:rFonts w:hint="eastAsia" w:ascii="宋体" w:hAnsi="宋体" w:eastAsia="宋体" w:cs="宋体"/>
          <w:spacing w:val="51"/>
          <w:sz w:val="24"/>
          <w:szCs w:val="24"/>
        </w:rPr>
        <w:t xml:space="preserve"> </w:t>
      </w:r>
      <w:r>
        <w:rPr>
          <w:rFonts w:hint="eastAsia" w:ascii="宋体" w:hAnsi="宋体" w:eastAsia="宋体" w:cs="宋体"/>
          <w:spacing w:val="-5"/>
          <w:sz w:val="24"/>
          <w:szCs w:val="24"/>
        </w:rPr>
        <w:t>乙方转包、违法分包</w:t>
      </w:r>
    </w:p>
    <w:p w14:paraId="58C4867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76" w:firstLineChars="200"/>
        <w:jc w:val="both"/>
        <w:textAlignment w:val="baseline"/>
        <w:rPr>
          <w:rFonts w:hint="eastAsia" w:ascii="宋体" w:hAnsi="宋体" w:eastAsia="宋体" w:cs="宋体"/>
          <w:sz w:val="24"/>
          <w:szCs w:val="24"/>
        </w:rPr>
      </w:pPr>
      <w:r>
        <w:rPr>
          <w:rFonts w:hint="eastAsia" w:ascii="宋体" w:hAnsi="宋体" w:eastAsia="宋体" w:cs="宋体"/>
          <w:spacing w:val="-1"/>
          <w:sz w:val="24"/>
          <w:szCs w:val="24"/>
        </w:rPr>
        <w:t>一经查实，</w:t>
      </w:r>
      <w:r>
        <w:rPr>
          <w:rFonts w:hint="eastAsia" w:ascii="宋体" w:hAnsi="宋体" w:eastAsia="宋体" w:cs="宋体"/>
          <w:spacing w:val="-86"/>
          <w:sz w:val="24"/>
          <w:szCs w:val="24"/>
        </w:rPr>
        <w:t xml:space="preserve"> </w:t>
      </w:r>
      <w:r>
        <w:rPr>
          <w:rFonts w:hint="eastAsia" w:ascii="宋体" w:hAnsi="宋体" w:eastAsia="宋体" w:cs="宋体"/>
          <w:spacing w:val="-1"/>
          <w:sz w:val="24"/>
          <w:szCs w:val="24"/>
        </w:rPr>
        <w:t>甲方立即解除合同，乙方支付合同总价</w:t>
      </w:r>
      <w:r>
        <w:rPr>
          <w:rFonts w:hint="eastAsia" w:ascii="宋体" w:hAnsi="宋体" w:eastAsia="宋体" w:cs="宋体"/>
          <w:spacing w:val="-2"/>
          <w:sz w:val="24"/>
          <w:szCs w:val="24"/>
        </w:rPr>
        <w:t xml:space="preserve"> 20% 违</w:t>
      </w:r>
      <w:r>
        <w:rPr>
          <w:rFonts w:hint="eastAsia" w:ascii="宋体" w:hAnsi="宋体" w:eastAsia="宋体" w:cs="宋体"/>
          <w:spacing w:val="-3"/>
          <w:sz w:val="24"/>
          <w:szCs w:val="24"/>
        </w:rPr>
        <w:t>约金，</w:t>
      </w:r>
      <w:r>
        <w:rPr>
          <w:rFonts w:hint="eastAsia" w:ascii="宋体" w:hAnsi="宋体" w:eastAsia="宋体" w:cs="宋体"/>
          <w:spacing w:val="-87"/>
          <w:sz w:val="24"/>
          <w:szCs w:val="24"/>
        </w:rPr>
        <w:t xml:space="preserve"> </w:t>
      </w:r>
      <w:r>
        <w:rPr>
          <w:rFonts w:hint="eastAsia" w:ascii="宋体" w:hAnsi="宋体" w:eastAsia="宋体" w:cs="宋体"/>
          <w:spacing w:val="-3"/>
          <w:sz w:val="24"/>
          <w:szCs w:val="24"/>
        </w:rPr>
        <w:t>已完工合格工程量按 60% 结算，</w:t>
      </w:r>
      <w:r>
        <w:rPr>
          <w:rFonts w:hint="eastAsia" w:ascii="宋体" w:hAnsi="宋体" w:eastAsia="宋体" w:cs="宋体"/>
          <w:spacing w:val="-85"/>
          <w:sz w:val="24"/>
          <w:szCs w:val="24"/>
        </w:rPr>
        <w:t xml:space="preserve"> </w:t>
      </w:r>
      <w:r>
        <w:rPr>
          <w:rFonts w:hint="eastAsia" w:ascii="宋体" w:hAnsi="宋体" w:eastAsia="宋体" w:cs="宋体"/>
          <w:spacing w:val="-3"/>
          <w:sz w:val="24"/>
          <w:szCs w:val="24"/>
        </w:rPr>
        <w:t>甲方另行施</w:t>
      </w:r>
      <w:r>
        <w:rPr>
          <w:rFonts w:hint="eastAsia" w:ascii="宋体" w:hAnsi="宋体" w:eastAsia="宋体" w:cs="宋体"/>
          <w:spacing w:val="-4"/>
          <w:sz w:val="24"/>
          <w:szCs w:val="24"/>
        </w:rPr>
        <w:t>工损失由乙</w:t>
      </w:r>
      <w:r>
        <w:rPr>
          <w:rFonts w:hint="eastAsia" w:ascii="宋体" w:hAnsi="宋体" w:eastAsia="宋体" w:cs="宋体"/>
          <w:spacing w:val="-12"/>
          <w:sz w:val="24"/>
          <w:szCs w:val="24"/>
        </w:rPr>
        <w:t>方承担。</w:t>
      </w:r>
    </w:p>
    <w:p w14:paraId="5FE1FE9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9.4</w:t>
      </w:r>
      <w:r>
        <w:rPr>
          <w:rFonts w:hint="eastAsia" w:ascii="宋体" w:hAnsi="宋体" w:eastAsia="宋体" w:cs="宋体"/>
          <w:spacing w:val="71"/>
          <w:sz w:val="24"/>
          <w:szCs w:val="24"/>
        </w:rPr>
        <w:t xml:space="preserve"> </w:t>
      </w:r>
      <w:r>
        <w:rPr>
          <w:rFonts w:hint="eastAsia" w:ascii="宋体" w:hAnsi="宋体" w:eastAsia="宋体" w:cs="宋体"/>
          <w:spacing w:val="-6"/>
          <w:sz w:val="24"/>
          <w:szCs w:val="24"/>
        </w:rPr>
        <w:t>甲方逾期付款违约责任</w:t>
      </w:r>
    </w:p>
    <w:p w14:paraId="7D17289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6" w:firstLineChars="200"/>
        <w:textAlignment w:val="baseline"/>
        <w:rPr>
          <w:rFonts w:hint="eastAsia" w:ascii="宋体" w:hAnsi="宋体" w:eastAsia="宋体" w:cs="宋体"/>
          <w:sz w:val="24"/>
          <w:szCs w:val="24"/>
        </w:rPr>
      </w:pPr>
      <w:r>
        <w:rPr>
          <w:rFonts w:hint="eastAsia" w:ascii="宋体" w:hAnsi="宋体" w:eastAsia="宋体" w:cs="宋体"/>
          <w:spacing w:val="-6"/>
          <w:sz w:val="24"/>
          <w:szCs w:val="24"/>
        </w:rPr>
        <w:t>甲方收到乙方合规增值税发票后，无正当理由逾期支付工程</w:t>
      </w:r>
      <w:r>
        <w:rPr>
          <w:rFonts w:hint="eastAsia" w:ascii="宋体" w:hAnsi="宋体" w:eastAsia="宋体" w:cs="宋体"/>
          <w:spacing w:val="-8"/>
          <w:sz w:val="24"/>
          <w:szCs w:val="24"/>
        </w:rPr>
        <w:t>款，每逾期一</w:t>
      </w:r>
      <w:r>
        <w:rPr>
          <w:rFonts w:hint="eastAsia" w:ascii="宋体" w:hAnsi="宋体" w:eastAsia="宋体" w:cs="宋体"/>
          <w:spacing w:val="-67"/>
          <w:sz w:val="24"/>
          <w:szCs w:val="24"/>
        </w:rPr>
        <w:t xml:space="preserve"> </w:t>
      </w:r>
      <w:r>
        <w:rPr>
          <w:rFonts w:hint="eastAsia" w:ascii="宋体" w:hAnsi="宋体" w:eastAsia="宋体" w:cs="宋体"/>
          <w:spacing w:val="-8"/>
          <w:sz w:val="24"/>
          <w:szCs w:val="24"/>
        </w:rPr>
        <w:t>日，按当期应付未付款金额的 0.03</w:t>
      </w:r>
      <w:r>
        <w:rPr>
          <w:rFonts w:hint="eastAsia" w:ascii="宋体" w:hAnsi="宋体" w:eastAsia="宋体" w:cs="宋体"/>
          <w:spacing w:val="-9"/>
          <w:sz w:val="24"/>
          <w:szCs w:val="24"/>
        </w:rPr>
        <w:t>% 支付违约金；</w:t>
      </w:r>
      <w:r>
        <w:rPr>
          <w:rFonts w:hint="eastAsia" w:ascii="宋体" w:hAnsi="宋体" w:eastAsia="宋体" w:cs="宋体"/>
          <w:spacing w:val="-4"/>
          <w:sz w:val="24"/>
          <w:szCs w:val="24"/>
        </w:rPr>
        <w:t>因乙方未提供发票、资料不全、工程未验收导致延期付款，</w:t>
      </w:r>
      <w:r>
        <w:rPr>
          <w:rFonts w:hint="eastAsia" w:ascii="宋体" w:hAnsi="宋体" w:eastAsia="宋体" w:cs="宋体"/>
          <w:spacing w:val="-5"/>
          <w:sz w:val="24"/>
          <w:szCs w:val="24"/>
        </w:rPr>
        <w:t>甲方</w:t>
      </w:r>
      <w:r>
        <w:rPr>
          <w:rFonts w:hint="eastAsia" w:ascii="宋体" w:hAnsi="宋体" w:eastAsia="宋体" w:cs="宋体"/>
          <w:spacing w:val="-7"/>
          <w:sz w:val="24"/>
          <w:szCs w:val="24"/>
        </w:rPr>
        <w:t>不承担违约责任。</w:t>
      </w:r>
    </w:p>
    <w:p w14:paraId="4E133DB1">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9.5</w:t>
      </w:r>
      <w:r>
        <w:rPr>
          <w:rFonts w:hint="eastAsia" w:ascii="宋体" w:hAnsi="宋体" w:eastAsia="宋体" w:cs="宋体"/>
          <w:spacing w:val="34"/>
          <w:sz w:val="24"/>
          <w:szCs w:val="24"/>
        </w:rPr>
        <w:t xml:space="preserve"> </w:t>
      </w:r>
      <w:r>
        <w:rPr>
          <w:rFonts w:hint="eastAsia" w:ascii="宋体" w:hAnsi="宋体" w:eastAsia="宋体" w:cs="宋体"/>
          <w:spacing w:val="-4"/>
          <w:sz w:val="24"/>
          <w:szCs w:val="24"/>
        </w:rPr>
        <w:t>单方无故解除合同</w:t>
      </w:r>
    </w:p>
    <w:p w14:paraId="19C1814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任何一方无正当理由单方面解除合同，需向对方支付合同总</w:t>
      </w:r>
      <w:r>
        <w:rPr>
          <w:rFonts w:hint="eastAsia" w:ascii="宋体" w:hAnsi="宋体" w:eastAsia="宋体" w:cs="宋体"/>
          <w:spacing w:val="-2"/>
          <w:sz w:val="24"/>
          <w:szCs w:val="24"/>
        </w:rPr>
        <w:t>价 10% 作为违约金，并赔偿对方已产生材料、人工实际损失。</w:t>
      </w:r>
    </w:p>
    <w:p w14:paraId="78562F8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9.6</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安全事故违约</w:t>
      </w:r>
    </w:p>
    <w:p w14:paraId="38B44C2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施工期间发生人身伤害、财产损毁，全部责任与赔偿由乙方</w:t>
      </w:r>
      <w:r>
        <w:rPr>
          <w:rFonts w:hint="eastAsia" w:ascii="宋体" w:hAnsi="宋体" w:eastAsia="宋体" w:cs="宋体"/>
          <w:spacing w:val="-4"/>
          <w:sz w:val="24"/>
          <w:szCs w:val="24"/>
        </w:rPr>
        <w:t>承担；造成学校停课、声誉损失的，甲方有权扣除工程款</w:t>
      </w:r>
      <w:r>
        <w:rPr>
          <w:rFonts w:hint="eastAsia" w:ascii="宋体" w:hAnsi="宋体" w:eastAsia="宋体" w:cs="宋体"/>
          <w:spacing w:val="-5"/>
          <w:sz w:val="24"/>
          <w:szCs w:val="24"/>
        </w:rPr>
        <w:t>作为补</w:t>
      </w:r>
      <w:r>
        <w:rPr>
          <w:rFonts w:hint="eastAsia" w:ascii="宋体" w:hAnsi="宋体" w:eastAsia="宋体" w:cs="宋体"/>
          <w:spacing w:val="-15"/>
          <w:sz w:val="24"/>
          <w:szCs w:val="24"/>
        </w:rPr>
        <w:t>偿。</w:t>
      </w:r>
    </w:p>
    <w:p w14:paraId="36CB24C5">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48" w:firstLineChars="200"/>
        <w:textAlignment w:val="baseline"/>
        <w:rPr>
          <w:rFonts w:hint="eastAsia" w:ascii="宋体" w:hAnsi="宋体" w:eastAsia="宋体" w:cs="宋体"/>
          <w:sz w:val="24"/>
          <w:szCs w:val="24"/>
        </w:rPr>
      </w:pPr>
      <w:r>
        <w:rPr>
          <w:rFonts w:hint="eastAsia" w:ascii="宋体" w:hAnsi="宋体" w:eastAsia="宋体" w:cs="宋体"/>
          <w:spacing w:val="-8"/>
          <w:sz w:val="24"/>
          <w:szCs w:val="24"/>
        </w:rPr>
        <w:t>第十条</w:t>
      </w:r>
      <w:r>
        <w:rPr>
          <w:rFonts w:hint="eastAsia" w:ascii="宋体" w:hAnsi="宋体" w:eastAsia="宋体" w:cs="宋体"/>
          <w:spacing w:val="27"/>
          <w:sz w:val="24"/>
          <w:szCs w:val="24"/>
        </w:rPr>
        <w:t xml:space="preserve"> </w:t>
      </w:r>
      <w:r>
        <w:rPr>
          <w:rFonts w:hint="eastAsia" w:ascii="宋体" w:hAnsi="宋体" w:eastAsia="宋体" w:cs="宋体"/>
          <w:spacing w:val="-8"/>
          <w:sz w:val="24"/>
          <w:szCs w:val="24"/>
        </w:rPr>
        <w:t>不可抗力</w:t>
      </w:r>
    </w:p>
    <w:p w14:paraId="653923D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不可抗力指地震、洪水、台风、战争、政府强制停工等不能</w:t>
      </w:r>
      <w:r>
        <w:rPr>
          <w:rFonts w:hint="eastAsia" w:ascii="宋体" w:hAnsi="宋体" w:eastAsia="宋体" w:cs="宋体"/>
          <w:spacing w:val="-7"/>
          <w:sz w:val="24"/>
          <w:szCs w:val="24"/>
        </w:rPr>
        <w:t>预见、不能避免客观情况；</w:t>
      </w:r>
    </w:p>
    <w:p w14:paraId="025997EA">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2" w:firstLineChars="200"/>
        <w:textAlignment w:val="baseline"/>
        <w:rPr>
          <w:rFonts w:hint="eastAsia" w:ascii="宋体" w:hAnsi="宋体" w:eastAsia="宋体" w:cs="宋体"/>
          <w:sz w:val="24"/>
          <w:szCs w:val="24"/>
        </w:rPr>
      </w:pPr>
      <w:r>
        <w:rPr>
          <w:rFonts w:hint="eastAsia" w:ascii="宋体" w:hAnsi="宋体" w:eastAsia="宋体" w:cs="宋体"/>
          <w:spacing w:val="-7"/>
          <w:sz w:val="24"/>
          <w:szCs w:val="24"/>
        </w:rPr>
        <w:t>遭遇不可抗力一方 24 小时内书面通知对</w:t>
      </w:r>
      <w:r>
        <w:rPr>
          <w:rFonts w:hint="eastAsia" w:ascii="宋体" w:hAnsi="宋体" w:eastAsia="宋体" w:cs="宋体"/>
          <w:spacing w:val="-8"/>
          <w:sz w:val="24"/>
          <w:szCs w:val="24"/>
        </w:rPr>
        <w:t>方，7日内提供官</w:t>
      </w:r>
      <w:r>
        <w:rPr>
          <w:rFonts w:hint="eastAsia" w:ascii="宋体" w:hAnsi="宋体" w:eastAsia="宋体" w:cs="宋体"/>
          <w:spacing w:val="-4"/>
          <w:sz w:val="24"/>
          <w:szCs w:val="24"/>
        </w:rPr>
        <w:t>方证明；双方协商工期顺延、停工损失各自承</w:t>
      </w:r>
      <w:r>
        <w:rPr>
          <w:rFonts w:hint="eastAsia" w:ascii="宋体" w:hAnsi="宋体" w:eastAsia="宋体" w:cs="宋体"/>
          <w:spacing w:val="-5"/>
          <w:sz w:val="24"/>
          <w:szCs w:val="24"/>
        </w:rPr>
        <w:t>担；</w:t>
      </w:r>
    </w:p>
    <w:p w14:paraId="6968518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仅短期雨雪天气、材料涨价、物流延迟不属于不可抗力，乙</w:t>
      </w:r>
      <w:r>
        <w:rPr>
          <w:rFonts w:hint="eastAsia" w:ascii="宋体" w:hAnsi="宋体" w:eastAsia="宋体" w:cs="宋体"/>
          <w:spacing w:val="-6"/>
          <w:sz w:val="24"/>
          <w:szCs w:val="24"/>
        </w:rPr>
        <w:t>方不得以此索赔、延期。</w:t>
      </w:r>
    </w:p>
    <w:p w14:paraId="219EEC6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52" w:firstLineChars="200"/>
        <w:textAlignment w:val="baseline"/>
        <w:rPr>
          <w:rFonts w:hint="eastAsia" w:ascii="宋体" w:hAnsi="宋体" w:eastAsia="宋体" w:cs="宋体"/>
          <w:sz w:val="24"/>
          <w:szCs w:val="24"/>
        </w:rPr>
      </w:pPr>
      <w:r>
        <w:rPr>
          <w:rFonts w:hint="eastAsia" w:ascii="宋体" w:hAnsi="宋体" w:eastAsia="宋体" w:cs="宋体"/>
          <w:spacing w:val="-7"/>
          <w:sz w:val="24"/>
          <w:szCs w:val="24"/>
        </w:rPr>
        <w:t>第十一条</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争议解决</w:t>
      </w:r>
    </w:p>
    <w:p w14:paraId="7BBDC0E3">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z w:val="24"/>
          <w:szCs w:val="24"/>
        </w:rPr>
      </w:pPr>
      <w:r>
        <w:rPr>
          <w:rFonts w:hint="eastAsia" w:ascii="宋体" w:hAnsi="宋体" w:eastAsia="宋体" w:cs="宋体"/>
          <w:spacing w:val="-5"/>
          <w:sz w:val="24"/>
          <w:szCs w:val="24"/>
        </w:rPr>
        <w:t>本合同履行过程中发生一切纠纷，双方优先友好协商；协商</w:t>
      </w:r>
      <w:r>
        <w:rPr>
          <w:rFonts w:hint="eastAsia" w:ascii="宋体" w:hAnsi="宋体" w:eastAsia="宋体" w:cs="宋体"/>
          <w:spacing w:val="-4"/>
          <w:sz w:val="24"/>
          <w:szCs w:val="24"/>
        </w:rPr>
        <w:t>无法达成一致，任何一方均可向工程所在地（安康市）人</w:t>
      </w:r>
      <w:r>
        <w:rPr>
          <w:rFonts w:hint="eastAsia" w:ascii="宋体" w:hAnsi="宋体" w:eastAsia="宋体" w:cs="宋体"/>
          <w:spacing w:val="-5"/>
          <w:sz w:val="24"/>
          <w:szCs w:val="24"/>
        </w:rPr>
        <w:t>民法院</w:t>
      </w:r>
      <w:r>
        <w:rPr>
          <w:rFonts w:hint="eastAsia" w:ascii="宋体" w:hAnsi="宋体" w:eastAsia="宋体" w:cs="宋体"/>
          <w:spacing w:val="-4"/>
          <w:sz w:val="24"/>
          <w:szCs w:val="24"/>
        </w:rPr>
        <w:t>提起诉讼；诉讼产生诉讼费、保全费、鉴定费、律师费由</w:t>
      </w:r>
      <w:r>
        <w:rPr>
          <w:rFonts w:hint="eastAsia" w:ascii="宋体" w:hAnsi="宋体" w:eastAsia="宋体" w:cs="宋体"/>
          <w:spacing w:val="-5"/>
          <w:sz w:val="24"/>
          <w:szCs w:val="24"/>
        </w:rPr>
        <w:t>违约方</w:t>
      </w:r>
      <w:r>
        <w:rPr>
          <w:rFonts w:hint="eastAsia" w:ascii="宋体" w:hAnsi="宋体" w:eastAsia="宋体" w:cs="宋体"/>
          <w:spacing w:val="-14"/>
          <w:sz w:val="24"/>
          <w:szCs w:val="24"/>
        </w:rPr>
        <w:t>承担。</w:t>
      </w:r>
    </w:p>
    <w:p w14:paraId="2D46E9B6">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第十二条 合同其他通用约定</w:t>
      </w:r>
    </w:p>
    <w:p w14:paraId="6D49763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合同生效：双方法定代表人 / 授权代表签字并加盖</w:t>
      </w:r>
      <w:r>
        <w:rPr>
          <w:rFonts w:hint="eastAsia" w:ascii="宋体" w:hAnsi="宋体" w:eastAsia="宋体" w:cs="宋体"/>
          <w:sz w:val="24"/>
          <w:szCs w:val="24"/>
        </w:rPr>
        <w:t>公章之</w:t>
      </w:r>
      <w:r>
        <w:rPr>
          <w:rFonts w:hint="eastAsia" w:ascii="宋体" w:hAnsi="宋体" w:eastAsia="宋体" w:cs="宋体"/>
          <w:spacing w:val="-24"/>
          <w:sz w:val="24"/>
          <w:szCs w:val="24"/>
        </w:rPr>
        <w:t>日起生效；</w:t>
      </w:r>
    </w:p>
    <w:p w14:paraId="0D02C9C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合同份数：本合同一式肆份，甲方执贰份，乙方执贰份，具</w:t>
      </w:r>
      <w:r>
        <w:rPr>
          <w:rFonts w:hint="eastAsia" w:ascii="宋体" w:hAnsi="宋体" w:eastAsia="宋体" w:cs="宋体"/>
          <w:spacing w:val="-3"/>
          <w:sz w:val="24"/>
          <w:szCs w:val="24"/>
        </w:rPr>
        <w:t>有同等法律效力；附件与正文不可分割，具备同等法律约束力；</w:t>
      </w:r>
    </w:p>
    <w:p w14:paraId="4C7CFF97">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z w:val="24"/>
          <w:szCs w:val="24"/>
        </w:rPr>
      </w:pPr>
      <w:r>
        <w:rPr>
          <w:rFonts w:hint="eastAsia" w:ascii="宋体" w:hAnsi="宋体" w:eastAsia="宋体" w:cs="宋体"/>
          <w:spacing w:val="-4"/>
          <w:sz w:val="24"/>
          <w:szCs w:val="24"/>
        </w:rPr>
        <w:t>通知送达：合同首部甲乙双方地址、电话为法定送达地址，书面函件邮寄、短信、微信均视为有效送达，地址变</w:t>
      </w:r>
      <w:r>
        <w:rPr>
          <w:rFonts w:hint="eastAsia" w:ascii="宋体" w:hAnsi="宋体" w:eastAsia="宋体" w:cs="宋体"/>
          <w:spacing w:val="-5"/>
          <w:sz w:val="24"/>
          <w:szCs w:val="24"/>
        </w:rPr>
        <w:t>更未书面告</w:t>
      </w:r>
      <w:r>
        <w:rPr>
          <w:rFonts w:hint="eastAsia" w:ascii="宋体" w:hAnsi="宋体" w:eastAsia="宋体" w:cs="宋体"/>
          <w:spacing w:val="-8"/>
          <w:sz w:val="24"/>
          <w:szCs w:val="24"/>
        </w:rPr>
        <w:t>知的送达风险自行承担；</w:t>
      </w:r>
    </w:p>
    <w:p w14:paraId="2731DA2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材料涨价风险：本合同为固定总价包干，合同工期内板材、</w:t>
      </w:r>
      <w:r>
        <w:rPr>
          <w:rFonts w:hint="eastAsia" w:ascii="宋体" w:hAnsi="宋体" w:eastAsia="宋体" w:cs="宋体"/>
          <w:spacing w:val="-5"/>
          <w:sz w:val="24"/>
          <w:szCs w:val="24"/>
        </w:rPr>
        <w:t>油漆、人工市场价格涨跌，价款不作调整；</w:t>
      </w:r>
    </w:p>
    <w:p w14:paraId="3885E9B8">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环保要求：所有材料符合室内装修国家环保标准，完工室内</w:t>
      </w:r>
      <w:r>
        <w:rPr>
          <w:rFonts w:hint="eastAsia" w:ascii="宋体" w:hAnsi="宋体" w:eastAsia="宋体" w:cs="宋体"/>
          <w:spacing w:val="-4"/>
          <w:sz w:val="24"/>
          <w:szCs w:val="24"/>
        </w:rPr>
        <w:t>空气质量达标，检测不合格乙方全部更换材料并承担检测费；</w:t>
      </w:r>
    </w:p>
    <w:p w14:paraId="1C55191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textAlignment w:val="baseline"/>
        <w:rPr>
          <w:rFonts w:hint="eastAsia" w:ascii="宋体" w:hAnsi="宋体" w:eastAsia="宋体" w:cs="宋体"/>
          <w:sz w:val="24"/>
          <w:szCs w:val="24"/>
        </w:rPr>
      </w:pPr>
      <w:r>
        <w:rPr>
          <w:rFonts w:hint="eastAsia" w:ascii="宋体" w:hAnsi="宋体" w:eastAsia="宋体" w:cs="宋体"/>
          <w:spacing w:val="-4"/>
          <w:sz w:val="24"/>
          <w:szCs w:val="24"/>
        </w:rPr>
        <w:t>垃圾外运、成品保护、现场保洁费用已全部包含在总价内，</w:t>
      </w:r>
      <w:r>
        <w:rPr>
          <w:rFonts w:hint="eastAsia" w:ascii="宋体" w:hAnsi="宋体" w:eastAsia="宋体" w:cs="宋体"/>
          <w:spacing w:val="-13"/>
          <w:sz w:val="24"/>
          <w:szCs w:val="24"/>
        </w:rPr>
        <w:t>甲方不再另行付费；</w:t>
      </w:r>
    </w:p>
    <w:p w14:paraId="7D0AFCB0">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本合同未尽事宜，双方签订书面补充协议，补充协议与本合</w:t>
      </w:r>
      <w:r>
        <w:rPr>
          <w:rFonts w:hint="eastAsia" w:ascii="宋体" w:hAnsi="宋体" w:eastAsia="宋体" w:cs="宋体"/>
          <w:spacing w:val="-13"/>
          <w:sz w:val="24"/>
          <w:szCs w:val="24"/>
        </w:rPr>
        <w:t>同效力一致。</w:t>
      </w:r>
    </w:p>
    <w:p w14:paraId="546158F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8" w:firstLineChars="200"/>
        <w:textAlignment w:val="baseline"/>
        <w:rPr>
          <w:rFonts w:hint="eastAsia" w:ascii="宋体" w:hAnsi="宋体" w:eastAsia="宋体" w:cs="宋体"/>
          <w:sz w:val="24"/>
          <w:szCs w:val="24"/>
        </w:rPr>
      </w:pPr>
      <w:r>
        <w:rPr>
          <w:rFonts w:hint="eastAsia" w:ascii="宋体" w:hAnsi="宋体" w:eastAsia="宋体" w:cs="宋体"/>
          <w:spacing w:val="-3"/>
          <w:sz w:val="24"/>
          <w:szCs w:val="24"/>
        </w:rPr>
        <w:t>第十三条 附件清单（盖章后随合同一并留存）</w:t>
      </w:r>
    </w:p>
    <w:p w14:paraId="2309BC9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textAlignment w:val="baseline"/>
        <w:rPr>
          <w:rFonts w:hint="eastAsia" w:ascii="宋体" w:hAnsi="宋体" w:eastAsia="宋体" w:cs="宋体"/>
          <w:sz w:val="24"/>
          <w:szCs w:val="24"/>
        </w:rPr>
      </w:pPr>
      <w:r>
        <w:rPr>
          <w:rFonts w:hint="eastAsia" w:ascii="宋体" w:hAnsi="宋体" w:eastAsia="宋体" w:cs="宋体"/>
          <w:spacing w:val="-5"/>
          <w:sz w:val="24"/>
          <w:szCs w:val="24"/>
        </w:rPr>
        <w:t>附件一：《安康职小梯间文化建设报价清单》完整版（含全</w:t>
      </w:r>
      <w:r>
        <w:rPr>
          <w:rFonts w:hint="eastAsia" w:ascii="宋体" w:hAnsi="宋体" w:eastAsia="宋体" w:cs="宋体"/>
          <w:spacing w:val="-6"/>
          <w:sz w:val="24"/>
          <w:szCs w:val="24"/>
        </w:rPr>
        <w:t>部工艺备注）</w:t>
      </w:r>
    </w:p>
    <w:p w14:paraId="3F50B9D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pacing w:val="-5"/>
          <w:sz w:val="24"/>
          <w:szCs w:val="24"/>
        </w:rPr>
      </w:pPr>
      <w:r>
        <w:rPr>
          <w:rFonts w:hint="eastAsia" w:ascii="宋体" w:hAnsi="宋体" w:eastAsia="宋体" w:cs="宋体"/>
          <w:spacing w:val="-5"/>
          <w:sz w:val="24"/>
          <w:szCs w:val="24"/>
        </w:rPr>
        <w:t>附件二：项目全套施工效果图、尺寸示意图</w:t>
      </w:r>
    </w:p>
    <w:p w14:paraId="46AA7FBE">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0" w:firstLineChars="200"/>
        <w:jc w:val="both"/>
        <w:textAlignment w:val="baseline"/>
        <w:rPr>
          <w:rFonts w:hint="eastAsia" w:ascii="宋体" w:hAnsi="宋体" w:eastAsia="宋体" w:cs="宋体"/>
          <w:spacing w:val="-4"/>
          <w:sz w:val="24"/>
          <w:szCs w:val="24"/>
        </w:rPr>
      </w:pPr>
      <w:r>
        <w:rPr>
          <w:rFonts w:hint="eastAsia" w:ascii="宋体" w:hAnsi="宋体" w:eastAsia="宋体" w:cs="宋体"/>
          <w:spacing w:val="-5"/>
          <w:sz w:val="24"/>
          <w:szCs w:val="24"/>
        </w:rPr>
        <w:t>附件三：主材样</w:t>
      </w:r>
      <w:r>
        <w:rPr>
          <w:rFonts w:hint="eastAsia" w:ascii="宋体" w:hAnsi="宋体" w:eastAsia="宋体" w:cs="宋体"/>
          <w:spacing w:val="-4"/>
          <w:sz w:val="24"/>
          <w:szCs w:val="24"/>
        </w:rPr>
        <w:t>品封样确认单</w:t>
      </w:r>
    </w:p>
    <w:p w14:paraId="63E7251B">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pacing w:val="-4"/>
          <w:sz w:val="24"/>
          <w:szCs w:val="24"/>
        </w:rPr>
      </w:pPr>
      <w:r>
        <w:rPr>
          <w:rFonts w:hint="eastAsia" w:ascii="宋体" w:hAnsi="宋体" w:eastAsia="宋体" w:cs="宋体"/>
          <w:spacing w:val="-4"/>
          <w:sz w:val="24"/>
          <w:szCs w:val="24"/>
        </w:rPr>
        <w:t>附件四：乙方营业执照、装饰装修资</w:t>
      </w:r>
      <w:r>
        <w:rPr>
          <w:rFonts w:hint="eastAsia" w:ascii="宋体" w:hAnsi="宋体" w:eastAsia="宋体" w:cs="宋体"/>
          <w:spacing w:val="-5"/>
          <w:sz w:val="24"/>
          <w:szCs w:val="24"/>
        </w:rPr>
        <w:t>质、安全生产</w:t>
      </w:r>
      <w:r>
        <w:rPr>
          <w:rFonts w:hint="eastAsia" w:ascii="宋体" w:hAnsi="宋体" w:eastAsia="宋体" w:cs="宋体"/>
          <w:spacing w:val="-4"/>
          <w:sz w:val="24"/>
          <w:szCs w:val="24"/>
        </w:rPr>
        <w:t>许可证复印件</w:t>
      </w:r>
    </w:p>
    <w:p w14:paraId="7293698F">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64" w:firstLineChars="200"/>
        <w:jc w:val="both"/>
        <w:textAlignment w:val="baseline"/>
        <w:rPr>
          <w:rFonts w:hint="eastAsia" w:ascii="宋体" w:hAnsi="宋体" w:eastAsia="宋体" w:cs="宋体"/>
          <w:spacing w:val="-4"/>
          <w:sz w:val="24"/>
          <w:szCs w:val="24"/>
        </w:rPr>
      </w:pPr>
    </w:p>
    <w:p w14:paraId="4DDF6814">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2" w:firstLineChars="200"/>
        <w:jc w:val="both"/>
        <w:textAlignment w:val="baseline"/>
        <w:rPr>
          <w:rFonts w:hint="eastAsia" w:ascii="宋体" w:hAnsi="宋体" w:eastAsia="宋体" w:cs="宋体"/>
          <w:sz w:val="24"/>
          <w:szCs w:val="24"/>
        </w:rPr>
      </w:pPr>
      <w:r>
        <w:rPr>
          <w:rFonts w:hint="eastAsia" w:ascii="宋体" w:hAnsi="宋体" w:eastAsia="宋体" w:cs="宋体"/>
          <w:spacing w:val="-12"/>
          <w:sz w:val="24"/>
          <w:szCs w:val="24"/>
        </w:rPr>
        <w:t>甲方（发包方）盖章：</w:t>
      </w:r>
    </w:p>
    <w:p w14:paraId="316DB379">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法定代表人签字：</w:t>
      </w:r>
    </w:p>
    <w:p w14:paraId="70526CD2">
      <w:pPr>
        <w:pStyle w:val="11"/>
        <w:keepNext w:val="0"/>
        <w:keepLines w:val="0"/>
        <w:pageBreakBefore w:val="0"/>
        <w:widowControl/>
        <w:kinsoku w:val="0"/>
        <w:wordWrap/>
        <w:overflowPunct/>
        <w:topLinePunct w:val="0"/>
        <w:autoSpaceDE w:val="0"/>
        <w:autoSpaceDN w:val="0"/>
        <w:bidi w:val="0"/>
        <w:adjustRightInd w:val="0"/>
        <w:snapToGrid w:val="0"/>
        <w:spacing w:line="480" w:lineRule="exact"/>
        <w:ind w:left="0" w:right="0" w:firstLine="384" w:firstLineChars="200"/>
        <w:textAlignment w:val="baseline"/>
        <w:rPr>
          <w:rFonts w:hint="eastAsia" w:ascii="宋体" w:hAnsi="宋体" w:eastAsia="宋体" w:cs="宋体"/>
          <w:sz w:val="24"/>
          <w:szCs w:val="24"/>
        </w:rPr>
      </w:pPr>
      <w:r>
        <w:rPr>
          <w:rFonts w:hint="eastAsia" w:ascii="宋体" w:hAnsi="宋体" w:eastAsia="宋体" w:cs="宋体"/>
          <w:spacing w:val="-24"/>
          <w:sz w:val="24"/>
          <w:szCs w:val="24"/>
        </w:rPr>
        <w:t>日</w:t>
      </w:r>
      <w:r>
        <w:rPr>
          <w:rFonts w:hint="eastAsia" w:ascii="宋体" w:hAnsi="宋体" w:cs="宋体"/>
          <w:spacing w:val="-24"/>
          <w:sz w:val="24"/>
          <w:szCs w:val="24"/>
          <w:lang w:val="en-US" w:eastAsia="zh-CN"/>
        </w:rPr>
        <w:t xml:space="preserve"> </w:t>
      </w:r>
      <w:r>
        <w:rPr>
          <w:rFonts w:hint="eastAsia" w:ascii="宋体" w:hAnsi="宋体" w:eastAsia="宋体" w:cs="宋体"/>
          <w:spacing w:val="-24"/>
          <w:sz w:val="24"/>
          <w:szCs w:val="24"/>
        </w:rPr>
        <w:t>期：</w:t>
      </w:r>
      <w:r>
        <w:rPr>
          <w:rFonts w:hint="eastAsia" w:ascii="宋体" w:hAnsi="宋体" w:eastAsia="宋体" w:cs="宋体"/>
          <w:sz w:val="24"/>
          <w:szCs w:val="24"/>
          <w:u w:val="single" w:color="auto"/>
        </w:rPr>
        <w:t xml:space="preserve">      </w:t>
      </w:r>
      <w:r>
        <w:rPr>
          <w:rFonts w:hint="eastAsia" w:ascii="宋体" w:hAnsi="宋体" w:eastAsia="宋体" w:cs="宋体"/>
          <w:spacing w:val="-124"/>
          <w:sz w:val="24"/>
          <w:szCs w:val="24"/>
        </w:rPr>
        <w:t xml:space="preserve"> </w:t>
      </w:r>
      <w:r>
        <w:rPr>
          <w:rFonts w:hint="eastAsia" w:ascii="宋体" w:hAnsi="宋体" w:eastAsia="宋体" w:cs="宋体"/>
          <w:spacing w:val="-24"/>
          <w:sz w:val="24"/>
          <w:szCs w:val="24"/>
        </w:rPr>
        <w:t>年</w:t>
      </w:r>
      <w:r>
        <w:rPr>
          <w:rFonts w:hint="eastAsia" w:ascii="宋体" w:hAnsi="宋体" w:eastAsia="宋体" w:cs="宋体"/>
          <w:spacing w:val="-150"/>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7"/>
          <w:sz w:val="24"/>
          <w:szCs w:val="24"/>
        </w:rPr>
        <w:t xml:space="preserve"> </w:t>
      </w:r>
      <w:r>
        <w:rPr>
          <w:rFonts w:hint="eastAsia" w:ascii="宋体" w:hAnsi="宋体" w:eastAsia="宋体" w:cs="宋体"/>
          <w:spacing w:val="-24"/>
          <w:sz w:val="24"/>
          <w:szCs w:val="24"/>
        </w:rPr>
        <w:t>月</w:t>
      </w:r>
      <w:r>
        <w:rPr>
          <w:rFonts w:hint="eastAsia" w:ascii="宋体" w:hAnsi="宋体" w:eastAsia="宋体" w:cs="宋体"/>
          <w:spacing w:val="-150"/>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7"/>
          <w:sz w:val="24"/>
          <w:szCs w:val="24"/>
        </w:rPr>
        <w:t xml:space="preserve"> </w:t>
      </w:r>
      <w:r>
        <w:rPr>
          <w:rFonts w:hint="eastAsia" w:ascii="宋体" w:hAnsi="宋体" w:eastAsia="宋体" w:cs="宋体"/>
          <w:spacing w:val="-24"/>
          <w:sz w:val="24"/>
          <w:szCs w:val="24"/>
        </w:rPr>
        <w:t>日</w:t>
      </w:r>
    </w:p>
    <w:p w14:paraId="5B9A3D71">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80" w:firstLineChars="200"/>
        <w:textAlignment w:val="baseline"/>
        <w:rPr>
          <w:rFonts w:hint="eastAsia" w:ascii="宋体" w:hAnsi="宋体" w:eastAsia="宋体" w:cs="宋体"/>
          <w:sz w:val="24"/>
          <w:szCs w:val="24"/>
        </w:rPr>
      </w:pPr>
    </w:p>
    <w:p w14:paraId="74F27C1B">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80" w:firstLineChars="200"/>
        <w:textAlignment w:val="baseline"/>
        <w:rPr>
          <w:rFonts w:hint="eastAsia" w:ascii="宋体" w:hAnsi="宋体" w:eastAsia="宋体" w:cs="宋体"/>
          <w:sz w:val="24"/>
          <w:szCs w:val="24"/>
        </w:rPr>
      </w:pPr>
    </w:p>
    <w:p w14:paraId="7A32517E">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80" w:firstLineChars="200"/>
        <w:textAlignment w:val="baseline"/>
        <w:rPr>
          <w:rFonts w:hint="eastAsia" w:ascii="宋体" w:hAnsi="宋体" w:eastAsia="宋体" w:cs="宋体"/>
          <w:sz w:val="24"/>
          <w:szCs w:val="24"/>
        </w:rPr>
      </w:pPr>
    </w:p>
    <w:p w14:paraId="4B37D98D">
      <w:pPr>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80" w:firstLineChars="200"/>
        <w:textAlignment w:val="baseline"/>
        <w:rPr>
          <w:rFonts w:hint="eastAsia" w:ascii="宋体" w:hAnsi="宋体" w:eastAsia="宋体" w:cs="宋体"/>
          <w:sz w:val="24"/>
          <w:szCs w:val="24"/>
        </w:rPr>
      </w:pPr>
    </w:p>
    <w:p w14:paraId="1E92D738">
      <w:pPr>
        <w:pStyle w:val="11"/>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乙方（承包方）盖章：</w:t>
      </w:r>
    </w:p>
    <w:p w14:paraId="2B3E692D">
      <w:pPr>
        <w:pStyle w:val="11"/>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36" w:firstLineChars="200"/>
        <w:textAlignment w:val="baseline"/>
        <w:rPr>
          <w:rFonts w:hint="eastAsia" w:ascii="宋体" w:hAnsi="宋体" w:eastAsia="宋体" w:cs="宋体"/>
          <w:sz w:val="24"/>
          <w:szCs w:val="24"/>
        </w:rPr>
      </w:pPr>
      <w:r>
        <w:rPr>
          <w:rFonts w:hint="eastAsia" w:ascii="宋体" w:hAnsi="宋体" w:eastAsia="宋体" w:cs="宋体"/>
          <w:spacing w:val="-11"/>
          <w:sz w:val="24"/>
          <w:szCs w:val="24"/>
        </w:rPr>
        <w:t>法定代表人签字：</w:t>
      </w:r>
    </w:p>
    <w:p w14:paraId="458B8A82">
      <w:pPr>
        <w:pStyle w:val="11"/>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440" w:firstLineChars="200"/>
        <w:textAlignment w:val="baseline"/>
        <w:rPr>
          <w:rFonts w:hint="eastAsia" w:ascii="宋体" w:hAnsi="宋体" w:eastAsia="宋体" w:cs="宋体"/>
          <w:sz w:val="24"/>
          <w:szCs w:val="24"/>
        </w:rPr>
      </w:pPr>
      <w:r>
        <w:rPr>
          <w:rFonts w:hint="eastAsia" w:ascii="宋体" w:hAnsi="宋体" w:eastAsia="宋体" w:cs="宋体"/>
          <w:spacing w:val="-10"/>
          <w:sz w:val="24"/>
          <w:szCs w:val="24"/>
        </w:rPr>
        <w:t>项目负责人签字：</w:t>
      </w:r>
    </w:p>
    <w:p w14:paraId="15277141">
      <w:pPr>
        <w:pStyle w:val="11"/>
        <w:keepNext w:val="0"/>
        <w:keepLines w:val="0"/>
        <w:pageBreakBefore w:val="0"/>
        <w:widowControl/>
        <w:kinsoku w:val="0"/>
        <w:wordWrap/>
        <w:overflowPunct/>
        <w:topLinePunct w:val="0"/>
        <w:autoSpaceDE w:val="0"/>
        <w:autoSpaceDN w:val="0"/>
        <w:bidi w:val="0"/>
        <w:adjustRightInd w:val="0"/>
        <w:snapToGrid w:val="0"/>
        <w:spacing w:line="460" w:lineRule="exact"/>
        <w:ind w:left="0" w:right="0" w:firstLine="384" w:firstLineChars="200"/>
        <w:textAlignment w:val="baseline"/>
        <w:rPr>
          <w:rFonts w:hint="eastAsia" w:ascii="宋体" w:hAnsi="宋体" w:eastAsia="宋体" w:cs="宋体"/>
          <w:sz w:val="24"/>
          <w:szCs w:val="24"/>
        </w:rPr>
      </w:pPr>
      <w:r>
        <w:rPr>
          <w:rFonts w:hint="eastAsia" w:ascii="宋体" w:hAnsi="宋体" w:eastAsia="宋体" w:cs="宋体"/>
          <w:spacing w:val="-24"/>
          <w:sz w:val="24"/>
          <w:szCs w:val="24"/>
        </w:rPr>
        <w:t>日</w:t>
      </w:r>
      <w:r>
        <w:rPr>
          <w:rFonts w:hint="eastAsia" w:ascii="宋体" w:hAnsi="宋体" w:cs="宋体"/>
          <w:spacing w:val="-24"/>
          <w:sz w:val="24"/>
          <w:szCs w:val="24"/>
          <w:lang w:val="en-US" w:eastAsia="zh-CN"/>
        </w:rPr>
        <w:t xml:space="preserve"> </w:t>
      </w:r>
      <w:r>
        <w:rPr>
          <w:rFonts w:hint="eastAsia" w:ascii="宋体" w:hAnsi="宋体" w:eastAsia="宋体" w:cs="宋体"/>
          <w:spacing w:val="-24"/>
          <w:sz w:val="24"/>
          <w:szCs w:val="24"/>
        </w:rPr>
        <w:t>期：</w:t>
      </w:r>
      <w:r>
        <w:rPr>
          <w:rFonts w:hint="eastAsia" w:ascii="宋体" w:hAnsi="宋体" w:eastAsia="宋体" w:cs="宋体"/>
          <w:sz w:val="24"/>
          <w:szCs w:val="24"/>
          <w:u w:val="single" w:color="auto"/>
        </w:rPr>
        <w:t xml:space="preserve">      </w:t>
      </w:r>
      <w:r>
        <w:rPr>
          <w:rFonts w:hint="eastAsia" w:ascii="宋体" w:hAnsi="宋体" w:eastAsia="宋体" w:cs="宋体"/>
          <w:spacing w:val="-124"/>
          <w:sz w:val="24"/>
          <w:szCs w:val="24"/>
        </w:rPr>
        <w:t xml:space="preserve"> </w:t>
      </w:r>
      <w:r>
        <w:rPr>
          <w:rFonts w:hint="eastAsia" w:ascii="宋体" w:hAnsi="宋体" w:eastAsia="宋体" w:cs="宋体"/>
          <w:spacing w:val="-24"/>
          <w:sz w:val="24"/>
          <w:szCs w:val="24"/>
        </w:rPr>
        <w:t>年</w:t>
      </w:r>
      <w:r>
        <w:rPr>
          <w:rFonts w:hint="eastAsia" w:ascii="宋体" w:hAnsi="宋体" w:eastAsia="宋体" w:cs="宋体"/>
          <w:spacing w:val="-150"/>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117"/>
          <w:sz w:val="24"/>
          <w:szCs w:val="24"/>
        </w:rPr>
        <w:t xml:space="preserve"> </w:t>
      </w:r>
      <w:r>
        <w:rPr>
          <w:rFonts w:hint="eastAsia" w:ascii="宋体" w:hAnsi="宋体" w:eastAsia="宋体" w:cs="宋体"/>
          <w:spacing w:val="-24"/>
          <w:sz w:val="24"/>
          <w:szCs w:val="24"/>
        </w:rPr>
        <w:t>月</w:t>
      </w:r>
      <w:r>
        <w:rPr>
          <w:rFonts w:hint="eastAsia" w:ascii="宋体" w:hAnsi="宋体" w:eastAsia="宋体" w:cs="宋体"/>
          <w:spacing w:val="-150"/>
          <w:sz w:val="24"/>
          <w:szCs w:val="24"/>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7"/>
          <w:sz w:val="24"/>
          <w:szCs w:val="24"/>
        </w:rPr>
        <w:t xml:space="preserve"> </w:t>
      </w:r>
      <w:r>
        <w:rPr>
          <w:rFonts w:hint="eastAsia" w:ascii="宋体" w:hAnsi="宋体" w:eastAsia="宋体" w:cs="宋体"/>
          <w:spacing w:val="-24"/>
          <w:sz w:val="24"/>
          <w:szCs w:val="24"/>
        </w:rPr>
        <w:t>日</w:t>
      </w:r>
    </w:p>
    <w:p w14:paraId="549495E0">
      <w:pPr>
        <w:widowControl/>
        <w:spacing w:line="480" w:lineRule="exact"/>
        <w:jc w:val="left"/>
        <w:rPr>
          <w:rFonts w:hint="default" w:ascii="宋体" w:hAnsi="宋体" w:eastAsia="新宋体" w:cs="宋体"/>
          <w:color w:val="auto"/>
          <w:sz w:val="24"/>
          <w:szCs w:val="24"/>
          <w:lang w:val="en-US" w:eastAsia="zh-CN"/>
        </w:rPr>
      </w:pPr>
    </w:p>
    <w:p w14:paraId="4C0447E9">
      <w:pPr>
        <w:pStyle w:val="34"/>
        <w:rPr>
          <w:rFonts w:hint="eastAsia"/>
          <w:color w:val="auto"/>
        </w:rPr>
      </w:pPr>
      <w:r>
        <w:rPr>
          <w:rFonts w:hint="eastAsia"/>
          <w:color w:val="auto"/>
          <w:sz w:val="24"/>
          <w:szCs w:val="24"/>
        </w:rPr>
        <w:t xml:space="preserve">    </w:t>
      </w:r>
    </w:p>
    <w:p w14:paraId="2352DE9F">
      <w:pPr>
        <w:pStyle w:val="22"/>
        <w:numPr>
          <w:ilvl w:val="0"/>
          <w:numId w:val="0"/>
        </w:numPr>
        <w:spacing w:before="0" w:after="0" w:line="420" w:lineRule="exact"/>
        <w:jc w:val="center"/>
        <w:outlineLvl w:val="0"/>
        <w:rPr>
          <w:rFonts w:hint="eastAsia"/>
          <w:color w:val="auto"/>
          <w:sz w:val="36"/>
          <w:lang w:val="en-US" w:eastAsia="zh-CN"/>
        </w:rPr>
        <w:sectPr>
          <w:pgSz w:w="11906" w:h="16838"/>
          <w:pgMar w:top="1417" w:right="1417" w:bottom="1417" w:left="1417" w:header="1134" w:footer="992" w:gutter="0"/>
          <w:pgNumType w:fmt="decimal"/>
          <w:cols w:space="0" w:num="1"/>
          <w:titlePg/>
          <w:rtlGutter w:val="0"/>
          <w:docGrid w:type="lines" w:linePitch="333" w:charSpace="0"/>
        </w:sectPr>
      </w:pPr>
    </w:p>
    <w:p w14:paraId="1938E3FB">
      <w:pPr>
        <w:pStyle w:val="22"/>
        <w:numPr>
          <w:ilvl w:val="0"/>
          <w:numId w:val="0"/>
        </w:numPr>
        <w:spacing w:before="0" w:after="0" w:line="420" w:lineRule="exact"/>
        <w:jc w:val="center"/>
        <w:outlineLvl w:val="0"/>
        <w:rPr>
          <w:rFonts w:hint="eastAsia" w:eastAsia="宋体"/>
          <w:color w:val="auto"/>
          <w:sz w:val="36"/>
        </w:rPr>
      </w:pPr>
      <w:bookmarkStart w:id="142" w:name="_Toc22897"/>
      <w:r>
        <w:rPr>
          <w:rFonts w:hint="eastAsia"/>
          <w:color w:val="auto"/>
          <w:sz w:val="36"/>
          <w:lang w:val="en-US" w:eastAsia="zh-CN"/>
        </w:rPr>
        <w:t xml:space="preserve">第七部分 </w:t>
      </w:r>
      <w:r>
        <w:rPr>
          <w:rFonts w:hint="eastAsia" w:eastAsia="宋体"/>
          <w:color w:val="auto"/>
          <w:sz w:val="36"/>
        </w:rPr>
        <w:t xml:space="preserve">  响应文件格式</w:t>
      </w:r>
      <w:bookmarkEnd w:id="142"/>
    </w:p>
    <w:p w14:paraId="5E0D34AD">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655307F1">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4FB4E78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01FBE90E">
      <w:pPr>
        <w:widowControl/>
        <w:spacing w:line="600" w:lineRule="exact"/>
        <w:rPr>
          <w:rFonts w:cs="仿宋" w:asciiTheme="minorEastAsia" w:hAnsiTheme="minorEastAsia" w:eastAsiaTheme="minorEastAsia"/>
          <w:bCs/>
          <w:color w:val="auto"/>
          <w:spacing w:val="20"/>
          <w:kern w:val="0"/>
          <w:sz w:val="84"/>
          <w:szCs w:val="84"/>
        </w:rPr>
      </w:pPr>
    </w:p>
    <w:p w14:paraId="1A22C426">
      <w:pPr>
        <w:pStyle w:val="5"/>
        <w:rPr>
          <w:color w:val="auto"/>
        </w:rPr>
      </w:pPr>
    </w:p>
    <w:p w14:paraId="45B5413B">
      <w:pPr>
        <w:rPr>
          <w:color w:val="auto"/>
        </w:rPr>
      </w:pPr>
    </w:p>
    <w:p w14:paraId="4E679573">
      <w:pPr>
        <w:pStyle w:val="5"/>
        <w:rPr>
          <w:color w:val="auto"/>
        </w:rPr>
      </w:pPr>
    </w:p>
    <w:p w14:paraId="57B28BA9">
      <w:pPr>
        <w:rPr>
          <w:color w:val="auto"/>
        </w:rPr>
      </w:pPr>
    </w:p>
    <w:p w14:paraId="4E3D65B1">
      <w:pPr>
        <w:adjustRightInd w:val="0"/>
        <w:snapToGrid w:val="0"/>
        <w:spacing w:line="360" w:lineRule="auto"/>
        <w:ind w:right="338" w:rightChars="161"/>
        <w:jc w:val="center"/>
        <w:rPr>
          <w:rFonts w:hint="default" w:ascii="宋体" w:hAnsi="宋体" w:cs="仿宋_GB2312"/>
          <w:color w:val="auto"/>
          <w:sz w:val="24"/>
          <w:lang w:val="en-US"/>
        </w:rPr>
      </w:pPr>
      <w:r>
        <w:rPr>
          <w:rFonts w:hint="eastAsia" w:ascii="宋体" w:hAnsi="宋体" w:cs="宋体"/>
          <w:b/>
          <w:bCs/>
          <w:color w:val="auto"/>
          <w:sz w:val="56"/>
          <w:szCs w:val="56"/>
          <w:u w:val="single"/>
          <w:lang w:val="en-US" w:eastAsia="zh-CN"/>
        </w:rPr>
        <w:t xml:space="preserve">                 </w:t>
      </w:r>
      <w:r>
        <w:rPr>
          <w:rFonts w:hint="eastAsia" w:ascii="宋体" w:hAnsi="宋体" w:cs="宋体"/>
          <w:b/>
          <w:bCs/>
          <w:color w:val="auto"/>
          <w:sz w:val="56"/>
          <w:szCs w:val="56"/>
          <w:u w:val="none"/>
          <w:lang w:val="en-US" w:eastAsia="zh-CN"/>
        </w:rPr>
        <w:t>项目</w:t>
      </w:r>
    </w:p>
    <w:p w14:paraId="096F119E">
      <w:pPr>
        <w:pStyle w:val="20"/>
        <w:jc w:val="center"/>
        <w:rPr>
          <w:rFonts w:ascii="宋体" w:hAnsi="宋体" w:cs="宋体"/>
          <w:b/>
          <w:bCs/>
          <w:color w:val="auto"/>
          <w:sz w:val="48"/>
          <w:szCs w:val="48"/>
        </w:rPr>
      </w:pPr>
    </w:p>
    <w:p w14:paraId="6AAE874C">
      <w:pPr>
        <w:pStyle w:val="20"/>
        <w:rPr>
          <w:color w:val="auto"/>
        </w:rPr>
      </w:pPr>
    </w:p>
    <w:p w14:paraId="7D0D2306">
      <w:pPr>
        <w:pStyle w:val="20"/>
        <w:rPr>
          <w:color w:val="auto"/>
        </w:rPr>
      </w:pPr>
    </w:p>
    <w:p w14:paraId="6D19D898">
      <w:pPr>
        <w:pStyle w:val="20"/>
        <w:rPr>
          <w:color w:val="auto"/>
        </w:rPr>
      </w:pPr>
    </w:p>
    <w:p w14:paraId="76B5CCFC">
      <w:pPr>
        <w:pStyle w:val="20"/>
        <w:rPr>
          <w:color w:val="auto"/>
        </w:rPr>
      </w:pPr>
    </w:p>
    <w:p w14:paraId="66E71B40">
      <w:pPr>
        <w:widowControl/>
        <w:spacing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33AE57BA">
      <w:pPr>
        <w:pStyle w:val="20"/>
        <w:rPr>
          <w:color w:val="auto"/>
        </w:rPr>
      </w:pPr>
    </w:p>
    <w:p w14:paraId="3715206D">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43E31C2">
      <w:pPr>
        <w:widowControl/>
        <w:spacing w:line="400" w:lineRule="exact"/>
        <w:rPr>
          <w:rFonts w:cs="仿宋" w:asciiTheme="minorEastAsia" w:hAnsiTheme="minorEastAsia" w:eastAsiaTheme="minorEastAsia"/>
          <w:bCs/>
          <w:color w:val="auto"/>
          <w:sz w:val="18"/>
          <w:szCs w:val="18"/>
        </w:rPr>
      </w:pPr>
    </w:p>
    <w:p w14:paraId="55C046BC">
      <w:pPr>
        <w:widowControl/>
        <w:spacing w:line="400" w:lineRule="exact"/>
        <w:rPr>
          <w:rFonts w:cs="仿宋" w:asciiTheme="minorEastAsia" w:hAnsiTheme="minorEastAsia" w:eastAsiaTheme="minorEastAsia"/>
          <w:bCs/>
          <w:color w:val="auto"/>
          <w:sz w:val="18"/>
          <w:szCs w:val="18"/>
        </w:rPr>
      </w:pPr>
    </w:p>
    <w:p w14:paraId="3E4199F4">
      <w:pPr>
        <w:widowControl/>
        <w:spacing w:line="400" w:lineRule="exact"/>
        <w:rPr>
          <w:rFonts w:cs="仿宋" w:asciiTheme="minorEastAsia" w:hAnsiTheme="minorEastAsia" w:eastAsiaTheme="minorEastAsia"/>
          <w:bCs/>
          <w:color w:val="auto"/>
          <w:sz w:val="18"/>
          <w:szCs w:val="18"/>
        </w:rPr>
      </w:pPr>
    </w:p>
    <w:p w14:paraId="78137CD6">
      <w:pPr>
        <w:widowControl/>
        <w:spacing w:line="480" w:lineRule="auto"/>
        <w:rPr>
          <w:rFonts w:cs="仿宋" w:asciiTheme="minorEastAsia" w:hAnsiTheme="minorEastAsia" w:eastAsiaTheme="minorEastAsia"/>
          <w:bCs/>
          <w:color w:val="auto"/>
          <w:sz w:val="36"/>
          <w:szCs w:val="36"/>
        </w:rPr>
      </w:pPr>
    </w:p>
    <w:p w14:paraId="15C47E17">
      <w:pPr>
        <w:widowControl/>
        <w:spacing w:line="480" w:lineRule="auto"/>
        <w:rPr>
          <w:rFonts w:cs="仿宋" w:asciiTheme="minorEastAsia" w:hAnsiTheme="minorEastAsia" w:eastAsiaTheme="minorEastAsia"/>
          <w:bCs/>
          <w:color w:val="auto"/>
          <w:sz w:val="36"/>
          <w:szCs w:val="36"/>
        </w:rPr>
      </w:pPr>
    </w:p>
    <w:p w14:paraId="1090E09E">
      <w:pPr>
        <w:pStyle w:val="11"/>
        <w:rPr>
          <w:color w:val="auto"/>
        </w:rPr>
      </w:pPr>
    </w:p>
    <w:p w14:paraId="761316B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____________________________</w:t>
      </w:r>
    </w:p>
    <w:p w14:paraId="0AE9D218">
      <w:pPr>
        <w:snapToGrid w:val="0"/>
        <w:spacing w:line="360" w:lineRule="auto"/>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lang w:val="en-US" w:eastAsia="zh-CN"/>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w:t>
      </w:r>
    </w:p>
    <w:p w14:paraId="26BCD255">
      <w:pPr>
        <w:snapToGrid w:val="0"/>
        <w:spacing w:line="360" w:lineRule="auto"/>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________________________________________________________</w:t>
      </w:r>
    </w:p>
    <w:p w14:paraId="43AC6770">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292F6B40">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27E6E44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4E9E1BF4">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Calibri Light" w:hAnsi="Calibri Light" w:eastAsia="宋体" w:cs="Times New Roman"/>
          <w:color w:val="auto"/>
          <w:sz w:val="32"/>
          <w:szCs w:val="32"/>
          <w:lang w:val="en-US" w:eastAsia="zh-CN"/>
        </w:rPr>
        <w:t>已标价工程量清单</w:t>
      </w:r>
    </w:p>
    <w:p w14:paraId="5ABFEB8A">
      <w:pPr>
        <w:pStyle w:val="20"/>
        <w:spacing w:line="360" w:lineRule="auto"/>
        <w:ind w:left="1155" w:leftChars="550"/>
        <w:rPr>
          <w:rFonts w:ascii="宋体" w:hAnsi="宋体"/>
          <w:color w:val="auto"/>
          <w:sz w:val="32"/>
          <w:szCs w:val="28"/>
        </w:rPr>
      </w:pPr>
      <w:r>
        <w:rPr>
          <w:rFonts w:hint="eastAsia" w:ascii="宋体" w:hAnsi="宋体"/>
          <w:color w:val="auto"/>
          <w:sz w:val="32"/>
          <w:szCs w:val="28"/>
        </w:rPr>
        <w:t>第四章</w:t>
      </w:r>
      <w:r>
        <w:rPr>
          <w:rFonts w:hint="eastAsia" w:ascii="宋体" w:hAnsi="宋体"/>
          <w:color w:val="auto"/>
          <w:sz w:val="32"/>
          <w:szCs w:val="28"/>
          <w:lang w:val="en-US" w:eastAsia="zh-CN"/>
        </w:rPr>
        <w:t xml:space="preserve">   </w:t>
      </w:r>
      <w:r>
        <w:rPr>
          <w:rFonts w:hint="eastAsia" w:ascii="宋体" w:hAnsi="宋体"/>
          <w:color w:val="auto"/>
          <w:sz w:val="32"/>
          <w:szCs w:val="28"/>
        </w:rPr>
        <w:t>供应商</w:t>
      </w:r>
      <w:r>
        <w:rPr>
          <w:rFonts w:hint="eastAsia" w:ascii="宋体" w:hAnsi="宋体"/>
          <w:color w:val="auto"/>
          <w:sz w:val="32"/>
          <w:szCs w:val="28"/>
          <w:lang w:val="en-US" w:eastAsia="zh-CN"/>
        </w:rPr>
        <w:t>资格证明文件</w:t>
      </w:r>
    </w:p>
    <w:p w14:paraId="49DB93BF">
      <w:pPr>
        <w:pStyle w:val="20"/>
        <w:spacing w:line="360" w:lineRule="auto"/>
        <w:ind w:left="1155" w:leftChars="550"/>
        <w:rPr>
          <w:rFonts w:ascii="宋体" w:hAnsi="宋体"/>
          <w:color w:val="auto"/>
          <w:sz w:val="32"/>
          <w:szCs w:val="28"/>
        </w:rPr>
      </w:pPr>
      <w:r>
        <w:rPr>
          <w:rFonts w:hint="eastAsia" w:ascii="宋体" w:hAnsi="宋体"/>
          <w:color w:val="auto"/>
          <w:sz w:val="32"/>
          <w:szCs w:val="28"/>
        </w:rPr>
        <w:t>第五章</w:t>
      </w:r>
      <w:r>
        <w:rPr>
          <w:rFonts w:hint="eastAsia" w:ascii="宋体" w:hAnsi="宋体"/>
          <w:color w:val="auto"/>
          <w:sz w:val="32"/>
          <w:szCs w:val="28"/>
          <w:lang w:val="en-US" w:eastAsia="zh-CN"/>
        </w:rPr>
        <w:t xml:space="preserve">   技术商务响应偏离表</w:t>
      </w:r>
    </w:p>
    <w:p w14:paraId="3094D50C">
      <w:pPr>
        <w:pStyle w:val="20"/>
        <w:spacing w:line="360" w:lineRule="auto"/>
        <w:ind w:left="1155" w:leftChars="550"/>
        <w:rPr>
          <w:rFonts w:ascii="宋体" w:hAnsi="宋体"/>
          <w:color w:val="auto"/>
          <w:sz w:val="32"/>
          <w:szCs w:val="28"/>
        </w:rPr>
      </w:pPr>
      <w:r>
        <w:rPr>
          <w:rFonts w:hint="eastAsia" w:ascii="宋体" w:hAnsi="宋体"/>
          <w:color w:val="auto"/>
          <w:sz w:val="32"/>
          <w:szCs w:val="28"/>
        </w:rPr>
        <w:t>第六章</w:t>
      </w:r>
      <w:r>
        <w:rPr>
          <w:rFonts w:hint="eastAsia" w:ascii="宋体" w:hAnsi="宋体"/>
          <w:color w:val="auto"/>
          <w:sz w:val="32"/>
          <w:szCs w:val="28"/>
          <w:lang w:val="en-US" w:eastAsia="zh-CN"/>
        </w:rPr>
        <w:t xml:space="preserve">   响应</w:t>
      </w:r>
      <w:r>
        <w:rPr>
          <w:rFonts w:hint="eastAsia" w:ascii="宋体" w:hAnsi="宋体"/>
          <w:color w:val="auto"/>
          <w:sz w:val="32"/>
          <w:szCs w:val="28"/>
        </w:rPr>
        <w:t>方案</w:t>
      </w:r>
    </w:p>
    <w:p w14:paraId="60FEE06D">
      <w:pPr>
        <w:pStyle w:val="20"/>
        <w:spacing w:line="360" w:lineRule="auto"/>
        <w:ind w:left="1155" w:leftChars="550"/>
        <w:rPr>
          <w:rFonts w:ascii="宋体" w:hAnsi="宋体"/>
          <w:color w:val="auto"/>
          <w:sz w:val="32"/>
          <w:szCs w:val="28"/>
        </w:rPr>
      </w:pPr>
      <w:r>
        <w:rPr>
          <w:rFonts w:hint="eastAsia" w:ascii="宋体" w:hAnsi="宋体"/>
          <w:color w:val="auto"/>
          <w:sz w:val="32"/>
          <w:szCs w:val="28"/>
          <w:lang w:val="en-US" w:eastAsia="zh-CN"/>
        </w:rPr>
        <w:t xml:space="preserve">第七章   </w:t>
      </w:r>
      <w:r>
        <w:rPr>
          <w:rFonts w:hint="eastAsia" w:ascii="宋体" w:hAnsi="宋体"/>
          <w:color w:val="auto"/>
          <w:sz w:val="32"/>
          <w:szCs w:val="28"/>
        </w:rPr>
        <w:t>供应商承诺书</w:t>
      </w:r>
    </w:p>
    <w:p w14:paraId="39CC1270">
      <w:pPr>
        <w:pStyle w:val="20"/>
        <w:spacing w:line="360" w:lineRule="auto"/>
        <w:ind w:left="1155" w:leftChars="550"/>
        <w:rPr>
          <w:rFonts w:ascii="宋体" w:hAnsi="宋体"/>
          <w:color w:val="auto"/>
          <w:sz w:val="32"/>
          <w:szCs w:val="28"/>
        </w:rPr>
      </w:pPr>
    </w:p>
    <w:p w14:paraId="39E2776F">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607D2B65">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3DB90143">
      <w:pPr>
        <w:pStyle w:val="20"/>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5015F3C4">
      <w:pPr>
        <w:pStyle w:val="20"/>
        <w:spacing w:line="360" w:lineRule="auto"/>
        <w:ind w:left="1155" w:leftChars="550"/>
        <w:rPr>
          <w:rFonts w:ascii="宋体" w:hAnsi="宋体"/>
          <w:color w:val="auto"/>
          <w:sz w:val="32"/>
          <w:szCs w:val="28"/>
        </w:rPr>
      </w:pPr>
      <w:r>
        <w:rPr>
          <w:rFonts w:ascii="宋体" w:hAnsi="宋体"/>
          <w:color w:val="auto"/>
          <w:sz w:val="32"/>
          <w:szCs w:val="28"/>
        </w:rPr>
        <w:t xml:space="preserve">  </w:t>
      </w:r>
    </w:p>
    <w:p w14:paraId="32B65A51">
      <w:pPr>
        <w:pStyle w:val="20"/>
        <w:spacing w:line="360" w:lineRule="auto"/>
        <w:ind w:left="1155" w:leftChars="550"/>
        <w:rPr>
          <w:rFonts w:ascii="宋体" w:hAnsi="宋体"/>
          <w:color w:val="auto"/>
          <w:sz w:val="32"/>
          <w:szCs w:val="28"/>
        </w:rPr>
      </w:pPr>
    </w:p>
    <w:p w14:paraId="02816C00">
      <w:pPr>
        <w:pStyle w:val="20"/>
        <w:spacing w:line="480" w:lineRule="auto"/>
        <w:ind w:left="945" w:leftChars="450"/>
        <w:rPr>
          <w:color w:val="auto"/>
        </w:rPr>
      </w:pPr>
      <w:r>
        <w:rPr>
          <w:rFonts w:hint="eastAsia"/>
          <w:color w:val="auto"/>
          <w:sz w:val="30"/>
          <w:szCs w:val="30"/>
        </w:rPr>
        <w:tab/>
      </w:r>
    </w:p>
    <w:p w14:paraId="3B1DE63F">
      <w:pPr>
        <w:pStyle w:val="3"/>
        <w:pageBreakBefore/>
        <w:jc w:val="center"/>
        <w:rPr>
          <w:rFonts w:hint="eastAsia" w:ascii="Calibri Light" w:hAnsi="Calibri Light" w:eastAsia="宋体" w:cs="Times New Roman"/>
          <w:color w:val="auto"/>
          <w:sz w:val="32"/>
          <w:szCs w:val="32"/>
          <w:lang w:val="en-US" w:eastAsia="zh-CN"/>
        </w:rPr>
      </w:pPr>
      <w:bookmarkStart w:id="143" w:name="_Toc2536"/>
      <w:bookmarkStart w:id="144" w:name="_Toc536202324"/>
      <w:bookmarkStart w:id="145" w:name="_Toc10356"/>
      <w:bookmarkStart w:id="146" w:name="_Toc19543349"/>
      <w:bookmarkStart w:id="147" w:name="_Toc536202393"/>
      <w:bookmarkStart w:id="148" w:name="_Toc536429333"/>
      <w:bookmarkStart w:id="149" w:name="_Toc536429386"/>
      <w:r>
        <w:rPr>
          <w:rFonts w:hint="eastAsia" w:ascii="Calibri Light" w:hAnsi="Calibri Light" w:eastAsia="宋体" w:cs="Times New Roman"/>
          <w:color w:val="auto"/>
          <w:sz w:val="32"/>
          <w:szCs w:val="32"/>
          <w:lang w:val="en-US" w:eastAsia="zh-CN"/>
        </w:rPr>
        <w:t>第一</w:t>
      </w:r>
      <w:bookmarkEnd w:id="143"/>
      <w:r>
        <w:rPr>
          <w:rFonts w:hint="eastAsia" w:ascii="Calibri Light" w:hAnsi="Calibri Light" w:eastAsia="宋体" w:cs="Times New Roman"/>
          <w:color w:val="auto"/>
          <w:sz w:val="32"/>
          <w:szCs w:val="32"/>
          <w:lang w:val="en-US" w:eastAsia="zh-CN"/>
        </w:rPr>
        <w:t>章  响应函</w:t>
      </w:r>
      <w:bookmarkEnd w:id="144"/>
      <w:bookmarkEnd w:id="145"/>
      <w:bookmarkEnd w:id="146"/>
      <w:bookmarkEnd w:id="147"/>
      <w:bookmarkEnd w:id="148"/>
      <w:bookmarkEnd w:id="149"/>
    </w:p>
    <w:p w14:paraId="092496CC">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59D54F8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r>
        <w:rPr>
          <w:rFonts w:hint="eastAsia" w:ascii="宋体" w:hAnsi="宋体" w:cs="宋体"/>
          <w:color w:val="auto"/>
          <w:sz w:val="24"/>
          <w:szCs w:val="24"/>
        </w:rPr>
        <w:t>竞争性磋商文件，经详细研究，我公司决定参加本次磋商活动。为此，我方郑重承诺以下诸点，并负法律责任。</w:t>
      </w:r>
    </w:p>
    <w:p w14:paraId="31CF664C">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40117C5">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w:t>
      </w:r>
      <w:r>
        <w:rPr>
          <w:rFonts w:hint="eastAsia" w:ascii="宋体" w:hAnsi="宋体" w:cs="宋体"/>
          <w:color w:val="auto"/>
          <w:sz w:val="24"/>
          <w:szCs w:val="24"/>
          <w:lang w:val="en-US" w:eastAsia="zh-CN"/>
        </w:rPr>
        <w:t>投标总价</w:t>
      </w:r>
      <w:r>
        <w:rPr>
          <w:rFonts w:hint="eastAsia" w:ascii="宋体" w:hAnsi="宋体" w:cs="宋体"/>
          <w:color w:val="auto"/>
          <w:sz w:val="24"/>
          <w:szCs w:val="24"/>
        </w:rPr>
        <w:t>为：</w:t>
      </w:r>
    </w:p>
    <w:p w14:paraId="08922077">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eastAsia="宋体"/>
          <w:color w:val="auto"/>
          <w:lang w:val="en-US" w:eastAsia="zh-CN"/>
        </w:rPr>
      </w:pPr>
      <w:r>
        <w:rPr>
          <w:rFonts w:hint="eastAsia" w:ascii="宋体" w:hAnsi="宋体" w:cs="宋体"/>
          <w:color w:val="auto"/>
          <w:sz w:val="24"/>
          <w:szCs w:val="24"/>
        </w:rPr>
        <w:t>人民币（大写）：______________元；（小写）￥：______元；</w:t>
      </w:r>
    </w:p>
    <w:p w14:paraId="41155B58">
      <w:pPr>
        <w:adjustRightInd w:val="0"/>
        <w:snapToGrid w:val="0"/>
        <w:spacing w:line="480" w:lineRule="exact"/>
        <w:ind w:firstLine="480" w:firstLineChars="200"/>
        <w:jc w:val="lef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r>
        <w:rPr>
          <w:rFonts w:hint="eastAsia" w:ascii="宋体" w:hAnsi="宋体" w:cs="宋体"/>
          <w:color w:val="auto"/>
          <w:sz w:val="24"/>
          <w:szCs w:val="24"/>
          <w:lang w:eastAsia="zh-CN"/>
        </w:rPr>
        <w:t>。</w:t>
      </w:r>
    </w:p>
    <w:p w14:paraId="03F250B7">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19D4350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w:t>
      </w:r>
      <w:r>
        <w:rPr>
          <w:rFonts w:hint="eastAsia" w:ascii="宋体" w:hAnsi="宋体" w:cs="宋体"/>
          <w:color w:val="auto"/>
          <w:sz w:val="24"/>
          <w:szCs w:val="24"/>
          <w:lang w:val="en-US" w:eastAsia="zh-CN"/>
        </w:rPr>
        <w:t>将承担相关法律责任</w:t>
      </w:r>
      <w:r>
        <w:rPr>
          <w:rFonts w:hint="eastAsia" w:ascii="宋体" w:hAnsi="宋体" w:cs="宋体"/>
          <w:color w:val="auto"/>
          <w:sz w:val="24"/>
          <w:szCs w:val="24"/>
        </w:rPr>
        <w:t>。</w:t>
      </w:r>
    </w:p>
    <w:p w14:paraId="27F6C3D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6B814BA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308FA185">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4A111E8E">
      <w:pPr>
        <w:adjustRightInd w:val="0"/>
        <w:snapToGrid w:val="0"/>
        <w:spacing w:line="480" w:lineRule="exact"/>
        <w:ind w:firstLine="480" w:firstLineChars="200"/>
        <w:jc w:val="left"/>
        <w:rPr>
          <w:rFonts w:hint="eastAsia" w:ascii="宋体" w:hAnsi="宋体" w:cs="宋体"/>
          <w:color w:val="auto"/>
          <w:sz w:val="24"/>
          <w:szCs w:val="24"/>
        </w:rPr>
      </w:pPr>
    </w:p>
    <w:p w14:paraId="7AB65EE2">
      <w:pPr>
        <w:adjustRightInd w:val="0"/>
        <w:snapToGrid w:val="0"/>
        <w:spacing w:line="480" w:lineRule="exact"/>
        <w:ind w:firstLine="480" w:firstLineChars="200"/>
        <w:jc w:val="left"/>
        <w:rPr>
          <w:rFonts w:hint="eastAsia" w:ascii="宋体" w:hAnsi="宋体" w:cs="宋体"/>
          <w:color w:val="auto"/>
          <w:sz w:val="24"/>
          <w:szCs w:val="24"/>
        </w:rPr>
      </w:pPr>
    </w:p>
    <w:p w14:paraId="5010F3B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22CC92B0">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w:t>
      </w:r>
    </w:p>
    <w:p w14:paraId="19B0DA6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667DDD5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1EA453D4">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5A7631A9">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1A950C48">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6FDEBF51">
      <w:pPr>
        <w:adjustRightInd w:val="0"/>
        <w:snapToGrid w:val="0"/>
        <w:spacing w:line="480" w:lineRule="exact"/>
        <w:ind w:firstLine="480" w:firstLineChars="200"/>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50" w:name="_Toc28494"/>
    </w:p>
    <w:p w14:paraId="0F84E9C5">
      <w:pPr>
        <w:pStyle w:val="3"/>
        <w:pageBreakBefore/>
        <w:jc w:val="center"/>
        <w:rPr>
          <w:rFonts w:hint="eastAsia" w:ascii="Calibri Light" w:hAnsi="Calibri Light" w:eastAsia="宋体" w:cs="Times New Roman"/>
          <w:color w:val="auto"/>
          <w:sz w:val="32"/>
          <w:szCs w:val="32"/>
          <w:lang w:val="en-US" w:eastAsia="zh-CN"/>
        </w:rPr>
      </w:pPr>
      <w:bookmarkStart w:id="151" w:name="_Toc30983"/>
      <w:bookmarkStart w:id="152" w:name="_Toc536202394"/>
      <w:bookmarkStart w:id="153" w:name="_Toc19543350"/>
      <w:bookmarkStart w:id="154" w:name="_Toc536202325"/>
      <w:bookmarkStart w:id="155" w:name="_Toc536429387"/>
      <w:bookmarkStart w:id="156" w:name="_Toc536429334"/>
      <w:r>
        <w:rPr>
          <w:rFonts w:hint="eastAsia" w:ascii="Calibri Light" w:hAnsi="Calibri Light" w:eastAsia="宋体" w:cs="Times New Roman"/>
          <w:color w:val="auto"/>
          <w:sz w:val="32"/>
          <w:szCs w:val="32"/>
          <w:lang w:val="en-US" w:eastAsia="zh-CN"/>
        </w:rPr>
        <w:t>第二</w:t>
      </w:r>
      <w:bookmarkEnd w:id="150"/>
      <w:r>
        <w:rPr>
          <w:rFonts w:hint="eastAsia" w:ascii="Calibri Light" w:hAnsi="Calibri Light" w:eastAsia="宋体" w:cs="Times New Roman"/>
          <w:color w:val="auto"/>
          <w:sz w:val="32"/>
          <w:szCs w:val="32"/>
          <w:lang w:val="en-US" w:eastAsia="zh-CN"/>
        </w:rPr>
        <w:t xml:space="preserve">章  </w:t>
      </w:r>
      <w:bookmarkEnd w:id="151"/>
      <w:r>
        <w:rPr>
          <w:rFonts w:hint="eastAsia" w:ascii="Calibri Light" w:hAnsi="Calibri Light" w:eastAsia="宋体" w:cs="Times New Roman"/>
          <w:color w:val="auto"/>
          <w:sz w:val="32"/>
          <w:szCs w:val="32"/>
          <w:lang w:val="en-US" w:eastAsia="zh-CN"/>
        </w:rPr>
        <w:t>响应报价表</w:t>
      </w:r>
      <w:bookmarkEnd w:id="152"/>
      <w:bookmarkEnd w:id="153"/>
      <w:bookmarkEnd w:id="154"/>
      <w:bookmarkEnd w:id="155"/>
      <w:bookmarkEnd w:id="156"/>
    </w:p>
    <w:p w14:paraId="23443128">
      <w:pPr>
        <w:keepNext w:val="0"/>
        <w:keepLines w:val="0"/>
        <w:suppressLineNumbers w:val="0"/>
        <w:kinsoku w:val="0"/>
        <w:spacing w:before="0" w:beforeAutospacing="0" w:after="0" w:afterAutospacing="0" w:line="500" w:lineRule="exact"/>
        <w:ind w:left="0" w:right="0" w:firstLine="480" w:firstLineChars="200"/>
        <w:jc w:val="both"/>
        <w:rPr>
          <w:rFonts w:hint="eastAsia" w:ascii="宋体" w:hAnsi="宋体" w:eastAsia="宋体" w:cs="Times New Roman"/>
          <w:color w:val="auto"/>
          <w:sz w:val="24"/>
          <w:szCs w:val="24"/>
        </w:rPr>
      </w:pPr>
      <w:bookmarkStart w:id="157" w:name="_Toc536429335"/>
      <w:bookmarkStart w:id="158" w:name="_Toc536202395"/>
      <w:bookmarkStart w:id="159" w:name="_Toc536202326"/>
      <w:bookmarkStart w:id="160" w:name="_Toc536429388"/>
      <w:r>
        <w:rPr>
          <w:rFonts w:hint="eastAsia" w:ascii="宋体" w:hAnsi="宋体" w:eastAsia="宋体" w:cs="Times New Roman"/>
          <w:color w:val="auto"/>
          <w:sz w:val="24"/>
          <w:szCs w:val="24"/>
        </w:rPr>
        <w:t>供应商名称：</w:t>
      </w:r>
      <w:bookmarkEnd w:id="157"/>
      <w:bookmarkEnd w:id="158"/>
      <w:bookmarkEnd w:id="159"/>
      <w:bookmarkEnd w:id="160"/>
      <w:r>
        <w:rPr>
          <w:rFonts w:hint="eastAsia" w:ascii="宋体" w:hAnsi="宋体" w:eastAsia="宋体" w:cs="Times New Roman"/>
          <w:color w:val="auto"/>
          <w:sz w:val="24"/>
          <w:szCs w:val="24"/>
        </w:rPr>
        <w:t xml:space="preserve">                                        </w:t>
      </w:r>
    </w:p>
    <w:p w14:paraId="3AB342B5">
      <w:pPr>
        <w:keepNext w:val="0"/>
        <w:keepLines w:val="0"/>
        <w:suppressLineNumbers w:val="0"/>
        <w:kinsoku w:val="0"/>
        <w:spacing w:before="0" w:beforeAutospacing="0" w:after="0" w:afterAutospacing="0" w:line="500" w:lineRule="exact"/>
        <w:ind w:left="0" w:right="0"/>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项目名称：</w:t>
      </w:r>
      <w:r>
        <w:rPr>
          <w:rFonts w:hint="eastAsia" w:cs="Times New Roman" w:asciiTheme="minorEastAsia" w:hAnsiTheme="minorEastAsia" w:eastAsiaTheme="minorEastAsia"/>
          <w:color w:val="auto"/>
          <w:sz w:val="28"/>
          <w:szCs w:val="28"/>
        </w:rPr>
        <w:t xml:space="preserve">                                          </w:t>
      </w:r>
      <w:r>
        <w:rPr>
          <w:rFonts w:hint="eastAsia" w:ascii="宋体" w:hAnsi="宋体" w:eastAsia="宋体" w:cs="Times New Roman"/>
          <w:color w:val="auto"/>
          <w:sz w:val="24"/>
          <w:szCs w:val="24"/>
          <w:lang w:val="en-US" w:eastAsia="zh-CN"/>
        </w:rPr>
        <w:t>单位：元</w:t>
      </w:r>
      <w:r>
        <w:rPr>
          <w:rFonts w:hint="eastAsia" w:ascii="宋体" w:hAnsi="宋体" w:eastAsia="宋体" w:cs="Times New Roman"/>
          <w:color w:val="auto"/>
          <w:sz w:val="24"/>
          <w:szCs w:val="24"/>
        </w:rPr>
        <w:t xml:space="preserve">  </w:t>
      </w:r>
    </w:p>
    <w:tbl>
      <w:tblPr>
        <w:tblStyle w:val="35"/>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9"/>
        <w:gridCol w:w="1618"/>
        <w:gridCol w:w="1766"/>
        <w:gridCol w:w="1802"/>
        <w:gridCol w:w="1802"/>
      </w:tblGrid>
      <w:tr w14:paraId="1A64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jc w:val="center"/>
        </w:trPr>
        <w:tc>
          <w:tcPr>
            <w:tcW w:w="2669" w:type="dxa"/>
            <w:tcBorders>
              <w:tl2br w:val="single" w:color="auto" w:sz="4" w:space="0"/>
            </w:tcBorders>
          </w:tcPr>
          <w:p w14:paraId="6F221842">
            <w:pPr>
              <w:keepNext w:val="0"/>
              <w:keepLines w:val="0"/>
              <w:suppressLineNumbers w:val="0"/>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rPr>
              <w:t>报价内容</w:t>
            </w:r>
          </w:p>
          <w:p w14:paraId="267CB71F">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2E6B26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1D3EE00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05F31A4A">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1618" w:type="dxa"/>
            <w:vAlign w:val="center"/>
          </w:tcPr>
          <w:p w14:paraId="7031B8E3">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70BA5B1C">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元</w:t>
            </w:r>
            <w:r>
              <w:rPr>
                <w:rFonts w:hint="eastAsia" w:ascii="宋体" w:hAnsi="宋体" w:cs="Times New Roman"/>
                <w:color w:val="auto"/>
                <w:sz w:val="24"/>
                <w:szCs w:val="24"/>
                <w:lang w:eastAsia="zh-CN"/>
              </w:rPr>
              <w:t>）</w:t>
            </w:r>
          </w:p>
        </w:tc>
        <w:tc>
          <w:tcPr>
            <w:tcW w:w="1766" w:type="dxa"/>
            <w:vAlign w:val="center"/>
          </w:tcPr>
          <w:p w14:paraId="0BEE6F6C">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工期</w:t>
            </w:r>
          </w:p>
          <w:p w14:paraId="1A4396CD">
            <w:pPr>
              <w:keepNext w:val="0"/>
              <w:keepLines w:val="0"/>
              <w:suppressLineNumbers w:val="0"/>
              <w:kinsoku w:val="0"/>
              <w:spacing w:before="0" w:beforeAutospacing="0" w:after="0" w:afterAutospacing="0" w:line="500" w:lineRule="exact"/>
              <w:ind w:left="0" w:right="0" w:firstLine="141" w:firstLineChars="59"/>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（日历天）</w:t>
            </w:r>
          </w:p>
        </w:tc>
        <w:tc>
          <w:tcPr>
            <w:tcW w:w="1802" w:type="dxa"/>
            <w:vAlign w:val="center"/>
          </w:tcPr>
          <w:p w14:paraId="5519ABE7">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质保期</w:t>
            </w:r>
          </w:p>
        </w:tc>
        <w:tc>
          <w:tcPr>
            <w:tcW w:w="1802" w:type="dxa"/>
            <w:vAlign w:val="center"/>
          </w:tcPr>
          <w:p w14:paraId="2FDFEC9F">
            <w:pPr>
              <w:keepNext w:val="0"/>
              <w:keepLines w:val="0"/>
              <w:suppressLineNumbers w:val="0"/>
              <w:kinsoku w:val="0"/>
              <w:spacing w:before="0" w:beforeAutospacing="0" w:after="0" w:afterAutospacing="0" w:line="500" w:lineRule="exact"/>
              <w:ind w:left="0" w:right="0"/>
              <w:jc w:val="center"/>
              <w:rPr>
                <w:rFonts w:hint="eastAsia" w:ascii="宋体" w:hAnsi="宋体"/>
                <w:color w:val="auto"/>
                <w:sz w:val="24"/>
              </w:rPr>
            </w:pPr>
            <w:r>
              <w:rPr>
                <w:rFonts w:hint="eastAsia" w:ascii="宋体" w:hAnsi="宋体"/>
                <w:color w:val="auto"/>
                <w:sz w:val="24"/>
              </w:rPr>
              <w:t>质量</w:t>
            </w:r>
            <w:r>
              <w:rPr>
                <w:rFonts w:hint="eastAsia" w:ascii="宋体" w:hAnsi="宋体"/>
                <w:color w:val="auto"/>
                <w:sz w:val="24"/>
                <w:lang w:val="en-US" w:eastAsia="zh-CN"/>
              </w:rPr>
              <w:t>等级</w:t>
            </w:r>
          </w:p>
        </w:tc>
      </w:tr>
      <w:tr w14:paraId="2C53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2669" w:type="dxa"/>
            <w:vAlign w:val="center"/>
          </w:tcPr>
          <w:p w14:paraId="5ED930FE">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618" w:type="dxa"/>
            <w:vAlign w:val="center"/>
          </w:tcPr>
          <w:p w14:paraId="2DAE321B">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1766" w:type="dxa"/>
            <w:vAlign w:val="center"/>
          </w:tcPr>
          <w:p w14:paraId="01302E5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802" w:type="dxa"/>
            <w:vAlign w:val="center"/>
          </w:tcPr>
          <w:p w14:paraId="2759EE5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1802" w:type="dxa"/>
            <w:vAlign w:val="center"/>
          </w:tcPr>
          <w:p w14:paraId="18C2E584">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574D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657" w:type="dxa"/>
            <w:gridSpan w:val="5"/>
            <w:vAlign w:val="center"/>
          </w:tcPr>
          <w:p w14:paraId="7DC07E96">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3206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9657" w:type="dxa"/>
            <w:gridSpan w:val="5"/>
            <w:vAlign w:val="center"/>
          </w:tcPr>
          <w:p w14:paraId="6FC9590F">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rPr>
            </w:pPr>
            <w:r>
              <w:rPr>
                <w:rFonts w:hint="eastAsia" w:ascii="宋体" w:hAnsi="宋体" w:cs="Times New Roman"/>
                <w:color w:val="auto"/>
                <w:sz w:val="24"/>
                <w:szCs w:val="24"/>
              </w:rPr>
              <w:t>备注：表内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tc>
      </w:tr>
    </w:tbl>
    <w:p w14:paraId="1533A45D">
      <w:pPr>
        <w:spacing w:line="360" w:lineRule="auto"/>
        <w:jc w:val="left"/>
        <w:rPr>
          <w:rFonts w:ascii="宋体" w:hAnsi="宋体" w:cs="仿宋"/>
          <w:color w:val="auto"/>
          <w:sz w:val="24"/>
          <w:szCs w:val="24"/>
        </w:rPr>
      </w:pPr>
      <w:r>
        <w:rPr>
          <w:rFonts w:hint="eastAsia" w:ascii="宋体" w:hAnsi="宋体" w:cs="仿宋"/>
          <w:color w:val="auto"/>
          <w:sz w:val="24"/>
          <w:szCs w:val="24"/>
        </w:rPr>
        <w:t>备注</w:t>
      </w:r>
      <w:r>
        <w:rPr>
          <w:rFonts w:ascii="宋体" w:hAnsi="宋体" w:cs="仿宋"/>
          <w:color w:val="auto"/>
          <w:sz w:val="24"/>
          <w:szCs w:val="24"/>
        </w:rPr>
        <w:t>：</w:t>
      </w:r>
    </w:p>
    <w:p w14:paraId="26CD2D16">
      <w:pPr>
        <w:spacing w:line="360" w:lineRule="auto"/>
        <w:ind w:firstLine="360" w:firstLineChars="150"/>
        <w:jc w:val="left"/>
        <w:rPr>
          <w:rFonts w:ascii="宋体" w:hAnsi="宋体" w:cs="仿宋"/>
          <w:color w:val="auto"/>
          <w:sz w:val="24"/>
          <w:szCs w:val="24"/>
        </w:rPr>
      </w:pPr>
      <w:r>
        <w:rPr>
          <w:rFonts w:hint="eastAsia" w:ascii="宋体" w:hAnsi="宋体" w:cs="仿宋"/>
          <w:color w:val="auto"/>
          <w:sz w:val="24"/>
          <w:szCs w:val="24"/>
        </w:rPr>
        <w:t>投标人所报的价格应考虑到可能发生的所有与完成本项目相关服务及履行合同义务有关的一切费用。</w:t>
      </w:r>
    </w:p>
    <w:p w14:paraId="64C0C96E">
      <w:pPr>
        <w:kinsoku w:val="0"/>
        <w:spacing w:line="360" w:lineRule="auto"/>
        <w:jc w:val="left"/>
        <w:rPr>
          <w:rFonts w:ascii="宋体" w:cs="Times New Roman"/>
          <w:color w:val="auto"/>
          <w:sz w:val="24"/>
          <w:szCs w:val="24"/>
        </w:rPr>
      </w:pPr>
    </w:p>
    <w:p w14:paraId="10E839B7">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7BA6D06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EA96CCF">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25BA5A6A">
      <w:pPr>
        <w:kinsoku w:val="0"/>
        <w:spacing w:line="480" w:lineRule="auto"/>
        <w:jc w:val="left"/>
        <w:rPr>
          <w:rFonts w:ascii="宋体" w:cs="Times New Roman"/>
          <w:color w:val="auto"/>
          <w:sz w:val="24"/>
          <w:szCs w:val="24"/>
        </w:rPr>
      </w:pPr>
    </w:p>
    <w:p w14:paraId="23E39340">
      <w:pPr>
        <w:pStyle w:val="3"/>
        <w:rPr>
          <w:rFonts w:hint="eastAsia" w:ascii="宋体" w:hAnsi="宋体" w:cs="宋体"/>
          <w:color w:val="auto"/>
        </w:rPr>
        <w:sectPr>
          <w:pgSz w:w="11906" w:h="16838"/>
          <w:pgMar w:top="1417" w:right="1417" w:bottom="1417" w:left="1417" w:header="1134" w:footer="992" w:gutter="0"/>
          <w:pgNumType w:fmt="decimal"/>
          <w:cols w:space="0" w:num="1"/>
          <w:titlePg/>
          <w:rtlGutter w:val="0"/>
          <w:docGrid w:type="lines" w:linePitch="333" w:charSpace="0"/>
        </w:sectPr>
      </w:pPr>
      <w:bookmarkStart w:id="161" w:name="_Toc19543351"/>
      <w:bookmarkStart w:id="162" w:name="_Toc484890088"/>
      <w:bookmarkStart w:id="163" w:name="_Toc15021755"/>
    </w:p>
    <w:p w14:paraId="0481ABF5">
      <w:pPr>
        <w:autoSpaceDE w:val="0"/>
        <w:autoSpaceDN w:val="0"/>
        <w:adjustRightInd w:val="0"/>
        <w:snapToGrid w:val="0"/>
        <w:spacing w:line="360" w:lineRule="auto"/>
        <w:jc w:val="center"/>
        <w:rPr>
          <w:rFonts w:hint="eastAsia" w:hAnsi="宋体" w:cs="宋体"/>
          <w:bCs/>
          <w:color w:val="auto"/>
          <w:sz w:val="24"/>
          <w:highlight w:val="none"/>
        </w:rPr>
      </w:pPr>
      <w:r>
        <w:rPr>
          <w:rFonts w:hint="eastAsia" w:hAnsi="宋体"/>
          <w:b/>
          <w:color w:val="auto"/>
          <w:sz w:val="32"/>
          <w:szCs w:val="32"/>
          <w:highlight w:val="none"/>
        </w:rPr>
        <w:t>主要材料明细表</w:t>
      </w:r>
    </w:p>
    <w:p w14:paraId="09A95251">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宋体" w:eastAsia="仿宋_GB2312"/>
          <w:color w:val="auto"/>
          <w:highlight w:val="none"/>
          <w:lang w:val="en-US" w:eastAsia="zh-CN"/>
        </w:rPr>
      </w:pPr>
      <w:r>
        <w:rPr>
          <w:rFonts w:hint="eastAsia" w:ascii="仿宋_GB2312" w:hAnsi="宋体" w:eastAsia="仿宋_GB2312"/>
          <w:color w:val="auto"/>
          <w:highlight w:val="none"/>
        </w:rPr>
        <w:t xml:space="preserve">                                  </w:t>
      </w:r>
      <w:r>
        <w:rPr>
          <w:rFonts w:hint="eastAsia" w:ascii="仿宋_GB2312" w:hAnsi="宋体" w:eastAsia="仿宋_GB2312"/>
          <w:color w:val="auto"/>
          <w:highlight w:val="none"/>
          <w:lang w:val="en-US" w:eastAsia="zh-CN"/>
        </w:rPr>
        <w:t xml:space="preserve">                           </w:t>
      </w:r>
      <w:r>
        <w:rPr>
          <w:rFonts w:hint="eastAsia" w:hAnsi="宋体" w:eastAsia="宋体"/>
          <w:color w:val="auto"/>
          <w:sz w:val="25"/>
          <w:szCs w:val="25"/>
          <w:highlight w:val="none"/>
          <w:lang w:val="en-US" w:eastAsia="zh-CN"/>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4BF7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exact"/>
          <w:jc w:val="center"/>
        </w:trPr>
        <w:tc>
          <w:tcPr>
            <w:tcW w:w="1020" w:type="dxa"/>
            <w:noWrap w:val="0"/>
            <w:vAlign w:val="center"/>
          </w:tcPr>
          <w:p w14:paraId="62A35C14">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序号</w:t>
            </w:r>
          </w:p>
        </w:tc>
        <w:tc>
          <w:tcPr>
            <w:tcW w:w="1440" w:type="dxa"/>
            <w:noWrap w:val="0"/>
            <w:vAlign w:val="center"/>
          </w:tcPr>
          <w:p w14:paraId="2F59A81E">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材料名称</w:t>
            </w:r>
          </w:p>
        </w:tc>
        <w:tc>
          <w:tcPr>
            <w:tcW w:w="1260" w:type="dxa"/>
            <w:noWrap w:val="0"/>
            <w:vAlign w:val="center"/>
          </w:tcPr>
          <w:p w14:paraId="36DE17D1">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规格型号</w:t>
            </w:r>
          </w:p>
        </w:tc>
        <w:tc>
          <w:tcPr>
            <w:tcW w:w="1260" w:type="dxa"/>
            <w:noWrap w:val="0"/>
            <w:vAlign w:val="center"/>
          </w:tcPr>
          <w:p w14:paraId="7C37E2B1">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品 牌</w:t>
            </w:r>
          </w:p>
        </w:tc>
        <w:tc>
          <w:tcPr>
            <w:tcW w:w="1287" w:type="dxa"/>
            <w:noWrap w:val="0"/>
            <w:vAlign w:val="center"/>
          </w:tcPr>
          <w:p w14:paraId="41B45A24">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生产厂家</w:t>
            </w:r>
          </w:p>
        </w:tc>
        <w:tc>
          <w:tcPr>
            <w:tcW w:w="798" w:type="dxa"/>
            <w:noWrap w:val="0"/>
            <w:vAlign w:val="center"/>
          </w:tcPr>
          <w:p w14:paraId="1D57635B">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单位</w:t>
            </w:r>
          </w:p>
        </w:tc>
        <w:tc>
          <w:tcPr>
            <w:tcW w:w="735" w:type="dxa"/>
            <w:noWrap w:val="0"/>
            <w:vAlign w:val="center"/>
          </w:tcPr>
          <w:p w14:paraId="016C689B">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数量</w:t>
            </w:r>
          </w:p>
        </w:tc>
        <w:tc>
          <w:tcPr>
            <w:tcW w:w="840" w:type="dxa"/>
            <w:noWrap w:val="0"/>
            <w:vAlign w:val="center"/>
          </w:tcPr>
          <w:p w14:paraId="2441F438">
            <w:pPr>
              <w:keepNext w:val="0"/>
              <w:keepLines w:val="0"/>
              <w:suppressLineNumbers w:val="0"/>
              <w:spacing w:before="0" w:beforeAutospacing="0" w:after="0" w:afterAutospacing="0"/>
              <w:ind w:left="0" w:right="0"/>
              <w:jc w:val="center"/>
              <w:rPr>
                <w:rFonts w:hint="eastAsia" w:hAnsi="宋体"/>
                <w:color w:val="auto"/>
                <w:sz w:val="25"/>
                <w:szCs w:val="25"/>
                <w:highlight w:val="none"/>
              </w:rPr>
            </w:pPr>
            <w:r>
              <w:rPr>
                <w:rFonts w:hint="eastAsia" w:hAnsi="宋体"/>
                <w:color w:val="auto"/>
                <w:sz w:val="25"/>
                <w:szCs w:val="25"/>
                <w:highlight w:val="none"/>
              </w:rPr>
              <w:t>备注</w:t>
            </w:r>
          </w:p>
        </w:tc>
      </w:tr>
      <w:tr w14:paraId="161D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3D121C29">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1B61A2F2">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8399FFA">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F2BF2B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1D4B0F65">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545716A2">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3219355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9D4E438">
            <w:pPr>
              <w:keepNext w:val="0"/>
              <w:keepLines w:val="0"/>
              <w:suppressLineNumbers w:val="0"/>
              <w:spacing w:before="0" w:beforeAutospacing="0" w:after="0" w:afterAutospacing="0"/>
              <w:ind w:left="0" w:right="0"/>
              <w:rPr>
                <w:rFonts w:hint="eastAsia" w:hAnsi="宋体"/>
                <w:color w:val="auto"/>
                <w:highlight w:val="none"/>
              </w:rPr>
            </w:pPr>
          </w:p>
        </w:tc>
      </w:tr>
      <w:tr w14:paraId="3278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6E59DA1A">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FAFF819">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8948BEC">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D32AF3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71E9B528">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1AF914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46B7812">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64B5C8A">
            <w:pPr>
              <w:keepNext w:val="0"/>
              <w:keepLines w:val="0"/>
              <w:suppressLineNumbers w:val="0"/>
              <w:spacing w:before="0" w:beforeAutospacing="0" w:after="0" w:afterAutospacing="0"/>
              <w:ind w:left="0" w:right="0"/>
              <w:rPr>
                <w:rFonts w:hint="eastAsia" w:hAnsi="宋体"/>
                <w:color w:val="auto"/>
                <w:highlight w:val="none"/>
              </w:rPr>
            </w:pPr>
          </w:p>
        </w:tc>
      </w:tr>
      <w:tr w14:paraId="23C4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15AF853">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F59CE52">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C2D9D3E">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3093F6C">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46EE7470">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C683430">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4AD67336">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F73C100">
            <w:pPr>
              <w:keepNext w:val="0"/>
              <w:keepLines w:val="0"/>
              <w:suppressLineNumbers w:val="0"/>
              <w:spacing w:before="0" w:beforeAutospacing="0" w:after="0" w:afterAutospacing="0"/>
              <w:ind w:left="0" w:right="0"/>
              <w:rPr>
                <w:rFonts w:hint="eastAsia" w:hAnsi="宋体"/>
                <w:color w:val="auto"/>
                <w:highlight w:val="none"/>
              </w:rPr>
            </w:pPr>
          </w:p>
        </w:tc>
      </w:tr>
      <w:tr w14:paraId="2613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CE6D267">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603C965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01FDB2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AAC76C3">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36A95C1F">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642E9047">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02C8135">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370B7CA">
            <w:pPr>
              <w:keepNext w:val="0"/>
              <w:keepLines w:val="0"/>
              <w:suppressLineNumbers w:val="0"/>
              <w:spacing w:before="0" w:beforeAutospacing="0" w:after="0" w:afterAutospacing="0"/>
              <w:ind w:left="0" w:right="0"/>
              <w:rPr>
                <w:rFonts w:hint="eastAsia" w:hAnsi="宋体"/>
                <w:color w:val="auto"/>
                <w:highlight w:val="none"/>
              </w:rPr>
            </w:pPr>
          </w:p>
        </w:tc>
      </w:tr>
      <w:tr w14:paraId="65E3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4400002">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FBFDAD4">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206845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F0CD59E">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738C1AC5">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FF03DC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6F5FB670">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37E2A0E">
            <w:pPr>
              <w:keepNext w:val="0"/>
              <w:keepLines w:val="0"/>
              <w:suppressLineNumbers w:val="0"/>
              <w:spacing w:before="0" w:beforeAutospacing="0" w:after="0" w:afterAutospacing="0"/>
              <w:ind w:left="0" w:right="0"/>
              <w:rPr>
                <w:rFonts w:hint="eastAsia" w:hAnsi="宋体"/>
                <w:color w:val="auto"/>
                <w:highlight w:val="none"/>
              </w:rPr>
            </w:pPr>
          </w:p>
        </w:tc>
      </w:tr>
      <w:tr w14:paraId="63C6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6B88304">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64E4E3B">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A594D1C">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4E86C6D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4B663820">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2535ACD">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94A266B">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6A57EF5">
            <w:pPr>
              <w:keepNext w:val="0"/>
              <w:keepLines w:val="0"/>
              <w:suppressLineNumbers w:val="0"/>
              <w:spacing w:before="0" w:beforeAutospacing="0" w:after="0" w:afterAutospacing="0"/>
              <w:ind w:left="0" w:right="0"/>
              <w:rPr>
                <w:rFonts w:hint="eastAsia" w:hAnsi="宋体"/>
                <w:color w:val="auto"/>
                <w:highlight w:val="none"/>
              </w:rPr>
            </w:pPr>
          </w:p>
        </w:tc>
      </w:tr>
      <w:tr w14:paraId="5119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01D86A2">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A2214F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2B16E7D">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9704D71">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239F578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719A959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B6C9FDC">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AFA8648">
            <w:pPr>
              <w:keepNext w:val="0"/>
              <w:keepLines w:val="0"/>
              <w:suppressLineNumbers w:val="0"/>
              <w:spacing w:before="0" w:beforeAutospacing="0" w:after="0" w:afterAutospacing="0"/>
              <w:ind w:left="0" w:right="0"/>
              <w:rPr>
                <w:rFonts w:hint="eastAsia" w:hAnsi="宋体"/>
                <w:color w:val="auto"/>
                <w:highlight w:val="none"/>
              </w:rPr>
            </w:pPr>
          </w:p>
        </w:tc>
      </w:tr>
      <w:tr w14:paraId="668B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9FC009C">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EE8A84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CB16EB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77A1B64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05C8F14">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69EAA03">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50B52E4A">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F340E76">
            <w:pPr>
              <w:keepNext w:val="0"/>
              <w:keepLines w:val="0"/>
              <w:suppressLineNumbers w:val="0"/>
              <w:spacing w:before="0" w:beforeAutospacing="0" w:after="0" w:afterAutospacing="0"/>
              <w:ind w:left="0" w:right="0"/>
              <w:rPr>
                <w:rFonts w:hint="eastAsia" w:hAnsi="宋体"/>
                <w:color w:val="auto"/>
                <w:highlight w:val="none"/>
              </w:rPr>
            </w:pPr>
          </w:p>
        </w:tc>
      </w:tr>
      <w:tr w14:paraId="1C90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502683D">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5130D3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3E9EAD0">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495927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8418299">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1A0AF2C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B80228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9F164D9">
            <w:pPr>
              <w:keepNext w:val="0"/>
              <w:keepLines w:val="0"/>
              <w:suppressLineNumbers w:val="0"/>
              <w:spacing w:before="0" w:beforeAutospacing="0" w:after="0" w:afterAutospacing="0"/>
              <w:ind w:left="0" w:right="0"/>
              <w:rPr>
                <w:rFonts w:hint="eastAsia" w:hAnsi="宋体"/>
                <w:color w:val="auto"/>
                <w:highlight w:val="none"/>
              </w:rPr>
            </w:pPr>
          </w:p>
        </w:tc>
      </w:tr>
      <w:tr w14:paraId="6F2C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0BFD4E36">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7F578AD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3F80B73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2526D5EA">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E3F0391">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477AC7D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0B8AC78A">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E0E502E">
            <w:pPr>
              <w:keepNext w:val="0"/>
              <w:keepLines w:val="0"/>
              <w:suppressLineNumbers w:val="0"/>
              <w:spacing w:before="0" w:beforeAutospacing="0" w:after="0" w:afterAutospacing="0"/>
              <w:ind w:left="0" w:right="0"/>
              <w:rPr>
                <w:rFonts w:hint="eastAsia" w:hAnsi="宋体"/>
                <w:color w:val="auto"/>
                <w:highlight w:val="none"/>
              </w:rPr>
            </w:pPr>
          </w:p>
        </w:tc>
      </w:tr>
      <w:tr w14:paraId="18F1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5808206">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58EFB5C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426F1E9">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1EF215AD">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631D73A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42C036AB">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34DA5D80">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7153AACC">
            <w:pPr>
              <w:keepNext w:val="0"/>
              <w:keepLines w:val="0"/>
              <w:suppressLineNumbers w:val="0"/>
              <w:spacing w:before="0" w:beforeAutospacing="0" w:after="0" w:afterAutospacing="0"/>
              <w:ind w:left="0" w:right="0"/>
              <w:rPr>
                <w:rFonts w:hint="eastAsia" w:hAnsi="宋体"/>
                <w:color w:val="auto"/>
                <w:highlight w:val="none"/>
              </w:rPr>
            </w:pPr>
          </w:p>
        </w:tc>
      </w:tr>
      <w:tr w14:paraId="0875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4CC7385A">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6CD2D1E5">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30B15260">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DBD6D79">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20C5F4DF">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50BD16A9">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478F2B5">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66523186">
            <w:pPr>
              <w:keepNext w:val="0"/>
              <w:keepLines w:val="0"/>
              <w:suppressLineNumbers w:val="0"/>
              <w:spacing w:before="0" w:beforeAutospacing="0" w:after="0" w:afterAutospacing="0"/>
              <w:ind w:left="0" w:right="0"/>
              <w:rPr>
                <w:rFonts w:hint="eastAsia" w:hAnsi="宋体"/>
                <w:color w:val="auto"/>
                <w:highlight w:val="none"/>
              </w:rPr>
            </w:pPr>
          </w:p>
        </w:tc>
      </w:tr>
      <w:tr w14:paraId="5A4F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1F627D47">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165698D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9BDCF17">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6148A06A">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3A951D08">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0FC12626">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1CC2ED1D">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05B187B">
            <w:pPr>
              <w:keepNext w:val="0"/>
              <w:keepLines w:val="0"/>
              <w:suppressLineNumbers w:val="0"/>
              <w:spacing w:before="0" w:beforeAutospacing="0" w:after="0" w:afterAutospacing="0"/>
              <w:ind w:left="0" w:right="0"/>
              <w:rPr>
                <w:rFonts w:hint="eastAsia" w:hAnsi="宋体"/>
                <w:color w:val="auto"/>
                <w:highlight w:val="none"/>
              </w:rPr>
            </w:pPr>
          </w:p>
        </w:tc>
      </w:tr>
      <w:tr w14:paraId="764D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1020" w:type="dxa"/>
            <w:noWrap w:val="0"/>
            <w:vAlign w:val="top"/>
          </w:tcPr>
          <w:p w14:paraId="5AF3EFB5">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31F5DDA1">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8B47648">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7FA5072">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68F09DF2">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2F9DE627">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7E6251D2">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26B8113A">
            <w:pPr>
              <w:keepNext w:val="0"/>
              <w:keepLines w:val="0"/>
              <w:suppressLineNumbers w:val="0"/>
              <w:spacing w:before="0" w:beforeAutospacing="0" w:after="0" w:afterAutospacing="0"/>
              <w:ind w:left="0" w:right="0"/>
              <w:rPr>
                <w:rFonts w:hint="eastAsia" w:hAnsi="宋体"/>
                <w:color w:val="auto"/>
                <w:highlight w:val="none"/>
              </w:rPr>
            </w:pPr>
          </w:p>
        </w:tc>
      </w:tr>
      <w:tr w14:paraId="5CCE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020" w:type="dxa"/>
            <w:noWrap w:val="0"/>
            <w:vAlign w:val="top"/>
          </w:tcPr>
          <w:p w14:paraId="6D3FC1CD">
            <w:pPr>
              <w:keepNext w:val="0"/>
              <w:keepLines w:val="0"/>
              <w:suppressLineNumbers w:val="0"/>
              <w:spacing w:before="0" w:beforeAutospacing="0" w:after="0" w:afterAutospacing="0"/>
              <w:ind w:left="0" w:right="0"/>
              <w:rPr>
                <w:rFonts w:hint="eastAsia" w:hAnsi="宋体"/>
                <w:color w:val="auto"/>
                <w:highlight w:val="none"/>
              </w:rPr>
            </w:pPr>
          </w:p>
        </w:tc>
        <w:tc>
          <w:tcPr>
            <w:tcW w:w="1440" w:type="dxa"/>
            <w:noWrap w:val="0"/>
            <w:vAlign w:val="top"/>
          </w:tcPr>
          <w:p w14:paraId="0ED9FEFB">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5F092F33">
            <w:pPr>
              <w:keepNext w:val="0"/>
              <w:keepLines w:val="0"/>
              <w:suppressLineNumbers w:val="0"/>
              <w:spacing w:before="0" w:beforeAutospacing="0" w:after="0" w:afterAutospacing="0"/>
              <w:ind w:left="0" w:right="0"/>
              <w:rPr>
                <w:rFonts w:hint="eastAsia" w:hAnsi="宋体"/>
                <w:color w:val="auto"/>
                <w:highlight w:val="none"/>
              </w:rPr>
            </w:pPr>
          </w:p>
        </w:tc>
        <w:tc>
          <w:tcPr>
            <w:tcW w:w="1260" w:type="dxa"/>
            <w:noWrap w:val="0"/>
            <w:vAlign w:val="top"/>
          </w:tcPr>
          <w:p w14:paraId="0B59199B">
            <w:pPr>
              <w:keepNext w:val="0"/>
              <w:keepLines w:val="0"/>
              <w:suppressLineNumbers w:val="0"/>
              <w:spacing w:before="0" w:beforeAutospacing="0" w:after="0" w:afterAutospacing="0"/>
              <w:ind w:left="0" w:right="0"/>
              <w:rPr>
                <w:rFonts w:hint="eastAsia" w:hAnsi="宋体"/>
                <w:color w:val="auto"/>
                <w:highlight w:val="none"/>
              </w:rPr>
            </w:pPr>
          </w:p>
        </w:tc>
        <w:tc>
          <w:tcPr>
            <w:tcW w:w="1287" w:type="dxa"/>
            <w:noWrap w:val="0"/>
            <w:vAlign w:val="top"/>
          </w:tcPr>
          <w:p w14:paraId="011B71C7">
            <w:pPr>
              <w:keepNext w:val="0"/>
              <w:keepLines w:val="0"/>
              <w:suppressLineNumbers w:val="0"/>
              <w:spacing w:before="0" w:beforeAutospacing="0" w:after="0" w:afterAutospacing="0"/>
              <w:ind w:left="0" w:right="0"/>
              <w:rPr>
                <w:rFonts w:hint="eastAsia" w:hAnsi="宋体"/>
                <w:color w:val="auto"/>
                <w:highlight w:val="none"/>
              </w:rPr>
            </w:pPr>
          </w:p>
        </w:tc>
        <w:tc>
          <w:tcPr>
            <w:tcW w:w="798" w:type="dxa"/>
            <w:noWrap w:val="0"/>
            <w:vAlign w:val="top"/>
          </w:tcPr>
          <w:p w14:paraId="0FE6D336">
            <w:pPr>
              <w:keepNext w:val="0"/>
              <w:keepLines w:val="0"/>
              <w:suppressLineNumbers w:val="0"/>
              <w:spacing w:before="0" w:beforeAutospacing="0" w:after="0" w:afterAutospacing="0"/>
              <w:ind w:left="0" w:right="0"/>
              <w:rPr>
                <w:rFonts w:hint="eastAsia" w:hAnsi="宋体"/>
                <w:color w:val="auto"/>
                <w:highlight w:val="none"/>
              </w:rPr>
            </w:pPr>
          </w:p>
        </w:tc>
        <w:tc>
          <w:tcPr>
            <w:tcW w:w="735" w:type="dxa"/>
            <w:noWrap w:val="0"/>
            <w:vAlign w:val="top"/>
          </w:tcPr>
          <w:p w14:paraId="227A5663">
            <w:pPr>
              <w:keepNext w:val="0"/>
              <w:keepLines w:val="0"/>
              <w:suppressLineNumbers w:val="0"/>
              <w:spacing w:before="0" w:beforeAutospacing="0" w:after="0" w:afterAutospacing="0"/>
              <w:ind w:left="0" w:right="0"/>
              <w:rPr>
                <w:rFonts w:hint="eastAsia" w:hAnsi="宋体"/>
                <w:color w:val="auto"/>
                <w:highlight w:val="none"/>
              </w:rPr>
            </w:pPr>
          </w:p>
        </w:tc>
        <w:tc>
          <w:tcPr>
            <w:tcW w:w="840" w:type="dxa"/>
            <w:noWrap w:val="0"/>
            <w:vAlign w:val="top"/>
          </w:tcPr>
          <w:p w14:paraId="0C2F2AD0">
            <w:pPr>
              <w:keepNext w:val="0"/>
              <w:keepLines w:val="0"/>
              <w:suppressLineNumbers w:val="0"/>
              <w:spacing w:before="0" w:beforeAutospacing="0" w:after="0" w:afterAutospacing="0"/>
              <w:ind w:left="0" w:right="0"/>
              <w:rPr>
                <w:rFonts w:hint="eastAsia" w:hAnsi="宋体"/>
                <w:color w:val="auto"/>
                <w:highlight w:val="none"/>
              </w:rPr>
            </w:pPr>
          </w:p>
        </w:tc>
      </w:tr>
    </w:tbl>
    <w:p w14:paraId="12BFA198">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rPr>
      </w:pPr>
    </w:p>
    <w:p w14:paraId="2259D05A">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rPr>
      </w:pPr>
    </w:p>
    <w:p w14:paraId="0C1D6FDE">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供应商（单位名称及公章）：____________________</w:t>
      </w:r>
    </w:p>
    <w:p w14:paraId="08F4AD72">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被授权人（</w:t>
      </w:r>
      <w:r>
        <w:rPr>
          <w:rFonts w:hint="eastAsia" w:ascii="宋体" w:hAnsi="宋体" w:eastAsia="宋体" w:cs="宋体"/>
          <w:color w:val="auto"/>
          <w:sz w:val="22"/>
          <w:szCs w:val="22"/>
          <w:highlight w:val="none"/>
        </w:rPr>
        <w:t>签字或盖章</w:t>
      </w:r>
      <w:r>
        <w:rPr>
          <w:rFonts w:hint="eastAsia" w:ascii="宋体" w:hAnsi="宋体" w:eastAsia="宋体" w:cs="宋体"/>
          <w:color w:val="auto"/>
          <w:sz w:val="24"/>
          <w:szCs w:val="24"/>
          <w:highlight w:val="none"/>
        </w:rPr>
        <w:t>）：____________________</w:t>
      </w:r>
    </w:p>
    <w:p w14:paraId="298B5309">
      <w:pPr>
        <w:overflowPunct/>
        <w:topLinePunct w:val="0"/>
        <w:bidi w:val="0"/>
        <w:adjustRightInd w:val="0"/>
        <w:snapToGrid w:val="0"/>
        <w:spacing w:line="500" w:lineRule="atLeast"/>
        <w:ind w:firstLine="480" w:firstLineChars="200"/>
        <w:rPr>
          <w:rFonts w:hint="eastAsia" w:ascii="Calibri Light" w:hAnsi="Calibri Light" w:eastAsia="宋体" w:cs="Times New Roman"/>
          <w:color w:val="auto"/>
          <w:sz w:val="32"/>
          <w:szCs w:val="32"/>
          <w:highlight w:val="yellow"/>
          <w:lang w:val="en-US" w:eastAsia="zh-CN"/>
        </w:rPr>
        <w:sectPr>
          <w:headerReference r:id="rId19" w:type="first"/>
          <w:footerReference r:id="rId21" w:type="first"/>
          <w:headerReference r:id="rId18" w:type="default"/>
          <w:footerReference r:id="rId20" w:type="default"/>
          <w:pgSz w:w="11906" w:h="16838"/>
          <w:pgMar w:top="1417" w:right="1417" w:bottom="1417" w:left="1417" w:header="1191" w:footer="992" w:gutter="0"/>
          <w:pgNumType w:fmt="decimal"/>
          <w:cols w:space="0" w:num="1"/>
          <w:titlePg/>
          <w:rtlGutter w:val="0"/>
          <w:docGrid w:type="lines" w:linePitch="333" w:charSpace="0"/>
        </w:sectPr>
      </w:pPr>
      <w:r>
        <w:rPr>
          <w:rFonts w:hint="eastAsia" w:ascii="宋体" w:hAnsi="宋体" w:eastAsia="宋体" w:cs="宋体"/>
          <w:color w:val="auto"/>
          <w:sz w:val="24"/>
          <w:szCs w:val="24"/>
          <w:highlight w:val="none"/>
        </w:rPr>
        <w:t>日    期：________年________月________日</w:t>
      </w:r>
    </w:p>
    <w:p w14:paraId="376E20B4">
      <w:pPr>
        <w:pStyle w:val="3"/>
        <w:pageBreakBefore/>
        <w:numPr>
          <w:ilvl w:val="0"/>
          <w:numId w:val="0"/>
        </w:numPr>
        <w:jc w:val="center"/>
        <w:rPr>
          <w:rFonts w:hint="eastAsia" w:ascii="Calibri Light" w:hAnsi="Calibri Light" w:eastAsia="宋体" w:cs="Times New Roman"/>
          <w:color w:val="auto"/>
          <w:sz w:val="32"/>
          <w:szCs w:val="32"/>
          <w:lang w:val="en-US" w:eastAsia="zh-CN"/>
        </w:rPr>
      </w:pPr>
      <w:r>
        <w:rPr>
          <w:rFonts w:hint="eastAsia" w:ascii="Calibri Light" w:hAnsi="Calibri Light" w:eastAsia="宋体" w:cs="Times New Roman"/>
          <w:b/>
          <w:bCs/>
          <w:color w:val="auto"/>
          <w:kern w:val="2"/>
          <w:sz w:val="32"/>
          <w:szCs w:val="32"/>
          <w:lang w:val="en-US" w:eastAsia="zh-CN" w:bidi="ar-SA"/>
        </w:rPr>
        <w:t>第三章</w:t>
      </w:r>
      <w:r>
        <w:rPr>
          <w:rFonts w:hint="eastAsia" w:ascii="Calibri Light" w:hAnsi="Calibri Light" w:eastAsia="宋体" w:cs="Times New Roman"/>
          <w:color w:val="auto"/>
          <w:sz w:val="32"/>
          <w:szCs w:val="32"/>
          <w:lang w:val="en-US" w:eastAsia="zh-CN"/>
        </w:rPr>
        <w:t xml:space="preserve"> 已标价工程量清单</w:t>
      </w:r>
      <w:bookmarkEnd w:id="161"/>
      <w:bookmarkEnd w:id="162"/>
      <w:bookmarkEnd w:id="163"/>
      <w:bookmarkStart w:id="164" w:name="_Toc11309"/>
    </w:p>
    <w:p w14:paraId="0C2DA80F">
      <w:pPr>
        <w:widowControl w:val="0"/>
        <w:numPr>
          <w:ilvl w:val="0"/>
          <w:numId w:val="0"/>
        </w:numPr>
        <w:jc w:val="both"/>
        <w:rPr>
          <w:rFonts w:hint="eastAsia"/>
          <w:color w:val="auto"/>
        </w:rPr>
      </w:pPr>
    </w:p>
    <w:p w14:paraId="5F338B2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sectPr>
          <w:pgSz w:w="11906" w:h="16838"/>
          <w:pgMar w:top="1417" w:right="1417" w:bottom="1417" w:left="1417" w:header="1191" w:footer="992" w:gutter="0"/>
          <w:pgNumType w:fmt="decimal"/>
          <w:cols w:space="0" w:num="1"/>
          <w:titlePg/>
          <w:rtlGutter w:val="0"/>
          <w:docGrid w:type="lines" w:linePitch="333" w:charSpace="0"/>
        </w:sectPr>
      </w:pPr>
      <w:r>
        <w:rPr>
          <w:rFonts w:hint="eastAsia" w:ascii="宋体" w:hAnsi="宋体" w:eastAsia="宋体" w:cs="宋体"/>
          <w:i w:val="0"/>
          <w:iCs w:val="0"/>
          <w:caps w:val="0"/>
          <w:color w:val="auto"/>
          <w:spacing w:val="0"/>
          <w:kern w:val="0"/>
          <w:sz w:val="24"/>
          <w:szCs w:val="24"/>
          <w:shd w:val="clear" w:fill="FFFFFF"/>
          <w:lang w:val="en-US" w:eastAsia="zh-CN" w:bidi="ar-SA"/>
        </w:rPr>
        <w:t>报价时须按采购文件中的工程量所列全部内容进行报价，不得更改工程量，凡工程量有少项、漏项一律视为无效投标。</w:t>
      </w:r>
    </w:p>
    <w:p w14:paraId="06039206">
      <w:pPr>
        <w:pStyle w:val="3"/>
        <w:pageBreakBefore/>
        <w:jc w:val="center"/>
        <w:rPr>
          <w:rFonts w:ascii="宋体" w:hAnsi="宋体" w:cs="宋体"/>
          <w:color w:val="auto"/>
        </w:rPr>
      </w:pPr>
      <w:r>
        <w:rPr>
          <w:rFonts w:hint="eastAsia" w:ascii="Calibri Light" w:hAnsi="Calibri Light" w:cs="Times New Roman"/>
          <w:color w:val="auto"/>
          <w:sz w:val="32"/>
          <w:szCs w:val="32"/>
        </w:rPr>
        <w:t>第</w:t>
      </w:r>
      <w:r>
        <w:rPr>
          <w:rFonts w:hint="eastAsia" w:ascii="Calibri Light" w:hAnsi="Calibri Light" w:cs="Times New Roman"/>
          <w:color w:val="auto"/>
          <w:sz w:val="32"/>
          <w:szCs w:val="32"/>
          <w:lang w:val="en-US" w:eastAsia="zh-CN"/>
        </w:rPr>
        <w:t>四</w:t>
      </w:r>
      <w:r>
        <w:rPr>
          <w:rFonts w:hint="eastAsia" w:ascii="Calibri Light" w:hAnsi="Calibri Light" w:cs="Times New Roman"/>
          <w:color w:val="auto"/>
          <w:sz w:val="32"/>
          <w:szCs w:val="32"/>
        </w:rPr>
        <w:t>章</w:t>
      </w:r>
      <w:r>
        <w:rPr>
          <w:rFonts w:hint="eastAsia" w:ascii="Calibri Light" w:hAnsi="Calibri Light" w:cs="Times New Roman"/>
          <w:color w:val="auto"/>
          <w:sz w:val="32"/>
          <w:szCs w:val="32"/>
          <w:lang w:val="en-US" w:eastAsia="zh-CN"/>
        </w:rPr>
        <w:t xml:space="preserve"> </w:t>
      </w:r>
      <w:r>
        <w:rPr>
          <w:rFonts w:hint="eastAsia" w:ascii="Calibri Light" w:hAnsi="Calibri Light" w:cs="Times New Roman"/>
          <w:color w:val="auto"/>
          <w:sz w:val="32"/>
          <w:szCs w:val="32"/>
        </w:rPr>
        <w:t xml:space="preserve"> 供应商</w:t>
      </w:r>
      <w:r>
        <w:rPr>
          <w:rFonts w:hint="eastAsia" w:ascii="Calibri Light" w:hAnsi="Calibri Light" w:cs="Times New Roman"/>
          <w:color w:val="auto"/>
          <w:sz w:val="32"/>
          <w:szCs w:val="32"/>
          <w:lang w:val="en-US" w:eastAsia="zh-CN"/>
        </w:rPr>
        <w:t>资格证明文件</w:t>
      </w:r>
    </w:p>
    <w:p w14:paraId="4870BF3F">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0BEF9437">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572ABF3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43DCC651">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64857C35">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cs="宋体"/>
          <w:i w:val="0"/>
          <w:iCs w:val="0"/>
          <w:caps w:val="0"/>
          <w:color w:val="auto"/>
          <w:spacing w:val="0"/>
          <w:sz w:val="24"/>
          <w:szCs w:val="24"/>
          <w:shd w:val="clear" w:fill="FFFFFF"/>
          <w:lang w:eastAsia="zh-CN"/>
        </w:rPr>
        <w:t>财务状况报告：提供2025年度经审计的财务审计报告或投标截止时间前六个月内基本开户银行出具的资信证明（成立时间至提交响应文件截止时间不足一年的可提供成立后任意时段的资产负债表）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3335ADEB">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提供2025年7月至今任意一个月缴纳的纳税证明或完税证明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0E4603AA">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提供2025年7月至今任意一个月社会保障资金缴存单据或社保机构开具的社会保险参保缴费情况证明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61E4EC5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480" w:firstLineChars="200"/>
        <w:jc w:val="both"/>
        <w:textAlignment w:val="auto"/>
        <w:rPr>
          <w:rFonts w:hint="eastAsia" w:cs="宋体"/>
          <w:i w:val="0"/>
          <w:iCs w:val="0"/>
          <w:caps w:val="0"/>
          <w:color w:val="auto"/>
          <w:spacing w:val="0"/>
          <w:sz w:val="24"/>
          <w:szCs w:val="24"/>
          <w:shd w:val="clear" w:fill="FFFFFF"/>
          <w:lang w:val="en-US" w:eastAsia="zh-CN"/>
        </w:rPr>
      </w:pPr>
      <w:r>
        <w:rPr>
          <w:rFonts w:hint="eastAsia" w:ascii="宋体" w:hAnsi="宋体" w:eastAsia="宋体" w:cs="宋体"/>
          <w:color w:val="auto"/>
          <w:kern w:val="0"/>
          <w:sz w:val="24"/>
          <w:szCs w:val="24"/>
          <w:lang w:val="en-US" w:eastAsia="zh-CN" w:bidi="ar-SA"/>
        </w:rPr>
        <w:t>（8）</w:t>
      </w:r>
      <w:r>
        <w:rPr>
          <w:rFonts w:hint="eastAsia" w:cs="宋体"/>
          <w:i w:val="0"/>
          <w:iCs w:val="0"/>
          <w:caps w:val="0"/>
          <w:color w:val="auto"/>
          <w:spacing w:val="0"/>
          <w:sz w:val="24"/>
          <w:szCs w:val="24"/>
          <w:shd w:val="clear" w:fill="FFFFFF"/>
          <w:lang w:val="en-US" w:eastAsia="zh-CN"/>
        </w:rPr>
        <w:t>具备建设行政主管部门核发的建筑工程施工总承包三级及以上资质或建筑装修装饰工程专业承包二级及以上资质，具有有效的安全生产许可证，并在人员、设备、资金等方面具备相应的施工能力。</w:t>
      </w:r>
    </w:p>
    <w:p w14:paraId="5DB4D0D2">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cs="宋体"/>
          <w:i w:val="0"/>
          <w:iCs w:val="0"/>
          <w:caps w:val="0"/>
          <w:color w:val="auto"/>
          <w:spacing w:val="0"/>
          <w:sz w:val="24"/>
          <w:szCs w:val="24"/>
          <w:shd w:val="clear" w:fill="FFFFFF"/>
          <w:lang w:val="en-US" w:eastAsia="zh-CN"/>
        </w:rPr>
        <w:t>（9）拟派项目经理具有建筑工程专业二级及以上注册建造师执业资格和有效的安全生产考核合格证书，且未担任其他在建工程项目的项目经理（提供无在建承诺）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auto"/>
          <w:spacing w:val="0"/>
          <w:sz w:val="24"/>
          <w:szCs w:val="24"/>
          <w:shd w:val="clear" w:fill="FFFFFF"/>
          <w:lang w:val="en-US" w:eastAsia="zh-CN"/>
        </w:rPr>
        <w:t>。</w:t>
      </w:r>
    </w:p>
    <w:p w14:paraId="48E1BB7C">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10</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08E07C64">
      <w:pPr>
        <w:pStyle w:val="3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11</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6767793D">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lang w:val="en-US" w:eastAsia="zh-CN"/>
        </w:rPr>
        <w:t>12</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本项目专门面向中小企业采购，投标人须提供《中小企业声明函》。</w:t>
      </w:r>
    </w:p>
    <w:p w14:paraId="2B829910">
      <w:pPr>
        <w:widowControl/>
        <w:jc w:val="center"/>
        <w:rPr>
          <w:rFonts w:hint="eastAsia" w:ascii="宋体" w:hAnsi="宋体" w:cs="Arial"/>
          <w:b/>
          <w:color w:val="auto"/>
          <w:kern w:val="0"/>
          <w:sz w:val="28"/>
          <w:szCs w:val="28"/>
        </w:rPr>
        <w:sectPr>
          <w:pgSz w:w="11906" w:h="16838"/>
          <w:pgMar w:top="1417" w:right="1417" w:bottom="1417" w:left="1417" w:header="1191" w:footer="992" w:gutter="0"/>
          <w:pgNumType w:fmt="decimal"/>
          <w:cols w:space="0" w:num="1"/>
          <w:titlePg/>
          <w:rtlGutter w:val="0"/>
          <w:docGrid w:type="lines" w:linePitch="333" w:charSpace="0"/>
        </w:sectPr>
      </w:pPr>
    </w:p>
    <w:p w14:paraId="04642436">
      <w:pPr>
        <w:widowControl/>
        <w:jc w:val="center"/>
        <w:rPr>
          <w:rFonts w:ascii="宋体" w:hAnsi="宋体" w:cs="Arial"/>
          <w:b/>
          <w:color w:val="auto"/>
          <w:kern w:val="0"/>
          <w:sz w:val="32"/>
          <w:szCs w:val="32"/>
        </w:rPr>
      </w:pPr>
      <w:r>
        <w:rPr>
          <w:rFonts w:hint="eastAsia" w:ascii="宋体" w:hAnsi="宋体" w:cs="Arial"/>
          <w:b/>
          <w:color w:val="auto"/>
          <w:kern w:val="0"/>
          <w:sz w:val="28"/>
          <w:szCs w:val="28"/>
        </w:rPr>
        <w:t>法定代表人证明书</w:t>
      </w:r>
    </w:p>
    <w:tbl>
      <w:tblPr>
        <w:tblStyle w:val="3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14B6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1FC18979">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ascii="宋体" w:hAnsi="宋体" w:eastAsia="宋体" w:cs="宋体"/>
                <w:color w:val="auto"/>
                <w:sz w:val="24"/>
                <w:szCs w:val="24"/>
              </w:rPr>
              <w:t>安康尚昊招标代理有限公司</w:t>
            </w:r>
          </w:p>
        </w:tc>
      </w:tr>
      <w:tr w14:paraId="7C9B9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9549F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0D45D9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E6FB67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4374BA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0F8A06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7D01C51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E82F07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63612C8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6733067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D8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B827B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066FD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16CE41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07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982A07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9E99EC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31A81F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BE3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245573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7DB9C07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0AC1846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2273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48931CD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53602D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201335D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70BC1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1758D17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CC190A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97EB4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7DA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2773E27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DC06D5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05E0A0A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64607D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019C53F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B2C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42BEFC5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BE37FC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43E29B1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33D0D4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65CEAB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53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42668D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4C5F5E5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188BE0F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1173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1C01690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6062DE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19D964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0C87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3F13EFE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08FA341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52C2EA3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2C725D4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61F1A7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3214208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D5616D6">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580EB16A">
      <w:pPr>
        <w:pStyle w:val="3"/>
        <w:pageBreakBefore/>
        <w:rPr>
          <w:rFonts w:ascii="宋体" w:hAnsi="宋体" w:cs="宋体"/>
          <w:color w:val="auto"/>
        </w:rPr>
      </w:pPr>
      <w:bookmarkStart w:id="165" w:name="_Toc19543356"/>
      <w:r>
        <w:rPr>
          <w:rFonts w:hint="eastAsia" w:ascii="宋体" w:hAnsi="宋体" w:cs="宋体"/>
          <w:color w:val="auto"/>
        </w:rPr>
        <w:t>法定代表人授权书</w:t>
      </w:r>
      <w:bookmarkEnd w:id="165"/>
    </w:p>
    <w:p w14:paraId="28EA0032">
      <w:pPr>
        <w:pStyle w:val="15"/>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12E90487">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的采购活动。以我方名义全权处理该项目有关磋商、签订合同以及执行合同等一切事宜。</w:t>
      </w:r>
    </w:p>
    <w:p w14:paraId="45D0EF1A">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日历日，特此声明。</w:t>
      </w:r>
    </w:p>
    <w:p w14:paraId="5123BA0F">
      <w:pPr>
        <w:pStyle w:val="15"/>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74494C7A">
      <w:pPr>
        <w:pStyle w:val="15"/>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0F659769">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6BBC1C4">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57633C70">
      <w:pPr>
        <w:pStyle w:val="15"/>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1D9697D3">
      <w:pPr>
        <w:pStyle w:val="15"/>
        <w:spacing w:line="400" w:lineRule="exact"/>
        <w:ind w:firstLine="480" w:firstLineChars="200"/>
        <w:jc w:val="left"/>
        <w:rPr>
          <w:rFonts w:hint="eastAsia" w:hAnsi="宋体"/>
          <w:color w:val="auto"/>
          <w:sz w:val="24"/>
          <w:szCs w:val="24"/>
        </w:rPr>
      </w:pPr>
      <w:r>
        <w:rPr>
          <w:rFonts w:hint="eastAsia" w:ascii="宋体" w:hAnsi="宋体" w:cs="Courier New"/>
          <w:color w:val="auto"/>
          <w:sz w:val="24"/>
          <w:szCs w:val="24"/>
        </w:rPr>
        <w:t>签发日期：</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月</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日</w:t>
      </w:r>
    </w:p>
    <w:p w14:paraId="7259A9D8">
      <w:pPr>
        <w:pStyle w:val="15"/>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7F72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05D6CD75">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60AAB148">
            <w:pPr>
              <w:pStyle w:val="15"/>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365C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61C28171">
            <w:pPr>
              <w:pStyle w:val="15"/>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73076516">
            <w:pPr>
              <w:pStyle w:val="15"/>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6BB56B2C">
      <w:pPr>
        <w:pStyle w:val="15"/>
        <w:spacing w:line="500" w:lineRule="exact"/>
        <w:ind w:firstLine="480" w:firstLineChars="200"/>
        <w:jc w:val="left"/>
        <w:rPr>
          <w:rFonts w:hAnsi="宋体"/>
          <w:color w:val="auto"/>
          <w:sz w:val="24"/>
          <w:szCs w:val="24"/>
        </w:rPr>
      </w:pPr>
      <w:r>
        <w:rPr>
          <w:rFonts w:hint="eastAsia" w:hAnsi="宋体"/>
          <w:color w:val="auto"/>
          <w:sz w:val="24"/>
          <w:szCs w:val="24"/>
        </w:rPr>
        <w:t>说明：</w:t>
      </w:r>
    </w:p>
    <w:p w14:paraId="611857B2">
      <w:pPr>
        <w:pStyle w:val="15"/>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21EDE4C">
      <w:pPr>
        <w:pStyle w:val="15"/>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287BDD40">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bookmarkStart w:id="166" w:name="_Toc7526"/>
      <w:bookmarkStart w:id="167" w:name="_Toc536202397"/>
      <w:bookmarkStart w:id="168" w:name="_Toc19543357"/>
      <w:bookmarkStart w:id="169" w:name="_Toc536202328"/>
      <w:bookmarkStart w:id="170" w:name="_Toc536429390"/>
      <w:bookmarkStart w:id="171" w:name="_Toc536429337"/>
    </w:p>
    <w:p w14:paraId="209A6BE8">
      <w:pPr>
        <w:adjustRightInd w:val="0"/>
        <w:snapToGrid w:val="0"/>
        <w:spacing w:line="360" w:lineRule="auto"/>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无重大违法记录声明</w:t>
      </w:r>
    </w:p>
    <w:p w14:paraId="319CDBC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3016F78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auto"/>
          <w:sz w:val="24"/>
          <w:szCs w:val="24"/>
        </w:rPr>
      </w:pPr>
      <w:r>
        <w:rPr>
          <w:rFonts w:hint="eastAsia"/>
          <w:color w:val="auto"/>
          <w:sz w:val="24"/>
          <w:szCs w:val="24"/>
        </w:rPr>
        <w:t>特此声明。</w:t>
      </w:r>
    </w:p>
    <w:p w14:paraId="1D295CDD">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color w:val="auto"/>
          <w:sz w:val="24"/>
          <w:szCs w:val="24"/>
        </w:rPr>
      </w:pPr>
    </w:p>
    <w:p w14:paraId="7D10ACE6">
      <w:pPr>
        <w:adjustRightInd w:val="0"/>
        <w:snapToGrid w:val="0"/>
        <w:spacing w:line="360" w:lineRule="auto"/>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2BDD6F16">
      <w:pPr>
        <w:adjustRightInd w:val="0"/>
        <w:snapToGrid w:val="0"/>
        <w:spacing w:line="360" w:lineRule="auto"/>
        <w:ind w:firstLine="480" w:firstLineChars="200"/>
        <w:rPr>
          <w:color w:val="auto"/>
        </w:rPr>
        <w:sectPr>
          <w:pgSz w:w="11906" w:h="16838"/>
          <w:pgMar w:top="1417" w:right="1417" w:bottom="1417" w:left="1417" w:header="1191" w:footer="992" w:gutter="0"/>
          <w:pgNumType w:fmt="decimal"/>
          <w:cols w:space="0" w:num="1"/>
          <w:titlePg/>
          <w:rtlGutter w:val="0"/>
          <w:docGrid w:type="lines" w:linePitch="333" w:charSpace="0"/>
        </w:sectPr>
      </w:pPr>
      <w:r>
        <w:rPr>
          <w:rFonts w:hint="eastAsia"/>
          <w:color w:val="auto"/>
          <w:sz w:val="24"/>
          <w:szCs w:val="24"/>
        </w:rPr>
        <w:t>日    期：________年________月________日</w:t>
      </w:r>
    </w:p>
    <w:p w14:paraId="3DBE63EF">
      <w:pPr>
        <w:adjustRightInd w:val="0"/>
        <w:snapToGrid w:val="0"/>
        <w:spacing w:line="360" w:lineRule="auto"/>
        <w:jc w:val="center"/>
        <w:rPr>
          <w:rFonts w:hint="eastAsia" w:ascii="宋体" w:hAnsi="宋体" w:eastAsia="宋体" w:cs="宋体"/>
          <w:b/>
          <w:bCs/>
          <w:color w:val="auto"/>
          <w:sz w:val="28"/>
          <w:szCs w:val="28"/>
        </w:rPr>
      </w:pPr>
    </w:p>
    <w:p w14:paraId="1A39FDE6">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35D3EEA7">
      <w:pPr>
        <w:adjustRightInd w:val="0"/>
        <w:snapToGrid w:val="0"/>
        <w:spacing w:line="360" w:lineRule="auto"/>
        <w:rPr>
          <w:rFonts w:hint="eastAsia" w:ascii="仿宋" w:hAnsi="仿宋" w:eastAsia="仿宋" w:cs="黑体"/>
          <w:bCs/>
          <w:color w:val="auto"/>
          <w:sz w:val="28"/>
          <w:szCs w:val="28"/>
        </w:rPr>
      </w:pPr>
    </w:p>
    <w:p w14:paraId="456C715C">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0BCC55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7195F77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7C28FD80">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77A1BDC6">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6FBCFE9C">
      <w:pPr>
        <w:pageBreakBefore w:val="0"/>
        <w:kinsoku/>
        <w:wordWrap/>
        <w:overflowPunct/>
        <w:topLinePunct w:val="0"/>
        <w:autoSpaceDE/>
        <w:autoSpaceDN/>
        <w:bidi w:val="0"/>
        <w:adjustRightInd w:val="0"/>
        <w:snapToGrid w:val="0"/>
        <w:spacing w:line="408"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特此声明。</w:t>
      </w:r>
    </w:p>
    <w:p w14:paraId="30D4DCCB">
      <w:pPr>
        <w:pStyle w:val="29"/>
        <w:ind w:firstLine="480"/>
        <w:rPr>
          <w:rFonts w:hint="eastAsia"/>
          <w:color w:val="auto"/>
        </w:rPr>
      </w:pPr>
    </w:p>
    <w:p w14:paraId="3674AB64">
      <w:pPr>
        <w:spacing w:line="360" w:lineRule="auto"/>
        <w:ind w:firstLine="480" w:firstLineChars="200"/>
        <w:rPr>
          <w:rFonts w:ascii="宋体" w:hAnsi="Calibri"/>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131BE649">
      <w:pPr>
        <w:adjustRightInd w:val="0"/>
        <w:snapToGrid w:val="0"/>
        <w:spacing w:line="360" w:lineRule="auto"/>
        <w:ind w:firstLine="480" w:firstLineChars="200"/>
        <w:rPr>
          <w:rFonts w:ascii="宋体" w:hAnsi="Calibri"/>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w:t>
      </w:r>
      <w:r>
        <w:rPr>
          <w:rFonts w:ascii="宋体" w:hAnsi="宋体" w:cs="宋体"/>
          <w:color w:val="auto"/>
          <w:sz w:val="24"/>
          <w:szCs w:val="24"/>
        </w:rPr>
        <w:t>____________________</w:t>
      </w:r>
    </w:p>
    <w:p w14:paraId="69221B47">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045CB2CB">
      <w:pPr>
        <w:spacing w:after="190" w:afterLines="50" w:line="480" w:lineRule="exact"/>
        <w:jc w:val="center"/>
        <w:rPr>
          <w:rFonts w:hint="eastAsia" w:ascii="宋体" w:hAnsi="宋体" w:eastAsia="宋体" w:cs="宋体"/>
          <w:b/>
          <w:bCs w:val="0"/>
          <w:color w:val="auto"/>
          <w:sz w:val="28"/>
          <w:szCs w:val="28"/>
          <w:u w:val="none"/>
          <w:lang w:val="en-US" w:eastAsia="zh-CN"/>
        </w:rPr>
      </w:pPr>
      <w:r>
        <w:rPr>
          <w:rFonts w:hint="eastAsia" w:ascii="宋体" w:hAnsi="宋体" w:eastAsia="宋体" w:cs="宋体"/>
          <w:b/>
          <w:bCs w:val="0"/>
          <w:color w:val="auto"/>
          <w:sz w:val="28"/>
          <w:szCs w:val="28"/>
          <w:u w:val="none"/>
          <w:lang w:val="en-US" w:eastAsia="zh-CN"/>
        </w:rPr>
        <w:t>中小企业声明函（工程、服务）</w:t>
      </w:r>
    </w:p>
    <w:p w14:paraId="3919315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A1D1A6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0314000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p>
    <w:p w14:paraId="63AE8764">
      <w:pPr>
        <w:spacing w:after="190" w:afterLines="50" w:line="480" w:lineRule="exact"/>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4E74D414">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9DE53FA">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A6FE42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3FAE8F54">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C49F051">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6615FE98">
      <w:pPr>
        <w:pStyle w:val="104"/>
        <w:rPr>
          <w:rFonts w:hint="eastAsia"/>
          <w:color w:val="auto"/>
          <w:lang w:val="en-US" w:eastAsia="zh-CN"/>
        </w:rPr>
      </w:pPr>
    </w:p>
    <w:p w14:paraId="689246B6">
      <w:pPr>
        <w:pStyle w:val="3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18F3486">
      <w:pPr>
        <w:pStyle w:val="11"/>
        <w:rPr>
          <w:rFonts w:hint="eastAsia" w:ascii="宋体" w:hAnsi="宋体" w:eastAsia="宋体" w:cs="宋体"/>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p>
    <w:p w14:paraId="679CD9D4">
      <w:pPr>
        <w:keepNext/>
        <w:keepLines/>
        <w:numPr>
          <w:ilvl w:val="0"/>
          <w:numId w:val="6"/>
        </w:numPr>
        <w:spacing w:line="415" w:lineRule="auto"/>
        <w:ind w:left="0" w:leftChars="0" w:firstLine="0" w:firstLineChars="0"/>
        <w:jc w:val="center"/>
        <w:outlineLvl w:val="1"/>
        <w:rPr>
          <w:rFonts w:hint="eastAsia" w:ascii="Calibri Light" w:hAnsi="Calibri Light" w:cs="Times New Roman"/>
          <w:b/>
          <w:bCs/>
          <w:color w:val="auto"/>
          <w:sz w:val="32"/>
          <w:szCs w:val="32"/>
          <w:lang w:eastAsia="zh-CN"/>
        </w:rPr>
      </w:pPr>
      <w:r>
        <w:rPr>
          <w:rFonts w:hint="eastAsia" w:ascii="Calibri Light" w:hAnsi="Calibri Light" w:cs="Times New Roman"/>
          <w:b/>
          <w:bCs/>
          <w:color w:val="auto"/>
          <w:sz w:val="32"/>
          <w:szCs w:val="32"/>
          <w:lang w:eastAsia="zh-CN"/>
        </w:rPr>
        <w:t>技术商务响应偏离表</w:t>
      </w:r>
    </w:p>
    <w:p w14:paraId="4A0F535A">
      <w:pPr>
        <w:pStyle w:val="3"/>
        <w:spacing w:before="0" w:after="0"/>
        <w:ind w:firstLine="422" w:firstLineChars="150"/>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w:t>
      </w:r>
      <w:r>
        <w:rPr>
          <w:rFonts w:hint="eastAsia"/>
          <w:color w:val="000000" w:themeColor="text1"/>
          <w:sz w:val="28"/>
          <w:szCs w:val="28"/>
          <w:lang w:eastAsia="zh-CN"/>
          <w14:textFill>
            <w14:solidFill>
              <w14:schemeClr w14:val="tx1"/>
            </w14:solidFill>
          </w14:textFill>
        </w:rPr>
        <w:t>响应</w:t>
      </w:r>
      <w:r>
        <w:rPr>
          <w:rFonts w:hint="eastAsia"/>
          <w:color w:val="000000" w:themeColor="text1"/>
          <w:sz w:val="28"/>
          <w:szCs w:val="28"/>
          <w14:textFill>
            <w14:solidFill>
              <w14:schemeClr w14:val="tx1"/>
            </w14:solidFill>
          </w14:textFill>
        </w:rPr>
        <w:t>偏离表</w:t>
      </w:r>
    </w:p>
    <w:tbl>
      <w:tblPr>
        <w:tblStyle w:val="35"/>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58"/>
        <w:gridCol w:w="3726"/>
        <w:gridCol w:w="1583"/>
        <w:gridCol w:w="1369"/>
      </w:tblGrid>
      <w:tr w14:paraId="0D50F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5EF0442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序号</w:t>
            </w:r>
          </w:p>
        </w:tc>
        <w:tc>
          <w:tcPr>
            <w:tcW w:w="2258" w:type="dxa"/>
            <w:vAlign w:val="center"/>
          </w:tcPr>
          <w:p w14:paraId="3C3F7656">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auto"/>
                <w:sz w:val="24"/>
                <w:szCs w:val="24"/>
                <w:lang w:val="en-US" w:eastAsia="zh-CN"/>
              </w:rPr>
              <w:t>磋商</w:t>
            </w:r>
            <w:r>
              <w:rPr>
                <w:rFonts w:hint="eastAsia" w:ascii="宋体" w:hAnsi="宋体" w:cs="宋体"/>
                <w:b/>
                <w:color w:val="000000" w:themeColor="text1"/>
                <w:sz w:val="24"/>
                <w:szCs w:val="24"/>
                <w14:textFill>
                  <w14:solidFill>
                    <w14:schemeClr w14:val="tx1"/>
                  </w14:solidFill>
                </w14:textFill>
              </w:rPr>
              <w:t>文件技术要求</w:t>
            </w:r>
          </w:p>
        </w:tc>
        <w:tc>
          <w:tcPr>
            <w:tcW w:w="3726" w:type="dxa"/>
            <w:vAlign w:val="center"/>
          </w:tcPr>
          <w:p w14:paraId="7BF16EBD">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auto"/>
                <w:sz w:val="24"/>
                <w:szCs w:val="24"/>
                <w:lang w:eastAsia="zh-CN"/>
              </w:rPr>
              <w:t>响应</w:t>
            </w:r>
            <w:r>
              <w:rPr>
                <w:rFonts w:hint="eastAsia" w:ascii="宋体" w:hAnsi="宋体" w:cs="宋体"/>
                <w:b/>
                <w:color w:val="000000" w:themeColor="text1"/>
                <w:sz w:val="24"/>
                <w:szCs w:val="24"/>
                <w14:textFill>
                  <w14:solidFill>
                    <w14:schemeClr w14:val="tx1"/>
                  </w14:solidFill>
                </w14:textFill>
              </w:rPr>
              <w:t>文件技术</w:t>
            </w:r>
            <w:r>
              <w:rPr>
                <w:rFonts w:hint="eastAsia" w:ascii="宋体" w:hAnsi="宋体" w:cs="宋体"/>
                <w:b/>
                <w:color w:val="000000" w:themeColor="text1"/>
                <w:sz w:val="24"/>
                <w:szCs w:val="24"/>
                <w:lang w:val="en-US" w:eastAsia="zh-CN"/>
                <w14:textFill>
                  <w14:solidFill>
                    <w14:schemeClr w14:val="tx1"/>
                  </w14:solidFill>
                </w14:textFill>
              </w:rPr>
              <w:t>应答</w:t>
            </w:r>
          </w:p>
        </w:tc>
        <w:tc>
          <w:tcPr>
            <w:tcW w:w="1583" w:type="dxa"/>
            <w:vAlign w:val="center"/>
          </w:tcPr>
          <w:p w14:paraId="7679E2A9">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响应/偏离</w:t>
            </w:r>
          </w:p>
        </w:tc>
        <w:tc>
          <w:tcPr>
            <w:tcW w:w="1369" w:type="dxa"/>
            <w:vAlign w:val="center"/>
          </w:tcPr>
          <w:p w14:paraId="7CDC9260">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偏离简述</w:t>
            </w:r>
          </w:p>
        </w:tc>
      </w:tr>
      <w:tr w14:paraId="144A8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9401C51">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1</w:t>
            </w:r>
          </w:p>
        </w:tc>
        <w:tc>
          <w:tcPr>
            <w:tcW w:w="2258" w:type="dxa"/>
          </w:tcPr>
          <w:p w14:paraId="0076A03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0533ED4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6EE7913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3AB9C620">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68848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418736E">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2</w:t>
            </w:r>
          </w:p>
        </w:tc>
        <w:tc>
          <w:tcPr>
            <w:tcW w:w="2258" w:type="dxa"/>
          </w:tcPr>
          <w:p w14:paraId="7994F7F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71F0443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4B5C6F3A">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1361CB6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7639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52D5710D">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3</w:t>
            </w:r>
          </w:p>
        </w:tc>
        <w:tc>
          <w:tcPr>
            <w:tcW w:w="2258" w:type="dxa"/>
          </w:tcPr>
          <w:p w14:paraId="65EEFA4D">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04ED584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302BB67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5150D111">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4BAEE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6BAFC52B">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4</w:t>
            </w:r>
          </w:p>
        </w:tc>
        <w:tc>
          <w:tcPr>
            <w:tcW w:w="2258" w:type="dxa"/>
          </w:tcPr>
          <w:p w14:paraId="0DD217F2">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559B8C53">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418079A9">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2E608CFE">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r w14:paraId="069AB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027FD7EC">
            <w:pPr>
              <w:keepNext w:val="0"/>
              <w:keepLines w:val="0"/>
              <w:suppressLineNumbers w:val="0"/>
              <w:spacing w:before="0" w:beforeAutospacing="0" w:after="0" w:afterAutospacing="0" w:line="360" w:lineRule="auto"/>
              <w:ind w:left="0" w:right="0"/>
              <w:jc w:val="center"/>
              <w:rPr>
                <w:rFonts w:hint="default"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w:t>
            </w:r>
          </w:p>
        </w:tc>
        <w:tc>
          <w:tcPr>
            <w:tcW w:w="2258" w:type="dxa"/>
          </w:tcPr>
          <w:p w14:paraId="4753915C">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3726" w:type="dxa"/>
          </w:tcPr>
          <w:p w14:paraId="18357F86">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583" w:type="dxa"/>
          </w:tcPr>
          <w:p w14:paraId="6236F11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c>
          <w:tcPr>
            <w:tcW w:w="1369" w:type="dxa"/>
          </w:tcPr>
          <w:p w14:paraId="5DC30FE4">
            <w:pPr>
              <w:keepNext w:val="0"/>
              <w:keepLines w:val="0"/>
              <w:suppressLineNumbers w:val="0"/>
              <w:spacing w:before="0" w:beforeAutospacing="0" w:after="0" w:afterAutospacing="0"/>
              <w:ind w:left="0" w:right="0"/>
              <w:jc w:val="center"/>
              <w:rPr>
                <w:rFonts w:hint="default" w:ascii="宋体" w:hAnsi="宋体"/>
                <w:color w:val="000000" w:themeColor="text1"/>
                <w:sz w:val="24"/>
                <w:szCs w:val="24"/>
                <w14:textFill>
                  <w14:solidFill>
                    <w14:schemeClr w14:val="tx1"/>
                  </w14:solidFill>
                </w14:textFill>
              </w:rPr>
            </w:pPr>
          </w:p>
        </w:tc>
      </w:tr>
    </w:tbl>
    <w:p w14:paraId="33A93D79">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000000" w:themeColor="text1"/>
          <w:kern w:val="2"/>
          <w:sz w:val="24"/>
          <w:szCs w:val="24"/>
          <w:lang w:val="zh-CN"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注：</w:t>
      </w:r>
      <w:r>
        <w:rPr>
          <w:rFonts w:hint="eastAsia" w:ascii="宋体" w:hAnsi="宋体" w:cs="Times New Roman"/>
          <w:b w:val="0"/>
          <w:bCs w:val="0"/>
          <w:color w:val="auto"/>
          <w:sz w:val="24"/>
          <w:szCs w:val="24"/>
        </w:rPr>
        <w:t>对磋商文件中要求的</w:t>
      </w:r>
      <w:r>
        <w:rPr>
          <w:rFonts w:hint="eastAsia" w:ascii="宋体" w:hAnsi="宋体" w:cs="Times New Roman"/>
          <w:b w:val="0"/>
          <w:bCs w:val="0"/>
          <w:color w:val="auto"/>
          <w:sz w:val="24"/>
          <w:szCs w:val="24"/>
          <w:lang w:val="en-US" w:eastAsia="zh-CN"/>
        </w:rPr>
        <w:t>技术</w:t>
      </w:r>
      <w:r>
        <w:rPr>
          <w:rFonts w:hint="eastAsia" w:ascii="宋体" w:hAnsi="宋体" w:cs="Times New Roman"/>
          <w:b w:val="0"/>
          <w:bCs w:val="0"/>
          <w:color w:val="auto"/>
          <w:sz w:val="24"/>
          <w:szCs w:val="24"/>
        </w:rPr>
        <w:t>条款响应并详细说明。</w:t>
      </w:r>
    </w:p>
    <w:p w14:paraId="55D751E6">
      <w:pPr>
        <w:pStyle w:val="23"/>
        <w:rPr>
          <w:color w:val="000000" w:themeColor="text1"/>
          <w14:textFill>
            <w14:solidFill>
              <w14:schemeClr w14:val="tx1"/>
            </w14:solidFill>
          </w14:textFill>
        </w:rPr>
      </w:pPr>
    </w:p>
    <w:p w14:paraId="050716FA">
      <w:pPr>
        <w:jc w:val="center"/>
        <w:rPr>
          <w:rFonts w:ascii="宋体" w:hAnsi="宋体"/>
          <w:b/>
          <w:color w:val="000000" w:themeColor="text1"/>
          <w:sz w:val="24"/>
          <w:szCs w:val="24"/>
          <w14:textFill>
            <w14:solidFill>
              <w14:schemeClr w14:val="tx1"/>
            </w14:solidFill>
          </w14:textFill>
        </w:rPr>
      </w:pPr>
    </w:p>
    <w:p w14:paraId="59CB4C1A">
      <w:pPr>
        <w:pStyle w:val="15"/>
        <w:rPr>
          <w:rFonts w:ascii="宋体" w:hAnsi="宋体"/>
          <w:b/>
          <w:color w:val="000000" w:themeColor="text1"/>
          <w:sz w:val="24"/>
          <w:szCs w:val="24"/>
          <w14:textFill>
            <w14:solidFill>
              <w14:schemeClr w14:val="tx1"/>
            </w14:solidFill>
          </w14:textFill>
        </w:rPr>
      </w:pPr>
    </w:p>
    <w:p w14:paraId="117B838E">
      <w:pPr>
        <w:pStyle w:val="15"/>
        <w:rPr>
          <w:rFonts w:ascii="宋体" w:hAnsi="宋体"/>
          <w:b/>
          <w:color w:val="000000" w:themeColor="text1"/>
          <w:sz w:val="24"/>
          <w:szCs w:val="24"/>
          <w14:textFill>
            <w14:solidFill>
              <w14:schemeClr w14:val="tx1"/>
            </w14:solidFill>
          </w14:textFill>
        </w:rPr>
      </w:pPr>
    </w:p>
    <w:p w14:paraId="679097B9">
      <w:pPr>
        <w:jc w:val="center"/>
        <w:rPr>
          <w:rFonts w:ascii="宋体" w:hAnsi="宋体"/>
          <w:b/>
          <w:color w:val="000000" w:themeColor="text1"/>
          <w:sz w:val="24"/>
          <w:szCs w:val="24"/>
          <w14:textFill>
            <w14:solidFill>
              <w14:schemeClr w14:val="tx1"/>
            </w14:solidFill>
          </w14:textFill>
        </w:rPr>
      </w:pPr>
    </w:p>
    <w:p w14:paraId="57FD1BA5">
      <w:pPr>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投标人名称（盖章）</w:t>
      </w:r>
      <w:r>
        <w:rPr>
          <w:rFonts w:hint="eastAsia" w:ascii="宋体" w:hAnsi="宋体" w:cs="仿宋"/>
          <w:color w:val="000000" w:themeColor="text1"/>
          <w:sz w:val="24"/>
          <w:szCs w:val="24"/>
          <w:lang w:eastAsia="zh-CN"/>
          <w14:textFill>
            <w14:solidFill>
              <w14:schemeClr w14:val="tx1"/>
            </w14:solidFill>
          </w14:textFill>
        </w:rPr>
        <w:t>：</w:t>
      </w:r>
    </w:p>
    <w:p w14:paraId="6590065D">
      <w:pPr>
        <w:spacing w:line="360" w:lineRule="auto"/>
        <w:ind w:firstLine="240" w:firstLineChars="100"/>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法定代表人或被授权人：</w:t>
      </w:r>
      <w:r>
        <w:rPr>
          <w:rFonts w:hint="eastAsia" w:ascii="宋体" w:hAnsi="宋体" w:cs="仿宋"/>
          <w:color w:val="000000" w:themeColor="text1"/>
          <w:sz w:val="24"/>
          <w:szCs w:val="24"/>
          <w:lang w:eastAsia="zh-CN"/>
          <w14:textFill>
            <w14:solidFill>
              <w14:schemeClr w14:val="tx1"/>
            </w14:solidFill>
          </w14:textFill>
        </w:rPr>
        <w:t>（</w:t>
      </w:r>
      <w:r>
        <w:rPr>
          <w:rFonts w:hint="eastAsia" w:ascii="宋体" w:hAnsi="宋体" w:cs="仿宋"/>
          <w:color w:val="000000" w:themeColor="text1"/>
          <w:sz w:val="24"/>
          <w:szCs w:val="24"/>
          <w14:textFill>
            <w14:solidFill>
              <w14:schemeClr w14:val="tx1"/>
            </w14:solidFill>
          </w14:textFill>
        </w:rPr>
        <w:t>签字或盖章</w:t>
      </w:r>
      <w:r>
        <w:rPr>
          <w:rFonts w:hint="eastAsia" w:ascii="宋体" w:hAnsi="宋体" w:cs="仿宋"/>
          <w:color w:val="000000" w:themeColor="text1"/>
          <w:sz w:val="24"/>
          <w:szCs w:val="24"/>
          <w:lang w:eastAsia="zh-CN"/>
          <w14:textFill>
            <w14:solidFill>
              <w14:schemeClr w14:val="tx1"/>
            </w14:solidFill>
          </w14:textFill>
        </w:rPr>
        <w:t>）</w:t>
      </w:r>
    </w:p>
    <w:p w14:paraId="0E2B6830">
      <w:pPr>
        <w:keepNext/>
        <w:keepLines/>
        <w:widowControl w:val="0"/>
        <w:numPr>
          <w:ilvl w:val="0"/>
          <w:numId w:val="0"/>
        </w:numPr>
        <w:spacing w:line="415" w:lineRule="auto"/>
        <w:ind w:firstLine="240" w:firstLineChars="100"/>
        <w:jc w:val="both"/>
        <w:outlineLvl w:val="1"/>
        <w:rPr>
          <w:rFonts w:hint="eastAsia" w:ascii="Calibri Light" w:hAnsi="Calibri Light" w:cs="Times New Roman"/>
          <w:b/>
          <w:bCs/>
          <w:color w:val="auto"/>
          <w:sz w:val="32"/>
          <w:szCs w:val="32"/>
          <w:lang w:eastAsia="zh-CN"/>
        </w:rPr>
        <w:sectPr>
          <w:pgSz w:w="11906" w:h="16838"/>
          <w:pgMar w:top="1417" w:right="1417" w:bottom="1417" w:left="1417" w:header="1134" w:footer="992" w:gutter="0"/>
          <w:pgNumType w:fmt="decimal"/>
          <w:cols w:space="0" w:num="1"/>
          <w:titlePg/>
          <w:rtlGutter w:val="0"/>
          <w:docGrid w:type="lines" w:linePitch="333" w:charSpace="0"/>
        </w:sectPr>
      </w:pPr>
      <w:r>
        <w:rPr>
          <w:rFonts w:hint="eastAsia" w:ascii="宋体" w:hAnsi="宋体"/>
          <w:color w:val="000000" w:themeColor="text1"/>
          <w:sz w:val="24"/>
          <w:szCs w:val="24"/>
          <w14:textFill>
            <w14:solidFill>
              <w14:schemeClr w14:val="tx1"/>
            </w14:solidFill>
          </w14:textFill>
        </w:rPr>
        <w:t>日      期：</w:t>
      </w:r>
    </w:p>
    <w:p w14:paraId="614763AA">
      <w:pPr>
        <w:keepNext/>
        <w:keepLines/>
        <w:numPr>
          <w:ilvl w:val="0"/>
          <w:numId w:val="0"/>
        </w:numPr>
        <w:spacing w:line="415" w:lineRule="auto"/>
        <w:ind w:left="0" w:leftChars="0" w:firstLine="0" w:firstLineChars="0"/>
        <w:jc w:val="center"/>
        <w:outlineLvl w:val="1"/>
        <w:rPr>
          <w:rFonts w:hint="eastAsia" w:ascii="Calibri Light" w:hAnsi="Calibri Light" w:cs="Times New Roman"/>
          <w:b/>
          <w:bCs/>
          <w:color w:val="auto"/>
          <w:sz w:val="28"/>
          <w:szCs w:val="28"/>
          <w:lang w:eastAsia="zh-CN"/>
        </w:rPr>
      </w:pPr>
      <w:r>
        <w:rPr>
          <w:rFonts w:hint="eastAsia" w:ascii="Calibri Light" w:hAnsi="Calibri Light" w:cs="Times New Roman"/>
          <w:b/>
          <w:bCs/>
          <w:color w:val="auto"/>
          <w:sz w:val="28"/>
          <w:szCs w:val="28"/>
          <w:lang w:eastAsia="zh-CN"/>
        </w:rPr>
        <w:t>商务响应偏离表</w:t>
      </w:r>
    </w:p>
    <w:p w14:paraId="652EA57C">
      <w:pPr>
        <w:pStyle w:val="26"/>
      </w:pPr>
    </w:p>
    <w:tbl>
      <w:tblPr>
        <w:tblStyle w:val="3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0A42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53C45609">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序号</w:t>
            </w:r>
          </w:p>
        </w:tc>
        <w:tc>
          <w:tcPr>
            <w:tcW w:w="2835" w:type="dxa"/>
            <w:vAlign w:val="center"/>
          </w:tcPr>
          <w:p w14:paraId="6B5CE4D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磋商</w:t>
            </w:r>
            <w:r>
              <w:rPr>
                <w:rFonts w:hint="eastAsia" w:ascii="宋体" w:hAnsi="宋体" w:eastAsia="宋体" w:cs="宋体"/>
                <w:b/>
                <w:color w:val="auto"/>
                <w:sz w:val="24"/>
                <w:szCs w:val="24"/>
              </w:rPr>
              <w:t>文件商务要求</w:t>
            </w:r>
          </w:p>
        </w:tc>
        <w:tc>
          <w:tcPr>
            <w:tcW w:w="2552" w:type="dxa"/>
            <w:vAlign w:val="center"/>
          </w:tcPr>
          <w:p w14:paraId="2043779E">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3F4B120A">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响应/</w:t>
            </w:r>
            <w:r>
              <w:rPr>
                <w:rFonts w:hint="eastAsia" w:ascii="宋体" w:hAnsi="宋体" w:eastAsia="宋体" w:cs="宋体"/>
                <w:b/>
                <w:color w:val="auto"/>
                <w:sz w:val="24"/>
                <w:szCs w:val="24"/>
              </w:rPr>
              <w:t>偏离</w:t>
            </w:r>
          </w:p>
        </w:tc>
        <w:tc>
          <w:tcPr>
            <w:tcW w:w="1516" w:type="dxa"/>
            <w:vAlign w:val="center"/>
          </w:tcPr>
          <w:p w14:paraId="245CCEC1">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098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8269180">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B36F29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4E756FAA">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B101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2F50817">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D8F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97D8403">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260DBC6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D6E16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3271A21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5DB5E">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2D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7BB1D4">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10285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8884172">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22462999">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102146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E24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C4A7843">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3E3B1C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77AC1D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01B712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4F191F3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5E088FAA">
      <w:pPr>
        <w:spacing w:line="360" w:lineRule="auto"/>
        <w:ind w:firstLine="480" w:firstLineChars="200"/>
        <w:rPr>
          <w:rFonts w:hint="eastAsia" w:ascii="宋体" w:hAnsi="宋体" w:cs="Times New Roman"/>
          <w:b w:val="0"/>
          <w:bCs w:val="0"/>
          <w:color w:val="auto"/>
          <w:sz w:val="24"/>
          <w:szCs w:val="24"/>
        </w:rPr>
      </w:pPr>
    </w:p>
    <w:p w14:paraId="4207AACB">
      <w:pPr>
        <w:spacing w:line="360" w:lineRule="auto"/>
        <w:ind w:firstLine="480" w:firstLineChars="200"/>
        <w:rPr>
          <w:rFonts w:ascii="Times New Roman" w:hAnsi="Times New Roman" w:cs="Times New Roman"/>
          <w:b w:val="0"/>
          <w:bCs w:val="0"/>
          <w:color w:val="auto"/>
          <w:sz w:val="24"/>
          <w:szCs w:val="24"/>
        </w:rPr>
      </w:pPr>
      <w:r>
        <w:rPr>
          <w:rFonts w:hint="eastAsia" w:ascii="宋体" w:hAnsi="宋体" w:cs="Times New Roman"/>
          <w:b w:val="0"/>
          <w:bCs w:val="0"/>
          <w:color w:val="auto"/>
          <w:sz w:val="24"/>
          <w:szCs w:val="24"/>
        </w:rPr>
        <w:t>注：对磋商文件中要求的商务条款响应并详细说明。</w:t>
      </w:r>
    </w:p>
    <w:p w14:paraId="752129BC">
      <w:pPr>
        <w:rPr>
          <w:rFonts w:ascii="Times New Roman" w:hAnsi="Times New Roman" w:cs="Times New Roman"/>
          <w:color w:val="auto"/>
          <w:sz w:val="24"/>
          <w:szCs w:val="24"/>
        </w:rPr>
      </w:pPr>
    </w:p>
    <w:p w14:paraId="631A5752">
      <w:pPr>
        <w:pStyle w:val="20"/>
        <w:rPr>
          <w:color w:val="auto"/>
        </w:rPr>
      </w:pPr>
    </w:p>
    <w:p w14:paraId="74B80580">
      <w:pPr>
        <w:pStyle w:val="20"/>
        <w:rPr>
          <w:color w:val="auto"/>
        </w:rPr>
      </w:pPr>
    </w:p>
    <w:p w14:paraId="01CE4F28">
      <w:pPr>
        <w:pStyle w:val="20"/>
        <w:rPr>
          <w:color w:val="auto"/>
        </w:rPr>
      </w:pPr>
    </w:p>
    <w:p w14:paraId="5C88CA64">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580425E8">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5C819905">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52846BCE">
      <w:pPr>
        <w:widowControl/>
        <w:jc w:val="left"/>
        <w:rPr>
          <w:rFonts w:ascii="宋体" w:hAnsi="宋体" w:cs="宋体"/>
          <w:b/>
          <w:bCs/>
          <w:color w:val="auto"/>
          <w:sz w:val="28"/>
          <w:szCs w:val="28"/>
        </w:rPr>
      </w:pPr>
    </w:p>
    <w:bookmarkEnd w:id="164"/>
    <w:bookmarkEnd w:id="166"/>
    <w:bookmarkEnd w:id="167"/>
    <w:bookmarkEnd w:id="168"/>
    <w:bookmarkEnd w:id="169"/>
    <w:bookmarkEnd w:id="170"/>
    <w:bookmarkEnd w:id="171"/>
    <w:p w14:paraId="728AB4B6">
      <w:pPr>
        <w:pStyle w:val="3"/>
        <w:pageBreakBefore/>
        <w:rPr>
          <w:rFonts w:ascii="宋体" w:cs="Times New Roman"/>
          <w:color w:val="auto"/>
          <w:sz w:val="24"/>
          <w:szCs w:val="24"/>
        </w:rPr>
        <w:sectPr>
          <w:pgSz w:w="11906" w:h="16838"/>
          <w:pgMar w:top="1417" w:right="1417" w:bottom="1417" w:left="1417" w:header="1134" w:footer="992" w:gutter="0"/>
          <w:pgNumType w:fmt="decimal"/>
          <w:cols w:space="0" w:num="1"/>
          <w:titlePg/>
          <w:rtlGutter w:val="0"/>
          <w:docGrid w:type="lines" w:linePitch="333" w:charSpace="0"/>
        </w:sectPr>
      </w:pPr>
      <w:bookmarkStart w:id="172" w:name="_Toc1408"/>
    </w:p>
    <w:bookmarkEnd w:id="172"/>
    <w:p w14:paraId="1FB35719">
      <w:pPr>
        <w:pStyle w:val="3"/>
        <w:pageBreakBefore/>
        <w:rPr>
          <w:rFonts w:hint="eastAsia" w:ascii="Calibri Light" w:hAnsi="Calibri Light" w:eastAsia="宋体" w:cs="Times New Roman"/>
          <w:b/>
          <w:bCs/>
          <w:color w:val="auto"/>
          <w:kern w:val="2"/>
          <w:sz w:val="32"/>
          <w:szCs w:val="32"/>
          <w:lang w:val="en-US" w:eastAsia="zh-CN" w:bidi="ar-SA"/>
        </w:rPr>
      </w:pPr>
      <w:bookmarkStart w:id="173" w:name="_Toc9172"/>
      <w:bookmarkStart w:id="174" w:name="_Toc19543359"/>
      <w:bookmarkStart w:id="175" w:name="_Toc536429339"/>
      <w:bookmarkStart w:id="176" w:name="_Toc536202399"/>
      <w:bookmarkStart w:id="177" w:name="_Toc14937"/>
      <w:bookmarkStart w:id="178" w:name="_Toc536429392"/>
      <w:bookmarkStart w:id="179" w:name="_Toc536202330"/>
      <w:bookmarkStart w:id="180" w:name="_Toc1803"/>
      <w:r>
        <w:rPr>
          <w:rFonts w:hint="eastAsia" w:ascii="Calibri Light" w:hAnsi="Calibri Light" w:eastAsia="宋体" w:cs="Times New Roman"/>
          <w:b/>
          <w:bCs/>
          <w:color w:val="auto"/>
          <w:kern w:val="2"/>
          <w:sz w:val="32"/>
          <w:szCs w:val="32"/>
          <w:lang w:val="en-US" w:eastAsia="zh-CN" w:bidi="ar-SA"/>
        </w:rPr>
        <w:t xml:space="preserve">第六章  </w:t>
      </w:r>
      <w:bookmarkEnd w:id="173"/>
      <w:r>
        <w:rPr>
          <w:rFonts w:hint="eastAsia" w:ascii="Calibri Light" w:hAnsi="Calibri Light" w:cs="Times New Roman"/>
          <w:b/>
          <w:bCs/>
          <w:color w:val="auto"/>
          <w:kern w:val="2"/>
          <w:sz w:val="32"/>
          <w:szCs w:val="32"/>
          <w:lang w:val="en-US" w:eastAsia="zh-CN" w:bidi="ar-SA"/>
        </w:rPr>
        <w:t>响应</w:t>
      </w:r>
      <w:r>
        <w:rPr>
          <w:rFonts w:hint="eastAsia" w:ascii="Calibri Light" w:hAnsi="Calibri Light" w:eastAsia="宋体" w:cs="Times New Roman"/>
          <w:b/>
          <w:bCs/>
          <w:color w:val="auto"/>
          <w:kern w:val="2"/>
          <w:sz w:val="32"/>
          <w:szCs w:val="32"/>
          <w:lang w:val="en-US" w:eastAsia="zh-CN" w:bidi="ar-SA"/>
        </w:rPr>
        <w:t>方案</w:t>
      </w:r>
      <w:bookmarkEnd w:id="174"/>
      <w:bookmarkEnd w:id="175"/>
      <w:bookmarkEnd w:id="176"/>
      <w:bookmarkEnd w:id="177"/>
      <w:bookmarkEnd w:id="178"/>
      <w:bookmarkEnd w:id="179"/>
    </w:p>
    <w:p w14:paraId="678E84F4">
      <w:pPr>
        <w:overflowPunct/>
        <w:topLinePunct w:val="0"/>
        <w:bidi w:val="0"/>
        <w:spacing w:line="500" w:lineRule="atLeast"/>
        <w:ind w:firstLine="482" w:firstLineChars="200"/>
        <w:rPr>
          <w:rFonts w:hint="eastAsia" w:ascii="宋体" w:hAnsi="宋体" w:eastAsia="宋体" w:cs="宋体"/>
          <w:b/>
          <w:bCs/>
          <w:color w:val="auto"/>
          <w:sz w:val="24"/>
          <w:szCs w:val="24"/>
        </w:rPr>
      </w:pPr>
      <w:bookmarkStart w:id="181" w:name="_Toc26541342"/>
      <w:bookmarkStart w:id="182" w:name="_Toc23258631"/>
      <w:bookmarkStart w:id="183" w:name="_Toc528240834"/>
      <w:bookmarkStart w:id="184" w:name="_Toc484198844"/>
      <w:bookmarkStart w:id="185" w:name="_Toc19543360"/>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文件的《评分标准》各条款的要求，结合《采购内容及要求》编制</w:t>
      </w:r>
      <w:r>
        <w:rPr>
          <w:rFonts w:hint="eastAsia" w:ascii="宋体" w:hAnsi="宋体" w:eastAsia="宋体" w:cs="宋体"/>
          <w:b/>
          <w:bCs/>
          <w:color w:val="auto"/>
          <w:sz w:val="24"/>
          <w:szCs w:val="24"/>
          <w:lang w:val="en-US" w:eastAsia="zh-CN"/>
        </w:rPr>
        <w:t>响应方案</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方案由供应商自行编写，包含但不限于以下内容：</w:t>
      </w:r>
    </w:p>
    <w:p w14:paraId="1AE64424">
      <w:pPr>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施工组织设计</w:t>
      </w:r>
    </w:p>
    <w:p w14:paraId="3F069FA5">
      <w:pPr>
        <w:adjustRightInd w:val="0"/>
        <w:snapToGrid w:val="0"/>
        <w:spacing w:line="500" w:lineRule="exact"/>
        <w:ind w:firstLine="480" w:firstLineChars="200"/>
        <w:rPr>
          <w:rFonts w:hint="default" w:ascii="宋体" w:hAnsi="宋体" w:eastAsia="宋体" w:cs="宋体"/>
          <w:color w:val="auto"/>
          <w:sz w:val="24"/>
          <w:lang w:val="en-US"/>
        </w:rPr>
      </w:pPr>
      <w:r>
        <w:rPr>
          <w:rFonts w:hint="eastAsia" w:ascii="宋体" w:hAnsi="宋体" w:cs="宋体"/>
          <w:color w:val="auto"/>
          <w:sz w:val="24"/>
          <w:lang w:val="en-US" w:eastAsia="zh-CN"/>
        </w:rPr>
        <w:t>项目理解分析及效果展示；施工部署；</w:t>
      </w:r>
      <w:r>
        <w:rPr>
          <w:rFonts w:hint="eastAsia" w:ascii="宋体" w:hAnsi="宋体" w:eastAsia="宋体" w:cs="宋体"/>
          <w:color w:val="auto"/>
          <w:sz w:val="24"/>
        </w:rPr>
        <w:t>施工方案</w:t>
      </w:r>
      <w:r>
        <w:rPr>
          <w:rFonts w:hint="eastAsia" w:ascii="宋体" w:hAnsi="宋体" w:eastAsia="宋体" w:cs="宋体"/>
          <w:color w:val="auto"/>
          <w:sz w:val="24"/>
          <w:lang w:eastAsia="zh-CN"/>
        </w:rPr>
        <w:t>；</w:t>
      </w:r>
      <w:r>
        <w:rPr>
          <w:rFonts w:hint="eastAsia" w:ascii="宋体" w:hAnsi="宋体" w:cs="宋体"/>
          <w:color w:val="auto"/>
          <w:sz w:val="24"/>
          <w:lang w:val="en-US" w:eastAsia="zh-CN"/>
        </w:rPr>
        <w:t>质量保证措施；施工进度计划；安全施工措施；文明施工措施；项目经理部组成；施工机械配备和材料投入计划；技术实力与创新。</w:t>
      </w:r>
    </w:p>
    <w:p w14:paraId="28C34F94">
      <w:pPr>
        <w:adjustRightInd w:val="0"/>
        <w:snapToGrid w:val="0"/>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保修方案</w:t>
      </w:r>
      <w:r>
        <w:rPr>
          <w:rFonts w:hint="eastAsia" w:ascii="宋体" w:hAnsi="宋体" w:eastAsia="宋体" w:cs="宋体"/>
          <w:color w:val="auto"/>
          <w:sz w:val="24"/>
          <w:lang w:val="en-US" w:eastAsia="zh-CN"/>
        </w:rPr>
        <w:t>；</w:t>
      </w:r>
    </w:p>
    <w:p w14:paraId="033A4B48">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3.业绩；</w:t>
      </w:r>
    </w:p>
    <w:p w14:paraId="7FD8AA12">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59460848">
      <w:pPr>
        <w:pStyle w:val="106"/>
        <w:rPr>
          <w:rFonts w:hint="default"/>
          <w:color w:val="auto"/>
          <w:lang w:val="en-US" w:eastAsia="zh-CN"/>
        </w:rPr>
      </w:pPr>
      <w:r>
        <w:rPr>
          <w:rFonts w:hint="eastAsia" w:ascii="宋体" w:hAnsi="宋体" w:eastAsia="宋体" w:cs="宋体"/>
          <w:color w:val="auto"/>
          <w:sz w:val="24"/>
          <w:lang w:val="en-US" w:eastAsia="zh-CN"/>
        </w:rPr>
        <w:t>……</w:t>
      </w:r>
    </w:p>
    <w:p w14:paraId="6623791B">
      <w:pPr>
        <w:spacing w:line="520" w:lineRule="exact"/>
        <w:ind w:left="420" w:leftChars="200" w:firstLine="480" w:firstLineChars="200"/>
        <w:rPr>
          <w:rFonts w:ascii="宋体" w:hAnsi="宋体" w:cs="宋体"/>
          <w:color w:val="auto"/>
          <w:sz w:val="24"/>
        </w:rPr>
      </w:pPr>
    </w:p>
    <w:p w14:paraId="37C8C66E">
      <w:pPr>
        <w:widowControl/>
        <w:jc w:val="left"/>
        <w:rPr>
          <w:rFonts w:ascii="宋体" w:hAnsi="宋体" w:cs="Times New Roman"/>
          <w:color w:val="auto"/>
          <w:sz w:val="24"/>
          <w:szCs w:val="24"/>
        </w:rPr>
      </w:pPr>
      <w:r>
        <w:rPr>
          <w:rFonts w:ascii="宋体" w:hAnsi="宋体" w:cs="Times New Roman"/>
          <w:color w:val="auto"/>
          <w:sz w:val="24"/>
          <w:szCs w:val="24"/>
        </w:rPr>
        <w:br w:type="page"/>
      </w:r>
    </w:p>
    <w:p w14:paraId="1EB7EBB4">
      <w:pPr>
        <w:keepNext/>
        <w:keepLines/>
        <w:spacing w:before="260" w:after="260" w:line="416" w:lineRule="auto"/>
        <w:ind w:firstLine="422" w:firstLineChars="150"/>
        <w:jc w:val="center"/>
        <w:outlineLvl w:val="1"/>
        <w:rPr>
          <w:rFonts w:ascii="宋体" w:hAnsi="宋体" w:cs="宋体"/>
          <w:b/>
          <w:bCs/>
          <w:color w:val="auto"/>
          <w:kern w:val="20"/>
          <w:sz w:val="28"/>
          <w:szCs w:val="28"/>
        </w:rPr>
      </w:pPr>
      <w:r>
        <w:rPr>
          <w:rFonts w:hint="eastAsia" w:ascii="Calibri Light" w:hAnsi="Calibri Light" w:cs="Times New Roman"/>
          <w:b/>
          <w:bCs/>
          <w:color w:val="auto"/>
          <w:sz w:val="28"/>
          <w:szCs w:val="28"/>
        </w:rPr>
        <w:t>投标人情况表</w:t>
      </w:r>
      <w:bookmarkEnd w:id="181"/>
      <w:bookmarkEnd w:id="182"/>
      <w:bookmarkEnd w:id="183"/>
      <w:bookmarkEnd w:id="184"/>
    </w:p>
    <w:tbl>
      <w:tblPr>
        <w:tblStyle w:val="3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0BD0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2097A22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5B91FF3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1707012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6C132EE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7402CBE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1476C88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43DCF46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37A0DDF0">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50EA90D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338B9F8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3D72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0B39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63F1BF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5866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ED16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A552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6BEC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4651B1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DE2C9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E2F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E3E46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A0108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8BA032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C5FA3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47A71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C7A91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D20D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D4BFD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D53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D0F0F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84689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4CF0C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47940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002DB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BDA37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5DF7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5E8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5B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E71E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CF973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0E43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048C1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09166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F309D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F7A3D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3BBE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6E2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7286E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9622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BC76A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A0066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6C44D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4F2E2F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A1AF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DEC251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6A56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1876F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19DF2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223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01FA9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98409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37FF3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6B43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216093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551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B24A4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F431D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B5D9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3302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5AE7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224D08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90097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B6E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6A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10681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4694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97E3D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04CE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7471C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DAF61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C7C0F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750F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351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CC7D2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B187A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EF4BA0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BF0E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C0F2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6BC0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AAF0F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4D71A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0409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0A53A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FD9D6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E062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DC029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F35AC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23B62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9C37B7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CC97B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DA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FF227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337F4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D98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3FF6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EDD3B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8CECEF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2070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CDE2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6D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72E451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2185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77B98C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170E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B73FA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8BAE2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D3BD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E17B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1DB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74D55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1FE45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FF6B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1D04D4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E8640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6D08A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279734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17EEB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F73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6A7C6A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4D38D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33EBE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6A3E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C54B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D057E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53E40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E1155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B4B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72168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FBF6A0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5783B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83AE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ADA81F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6B8776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E4E41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627DF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5323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C9EA54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F7E94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BDF58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7F4D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7FE43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4A213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7EEEC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C661FC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7AB0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45F3FB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53448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E5487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C4AFB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75616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2319F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224F46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D1CB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31B33A79">
      <w:pPr>
        <w:rPr>
          <w:rFonts w:ascii="Times New Roman" w:hAnsi="Times New Roman" w:cs="Times New Roman"/>
          <w:color w:val="auto"/>
          <w:szCs w:val="22"/>
        </w:rPr>
      </w:pPr>
    </w:p>
    <w:p w14:paraId="44724DF8">
      <w:pPr>
        <w:adjustRightInd w:val="0"/>
        <w:snapToGrid w:val="0"/>
        <w:spacing w:line="480" w:lineRule="auto"/>
        <w:jc w:val="left"/>
        <w:rPr>
          <w:rFonts w:hint="eastAsia" w:ascii="宋体" w:hAnsi="宋体" w:eastAsia="宋体" w:cs="宋体"/>
          <w:color w:val="auto"/>
          <w:sz w:val="24"/>
          <w:szCs w:val="24"/>
        </w:rPr>
      </w:pPr>
      <w:bookmarkStart w:id="186" w:name="_Hlt491765944"/>
      <w:bookmarkEnd w:id="186"/>
      <w:bookmarkStart w:id="187" w:name="_Hlt491766019"/>
      <w:bookmarkEnd w:id="187"/>
      <w:bookmarkStart w:id="188" w:name="_Hlt491573425"/>
      <w:bookmarkEnd w:id="188"/>
      <w:bookmarkStart w:id="189" w:name="_Hlt491572882"/>
      <w:bookmarkEnd w:id="189"/>
      <w:bookmarkStart w:id="190" w:name="_Hlt491765868"/>
      <w:bookmarkEnd w:id="190"/>
    </w:p>
    <w:p w14:paraId="7A9DC047">
      <w:pPr>
        <w:adjustRightInd w:val="0"/>
        <w:snapToGrid w:val="0"/>
        <w:spacing w:line="480" w:lineRule="auto"/>
        <w:jc w:val="left"/>
        <w:rPr>
          <w:rFonts w:hint="eastAsia" w:ascii="宋体" w:hAnsi="宋体" w:eastAsia="宋体" w:cs="宋体"/>
          <w:color w:val="auto"/>
          <w:sz w:val="24"/>
          <w:szCs w:val="24"/>
        </w:rPr>
      </w:pPr>
    </w:p>
    <w:p w14:paraId="3EC4FA1C">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120BE305">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1560CADF">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4C56DECF">
      <w:pPr>
        <w:rPr>
          <w:rFonts w:ascii="Times New Roman" w:hAnsi="Times New Roman" w:cs="Times New Roman"/>
          <w:color w:val="auto"/>
          <w:sz w:val="24"/>
          <w:szCs w:val="24"/>
        </w:rPr>
      </w:pPr>
    </w:p>
    <w:p w14:paraId="01867E4D">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185"/>
    </w:p>
    <w:tbl>
      <w:tblPr>
        <w:tblStyle w:val="3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63DCF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37D009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232E38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6E44EEB6">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4D81FF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630905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54D09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29246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628FEA9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9C28AB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F9FE3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9C87C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4CEF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70EFA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0B037A1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7166D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82C55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D474E2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BF7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61AC1E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4DFDC13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B4C045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EAB7A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CE5182">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C26A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586629">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7FF276F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21DED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3CF51D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67FF49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6C80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323A55D">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4584C1C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F99860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0B7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3DBAC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F3A73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AAB9AA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34B91A0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19CA42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C63A84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B0791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771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14D58B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B90158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D2E08C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C4CC2F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340FBF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14B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ED3D8E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0ACA50B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D0EE1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47EAD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F3C3B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E3C0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43A0FE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3FEB03B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3FA2543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01A460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15CCBD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466B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1ABEDA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1BB13AD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787568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399BF3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16C8E5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57C5FEB4">
      <w:pPr>
        <w:tabs>
          <w:tab w:val="left" w:pos="8782"/>
        </w:tabs>
        <w:snapToGrid w:val="0"/>
        <w:spacing w:line="360" w:lineRule="auto"/>
        <w:ind w:firstLine="480" w:firstLineChars="200"/>
        <w:rPr>
          <w:rFonts w:ascii="宋体" w:hAnsi="宋体" w:cs="Times New Roman"/>
          <w:color w:val="auto"/>
          <w:sz w:val="24"/>
          <w:szCs w:val="24"/>
        </w:rPr>
      </w:pPr>
    </w:p>
    <w:p w14:paraId="1A2A20AC">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5A1E0356">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71EADFC0">
      <w:pPr>
        <w:pStyle w:val="20"/>
        <w:rPr>
          <w:color w:val="auto"/>
        </w:rPr>
      </w:pPr>
    </w:p>
    <w:p w14:paraId="50681F89">
      <w:pPr>
        <w:adjustRightInd w:val="0"/>
        <w:snapToGrid w:val="0"/>
        <w:spacing w:line="480" w:lineRule="auto"/>
        <w:jc w:val="left"/>
        <w:rPr>
          <w:rFonts w:hint="eastAsia" w:ascii="宋体" w:hAnsi="宋体" w:eastAsia="宋体" w:cs="宋体"/>
          <w:color w:val="auto"/>
          <w:sz w:val="24"/>
          <w:szCs w:val="24"/>
        </w:rPr>
      </w:pPr>
    </w:p>
    <w:p w14:paraId="061833A3">
      <w:pPr>
        <w:adjustRightInd w:val="0"/>
        <w:snapToGrid w:val="0"/>
        <w:spacing w:line="480" w:lineRule="auto"/>
        <w:jc w:val="left"/>
        <w:rPr>
          <w:rFonts w:hint="eastAsia" w:ascii="宋体" w:hAnsi="宋体" w:eastAsia="宋体" w:cs="宋体"/>
          <w:color w:val="auto"/>
          <w:sz w:val="24"/>
          <w:szCs w:val="24"/>
        </w:rPr>
      </w:pPr>
    </w:p>
    <w:p w14:paraId="19BDBAAA">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E76914">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w:t>
      </w:r>
      <w:r>
        <w:rPr>
          <w:rFonts w:hint="eastAsia" w:ascii="宋体" w:hAnsi="宋体" w:eastAsia="宋体" w:cs="宋体"/>
          <w:color w:val="auto"/>
          <w:sz w:val="24"/>
          <w:szCs w:val="24"/>
          <w:lang w:eastAsia="zh-CN"/>
        </w:rPr>
        <w:t>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）：____________________</w:t>
      </w:r>
    </w:p>
    <w:p w14:paraId="667FB279">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bookmarkEnd w:id="180"/>
    <w:p w14:paraId="665C59CE">
      <w:pPr>
        <w:pStyle w:val="3"/>
        <w:pageBreakBefore/>
        <w:rPr>
          <w:rFonts w:hint="eastAsia" w:ascii="Calibri Light" w:hAnsi="Calibri Light" w:eastAsia="宋体" w:cs="Times New Roman"/>
          <w:b/>
          <w:bCs/>
          <w:color w:val="auto"/>
          <w:kern w:val="2"/>
          <w:sz w:val="32"/>
          <w:szCs w:val="32"/>
          <w:lang w:val="en-US" w:eastAsia="zh-CN" w:bidi="ar-SA"/>
        </w:rPr>
      </w:pPr>
      <w:bookmarkStart w:id="191" w:name="_Toc536202402"/>
      <w:bookmarkStart w:id="192" w:name="_Toc24683"/>
      <w:bookmarkStart w:id="193" w:name="_Toc536429342"/>
      <w:bookmarkStart w:id="194" w:name="_Toc19543363"/>
      <w:bookmarkStart w:id="195" w:name="_Toc536202333"/>
      <w:bookmarkStart w:id="196" w:name="_Toc536429395"/>
      <w:bookmarkStart w:id="197" w:name="_Toc10667"/>
      <w:r>
        <w:rPr>
          <w:rFonts w:hint="eastAsia" w:ascii="Calibri Light" w:hAnsi="Calibri Light" w:eastAsia="宋体" w:cs="Times New Roman"/>
          <w:b/>
          <w:bCs/>
          <w:color w:val="auto"/>
          <w:kern w:val="2"/>
          <w:sz w:val="32"/>
          <w:szCs w:val="32"/>
          <w:lang w:val="en-US" w:eastAsia="zh-CN" w:bidi="ar-SA"/>
        </w:rPr>
        <w:t>第七章  供应商承诺书</w:t>
      </w:r>
      <w:bookmarkEnd w:id="191"/>
      <w:bookmarkEnd w:id="192"/>
      <w:bookmarkEnd w:id="193"/>
      <w:bookmarkEnd w:id="194"/>
      <w:bookmarkEnd w:id="195"/>
      <w:bookmarkEnd w:id="196"/>
      <w:bookmarkEnd w:id="197"/>
    </w:p>
    <w:p w14:paraId="4C71CC1C">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49F3FC4B">
      <w:pPr>
        <w:widowControl/>
        <w:spacing w:line="240" w:lineRule="exact"/>
        <w:ind w:firstLine="420" w:firstLineChars="200"/>
        <w:jc w:val="left"/>
        <w:rPr>
          <w:rFonts w:cs="仿宋" w:asciiTheme="minorEastAsia" w:hAnsiTheme="minorEastAsia" w:eastAsiaTheme="minorEastAsia"/>
          <w:bCs/>
          <w:color w:val="auto"/>
          <w:kern w:val="0"/>
        </w:rPr>
      </w:pPr>
    </w:p>
    <w:p w14:paraId="00EC87F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5CA608B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72D97D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BD60CF4">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10D66C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 xml:space="preserve">不采取“围标、陪标”等商业欺诈手段获得政府采购定单。 </w:t>
      </w:r>
    </w:p>
    <w:p w14:paraId="1B3BEDA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506A440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77441552">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1E3B42FE">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179CC478">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2C4FF5D5">
      <w:pPr>
        <w:widowControl/>
        <w:spacing w:line="440" w:lineRule="exact"/>
        <w:ind w:firstLine="960" w:firstLineChars="400"/>
        <w:rPr>
          <w:rFonts w:cs="仿宋" w:asciiTheme="minorEastAsia" w:hAnsiTheme="minorEastAsia" w:eastAsiaTheme="minorEastAsia"/>
          <w:bCs/>
          <w:color w:val="auto"/>
          <w:kern w:val="0"/>
          <w:sz w:val="24"/>
          <w:szCs w:val="28"/>
        </w:rPr>
      </w:pPr>
    </w:p>
    <w:p w14:paraId="7C82AD97">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6317FEFC">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 xml:space="preserve">） </w:t>
      </w:r>
    </w:p>
    <w:p w14:paraId="5A194E80">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4A559179">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798A17AC">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35580E5F">
      <w:pPr>
        <w:widowControl/>
        <w:spacing w:line="340" w:lineRule="exact"/>
        <w:rPr>
          <w:rFonts w:cs="仿宋" w:asciiTheme="minorEastAsia" w:hAnsiTheme="minorEastAsia" w:eastAsiaTheme="minorEastAsia"/>
          <w:bCs/>
          <w:color w:val="auto"/>
          <w:kern w:val="0"/>
          <w:sz w:val="24"/>
          <w:szCs w:val="28"/>
        </w:rPr>
      </w:pPr>
    </w:p>
    <w:p w14:paraId="1C570005">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0ED688C">
      <w:pPr>
        <w:widowControl/>
        <w:spacing w:line="640" w:lineRule="exact"/>
        <w:jc w:val="center"/>
        <w:rPr>
          <w:rFonts w:cs="仿宋" w:asciiTheme="minorEastAsia" w:hAnsiTheme="minorEastAsia" w:eastAsiaTheme="minorEastAsia"/>
          <w:bCs/>
          <w:color w:val="auto"/>
          <w:sz w:val="36"/>
          <w:szCs w:val="40"/>
        </w:rPr>
      </w:pPr>
    </w:p>
    <w:p w14:paraId="329BED2C">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5C0545C3">
      <w:pPr>
        <w:widowControl/>
        <w:jc w:val="left"/>
        <w:rPr>
          <w:rFonts w:cs="仿宋" w:asciiTheme="minorEastAsia" w:hAnsiTheme="minorEastAsia" w:eastAsiaTheme="minorEastAsia"/>
          <w:bCs/>
          <w:color w:val="auto"/>
          <w:kern w:val="0"/>
          <w:sz w:val="32"/>
          <w:szCs w:val="32"/>
        </w:rPr>
      </w:pPr>
    </w:p>
    <w:p w14:paraId="41018882">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7F16C49A">
      <w:pPr>
        <w:widowControl/>
        <w:shd w:val="clear" w:color="auto" w:fill="FFFFFF"/>
        <w:spacing w:before="100" w:beforeAutospacing="1" w:after="100" w:afterAutospacing="1" w:line="400" w:lineRule="exact"/>
        <w:jc w:val="center"/>
        <w:rPr>
          <w:rFonts w:cs="仿宋" w:asciiTheme="minorEastAsia" w:hAnsiTheme="minorEastAsia" w:eastAsiaTheme="minorEastAsia"/>
          <w:b/>
          <w:bCs w:val="0"/>
          <w:color w:val="auto"/>
          <w:kern w:val="0"/>
          <w:sz w:val="24"/>
          <w:szCs w:val="24"/>
        </w:rPr>
      </w:pPr>
      <w:r>
        <w:rPr>
          <w:rFonts w:hint="eastAsia" w:cs="仿宋" w:asciiTheme="minorEastAsia" w:hAnsiTheme="minorEastAsia" w:eastAsiaTheme="minorEastAsia"/>
          <w:b/>
          <w:bCs w:val="0"/>
          <w:color w:val="auto"/>
          <w:kern w:val="0"/>
          <w:sz w:val="32"/>
          <w:szCs w:val="32"/>
        </w:rPr>
        <w:t>承诺书Ⅱ</w:t>
      </w:r>
    </w:p>
    <w:p w14:paraId="354E2DF5">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3C6DEEC4">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78A0EBDC">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ascii="宋体" w:hAnsi="宋体" w:eastAsia="宋体" w:cs="宋体"/>
          <w:color w:val="auto"/>
          <w:kern w:val="2"/>
          <w:sz w:val="24"/>
          <w:szCs w:val="24"/>
          <w:lang w:val="en-US" w:eastAsia="zh-CN" w:bidi="ar-SA"/>
        </w:rPr>
        <w:t>资</w:t>
      </w:r>
      <w:r>
        <w:rPr>
          <w:rFonts w:hint="eastAsia" w:ascii="宋体" w:hAnsi="宋体" w:cs="宋体"/>
          <w:color w:val="auto"/>
          <w:kern w:val="2"/>
          <w:sz w:val="24"/>
          <w:szCs w:val="24"/>
          <w:lang w:val="en-US" w:eastAsia="zh-CN" w:bidi="ar-SA"/>
        </w:rPr>
        <w:t>格证明</w:t>
      </w:r>
      <w:r>
        <w:rPr>
          <w:rFonts w:hint="eastAsia" w:ascii="宋体" w:hAnsi="宋体" w:eastAsia="宋体" w:cs="宋体"/>
          <w:color w:val="auto"/>
          <w:kern w:val="2"/>
          <w:sz w:val="24"/>
          <w:szCs w:val="24"/>
          <w:lang w:val="en-US" w:eastAsia="zh-CN" w:bidi="ar-SA"/>
        </w:rPr>
        <w:t>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41504CC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7267ACC4">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31E2ADF3">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cs="仿宋" w:asciiTheme="minorEastAsia" w:hAnsiTheme="minorEastAsia" w:eastAsiaTheme="minorEastAsia"/>
          <w:bCs/>
          <w:color w:val="auto"/>
          <w:kern w:val="0"/>
          <w:sz w:val="24"/>
          <w:szCs w:val="28"/>
        </w:rPr>
        <w:t>）</w:t>
      </w:r>
    </w:p>
    <w:p w14:paraId="1A919D7B">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23C97535">
      <w:pPr>
        <w:pStyle w:val="3"/>
        <w:adjustRightInd w:val="0"/>
        <w:spacing w:line="416" w:lineRule="atLeast"/>
        <w:textAlignment w:val="baseline"/>
        <w:rPr>
          <w:rFonts w:ascii="宋体" w:hAnsi="宋体" w:cs="宋体"/>
          <w:color w:val="auto"/>
        </w:rPr>
      </w:pPr>
      <w:bookmarkStart w:id="198" w:name="_Toc536202334"/>
      <w:bookmarkStart w:id="199" w:name="_Toc536429343"/>
      <w:bookmarkStart w:id="200" w:name="_Toc536429396"/>
      <w:bookmarkStart w:id="201" w:name="_Toc536202403"/>
      <w:bookmarkStart w:id="202" w:name="_Toc25514"/>
    </w:p>
    <w:bookmarkEnd w:id="0"/>
    <w:bookmarkEnd w:id="198"/>
    <w:bookmarkEnd w:id="199"/>
    <w:bookmarkEnd w:id="200"/>
    <w:bookmarkEnd w:id="201"/>
    <w:bookmarkEnd w:id="202"/>
    <w:p w14:paraId="6E1D0FD5">
      <w:pPr>
        <w:widowControl/>
        <w:jc w:val="left"/>
        <w:rPr>
          <w:color w:val="auto"/>
          <w:sz w:val="24"/>
          <w:szCs w:val="28"/>
        </w:rPr>
      </w:pPr>
    </w:p>
    <w:p w14:paraId="18395C5F">
      <w:pPr>
        <w:pStyle w:val="11"/>
        <w:rPr>
          <w:color w:val="auto"/>
          <w:sz w:val="24"/>
          <w:szCs w:val="28"/>
        </w:rPr>
      </w:pPr>
    </w:p>
    <w:p w14:paraId="6FA812C5">
      <w:pPr>
        <w:rPr>
          <w:color w:val="auto"/>
          <w:sz w:val="24"/>
          <w:szCs w:val="28"/>
        </w:rPr>
      </w:pPr>
    </w:p>
    <w:p w14:paraId="437BF3F1">
      <w:pPr>
        <w:pStyle w:val="11"/>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rtlGutter w:val="0"/>
          <w:docGrid w:type="lines" w:linePitch="333" w:charSpace="0"/>
        </w:sectPr>
      </w:pPr>
    </w:p>
    <w:p w14:paraId="2B78AAB1">
      <w:pPr>
        <w:rPr>
          <w:color w:val="auto"/>
        </w:rPr>
      </w:pPr>
    </w:p>
    <w:p w14:paraId="775D3714">
      <w:pPr>
        <w:pStyle w:val="20"/>
        <w:rPr>
          <w:rFonts w:hint="eastAsia"/>
          <w:color w:val="auto"/>
        </w:rPr>
      </w:pPr>
    </w:p>
    <w:p w14:paraId="09511F4F">
      <w:pPr>
        <w:pStyle w:val="20"/>
        <w:rPr>
          <w:rFonts w:hint="eastAsia"/>
          <w:color w:val="auto"/>
        </w:rPr>
      </w:pPr>
    </w:p>
    <w:p w14:paraId="62B46690">
      <w:pPr>
        <w:pStyle w:val="20"/>
        <w:rPr>
          <w:rFonts w:hint="eastAsia"/>
          <w:color w:val="auto"/>
        </w:rPr>
      </w:pPr>
    </w:p>
    <w:p w14:paraId="06DC6332">
      <w:pPr>
        <w:pStyle w:val="20"/>
        <w:rPr>
          <w:rFonts w:hint="eastAsia"/>
          <w:color w:val="auto"/>
        </w:rPr>
      </w:pPr>
    </w:p>
    <w:p w14:paraId="286A6AF7">
      <w:pPr>
        <w:pStyle w:val="20"/>
        <w:rPr>
          <w:rFonts w:hint="eastAsia"/>
          <w:color w:val="auto"/>
        </w:rPr>
      </w:pPr>
    </w:p>
    <w:p w14:paraId="4314B1B4">
      <w:pPr>
        <w:pStyle w:val="20"/>
        <w:rPr>
          <w:rFonts w:hint="eastAsia"/>
          <w:color w:val="auto"/>
        </w:rPr>
      </w:pPr>
    </w:p>
    <w:p w14:paraId="7F0FC2AE">
      <w:pPr>
        <w:pStyle w:val="20"/>
        <w:rPr>
          <w:rFonts w:hint="eastAsia"/>
          <w:color w:val="auto"/>
        </w:rPr>
      </w:pPr>
    </w:p>
    <w:p w14:paraId="0D1949EB">
      <w:pPr>
        <w:pStyle w:val="20"/>
        <w:rPr>
          <w:rFonts w:hint="eastAsia"/>
          <w:color w:val="auto"/>
        </w:rPr>
      </w:pPr>
    </w:p>
    <w:p w14:paraId="1196B570">
      <w:pPr>
        <w:pStyle w:val="20"/>
        <w:rPr>
          <w:rFonts w:hint="eastAsia"/>
          <w:color w:val="auto"/>
        </w:rPr>
      </w:pPr>
    </w:p>
    <w:p w14:paraId="23EA664E">
      <w:pPr>
        <w:pStyle w:val="20"/>
        <w:rPr>
          <w:rFonts w:hint="eastAsia"/>
          <w:color w:val="auto"/>
        </w:rPr>
      </w:pPr>
    </w:p>
    <w:p w14:paraId="0769AC00">
      <w:pPr>
        <w:pStyle w:val="20"/>
        <w:rPr>
          <w:rFonts w:hint="eastAsia"/>
          <w:color w:val="auto"/>
        </w:rPr>
      </w:pPr>
    </w:p>
    <w:p w14:paraId="3C47C8C1">
      <w:pPr>
        <w:pStyle w:val="20"/>
        <w:rPr>
          <w:rFonts w:hint="eastAsia"/>
          <w:color w:val="auto"/>
        </w:rPr>
      </w:pPr>
    </w:p>
    <w:p w14:paraId="23181402">
      <w:pPr>
        <w:pStyle w:val="20"/>
        <w:rPr>
          <w:rFonts w:hint="eastAsia"/>
          <w:color w:val="auto"/>
        </w:rPr>
      </w:pPr>
    </w:p>
    <w:p w14:paraId="767D1CA1">
      <w:pPr>
        <w:pStyle w:val="20"/>
        <w:rPr>
          <w:rFonts w:hint="eastAsia"/>
          <w:color w:val="auto"/>
        </w:rPr>
      </w:pPr>
    </w:p>
    <w:p w14:paraId="7796C108">
      <w:pPr>
        <w:pStyle w:val="20"/>
        <w:rPr>
          <w:rFonts w:hint="eastAsia"/>
          <w:color w:val="auto"/>
        </w:rPr>
      </w:pPr>
    </w:p>
    <w:p w14:paraId="19E235D9">
      <w:pPr>
        <w:pStyle w:val="20"/>
        <w:rPr>
          <w:rFonts w:hint="eastAsia"/>
          <w:color w:val="auto"/>
        </w:rPr>
      </w:pPr>
    </w:p>
    <w:p w14:paraId="7891A375">
      <w:pPr>
        <w:pStyle w:val="20"/>
        <w:rPr>
          <w:rFonts w:hint="eastAsia"/>
          <w:color w:val="auto"/>
        </w:rPr>
      </w:pPr>
    </w:p>
    <w:p w14:paraId="3000B14B">
      <w:pPr>
        <w:pStyle w:val="20"/>
        <w:rPr>
          <w:rFonts w:hint="eastAsia"/>
          <w:color w:val="auto"/>
        </w:rPr>
      </w:pPr>
    </w:p>
    <w:p w14:paraId="7B4A390E">
      <w:pPr>
        <w:pStyle w:val="20"/>
        <w:rPr>
          <w:rFonts w:hint="eastAsia"/>
          <w:color w:val="auto"/>
        </w:rPr>
      </w:pPr>
    </w:p>
    <w:p w14:paraId="750F1F1C">
      <w:pPr>
        <w:pStyle w:val="20"/>
        <w:rPr>
          <w:rFonts w:hint="eastAsia"/>
          <w:color w:val="auto"/>
        </w:rPr>
      </w:pPr>
    </w:p>
    <w:p w14:paraId="18E14C8F">
      <w:pPr>
        <w:pStyle w:val="20"/>
        <w:rPr>
          <w:rFonts w:hint="eastAsia"/>
          <w:color w:val="auto"/>
        </w:rPr>
      </w:pPr>
    </w:p>
    <w:p w14:paraId="199C8755">
      <w:pPr>
        <w:pStyle w:val="20"/>
        <w:rPr>
          <w:rFonts w:hint="eastAsia"/>
          <w:color w:val="auto"/>
        </w:rPr>
      </w:pPr>
    </w:p>
    <w:p w14:paraId="3005BFD9">
      <w:pPr>
        <w:pStyle w:val="20"/>
        <w:rPr>
          <w:rFonts w:hint="eastAsia"/>
          <w:color w:val="auto"/>
        </w:rPr>
      </w:pPr>
    </w:p>
    <w:p w14:paraId="26412661">
      <w:pPr>
        <w:pStyle w:val="20"/>
        <w:rPr>
          <w:rFonts w:hint="eastAsia"/>
          <w:color w:val="auto"/>
        </w:rPr>
      </w:pPr>
    </w:p>
    <w:p w14:paraId="354F6F27">
      <w:pPr>
        <w:pStyle w:val="20"/>
        <w:rPr>
          <w:rFonts w:hint="eastAsia"/>
          <w:color w:val="auto"/>
        </w:rPr>
      </w:pPr>
    </w:p>
    <w:p w14:paraId="5C5CD1D6">
      <w:pPr>
        <w:pStyle w:val="20"/>
        <w:rPr>
          <w:rFonts w:hint="eastAsia"/>
          <w:color w:val="auto"/>
        </w:rPr>
      </w:pPr>
    </w:p>
    <w:p w14:paraId="229E53E2">
      <w:pPr>
        <w:pStyle w:val="20"/>
        <w:rPr>
          <w:rFonts w:hint="eastAsia"/>
          <w:color w:val="auto"/>
        </w:rPr>
      </w:pPr>
    </w:p>
    <w:p w14:paraId="1321F1B0">
      <w:pPr>
        <w:pStyle w:val="20"/>
        <w:rPr>
          <w:rFonts w:hint="eastAsia"/>
          <w:color w:val="auto"/>
        </w:rPr>
      </w:pPr>
    </w:p>
    <w:p w14:paraId="280310F0">
      <w:pPr>
        <w:pStyle w:val="20"/>
        <w:rPr>
          <w:rFonts w:hint="eastAsia"/>
          <w:color w:val="auto"/>
        </w:rPr>
      </w:pPr>
    </w:p>
    <w:p w14:paraId="63880A84">
      <w:pPr>
        <w:pStyle w:val="20"/>
        <w:rPr>
          <w:rFonts w:hint="eastAsia"/>
          <w:color w:val="auto"/>
        </w:rPr>
      </w:pPr>
    </w:p>
    <w:p w14:paraId="64989FF4">
      <w:pPr>
        <w:pStyle w:val="20"/>
        <w:rPr>
          <w:rFonts w:hint="eastAsia"/>
          <w:color w:val="auto"/>
        </w:rPr>
      </w:pPr>
    </w:p>
    <w:p w14:paraId="1A492665">
      <w:pPr>
        <w:pStyle w:val="20"/>
        <w:rPr>
          <w:rFonts w:hint="eastAsia"/>
          <w:color w:val="auto"/>
        </w:rPr>
      </w:pPr>
    </w:p>
    <w:p w14:paraId="58FEE840">
      <w:pPr>
        <w:pStyle w:val="20"/>
        <w:rPr>
          <w:rFonts w:hint="eastAsia"/>
          <w:color w:val="auto"/>
        </w:rPr>
      </w:pPr>
    </w:p>
    <w:p w14:paraId="16828725">
      <w:pPr>
        <w:pStyle w:val="20"/>
        <w:rPr>
          <w:rFonts w:hint="eastAsia"/>
          <w:color w:val="auto"/>
        </w:rPr>
      </w:pPr>
    </w:p>
    <w:p w14:paraId="2F1A536E">
      <w:pPr>
        <w:pStyle w:val="20"/>
        <w:rPr>
          <w:rFonts w:hint="eastAsia"/>
          <w:color w:val="auto"/>
        </w:rPr>
      </w:pPr>
    </w:p>
    <w:p w14:paraId="505F7219">
      <w:pPr>
        <w:pStyle w:val="20"/>
        <w:rPr>
          <w:rFonts w:hint="eastAsia"/>
          <w:color w:val="auto"/>
        </w:rPr>
      </w:pPr>
    </w:p>
    <w:p w14:paraId="734D719E">
      <w:pPr>
        <w:pStyle w:val="20"/>
        <w:rPr>
          <w:rFonts w:hint="eastAsia"/>
          <w:color w:val="auto"/>
        </w:rPr>
      </w:pPr>
    </w:p>
    <w:p w14:paraId="52E526F2">
      <w:pPr>
        <w:pStyle w:val="20"/>
        <w:rPr>
          <w:rFonts w:hint="eastAsia"/>
          <w:color w:val="auto"/>
        </w:rPr>
      </w:pPr>
    </w:p>
    <w:p w14:paraId="29410928">
      <w:pPr>
        <w:pStyle w:val="20"/>
        <w:rPr>
          <w:rFonts w:hint="eastAsia"/>
          <w:color w:val="auto"/>
        </w:rPr>
      </w:pPr>
    </w:p>
    <w:p w14:paraId="5C53200C">
      <w:pPr>
        <w:pStyle w:val="20"/>
        <w:rPr>
          <w:rFonts w:hint="eastAsia"/>
          <w:color w:val="auto"/>
        </w:rPr>
      </w:pPr>
    </w:p>
    <w:p w14:paraId="3B738FE6">
      <w:pPr>
        <w:pStyle w:val="20"/>
        <w:rPr>
          <w:rFonts w:hint="eastAsia"/>
          <w:color w:val="auto"/>
        </w:rPr>
      </w:pPr>
    </w:p>
    <w:p w14:paraId="6A9423B1">
      <w:pPr>
        <w:pStyle w:val="20"/>
        <w:rPr>
          <w:rFonts w:hint="eastAsia"/>
          <w:color w:val="auto"/>
        </w:rPr>
      </w:pPr>
    </w:p>
    <w:p w14:paraId="3DAEF2D2">
      <w:pPr>
        <w:pStyle w:val="20"/>
        <w:rPr>
          <w:rFonts w:hint="eastAsia"/>
          <w:color w:val="auto"/>
        </w:rPr>
      </w:pPr>
    </w:p>
    <w:p w14:paraId="69B63914">
      <w:pPr>
        <w:pStyle w:val="20"/>
        <w:rPr>
          <w:rFonts w:hint="eastAsia"/>
          <w:color w:val="auto"/>
        </w:rPr>
      </w:pPr>
      <w:r>
        <w:rPr>
          <w:rFonts w:hint="eastAsia"/>
          <w:color w:val="auto"/>
        </w:rPr>
        <w:drawing>
          <wp:anchor distT="0" distB="0" distL="114300" distR="114300" simplePos="0" relativeHeight="251663360"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1" name="图片 1"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_尚昊 标"/>
                    <pic:cNvPicPr>
                      <a:picLocks noChangeAspect="1"/>
                    </pic:cNvPicPr>
                  </pic:nvPicPr>
                  <pic:blipFill>
                    <a:blip r:embed="rId27"/>
                    <a:stretch>
                      <a:fillRect/>
                    </a:stretch>
                  </pic:blipFill>
                  <pic:spPr>
                    <a:xfrm>
                      <a:off x="0" y="0"/>
                      <a:ext cx="353060" cy="255905"/>
                    </a:xfrm>
                    <a:prstGeom prst="rect">
                      <a:avLst/>
                    </a:prstGeom>
                  </pic:spPr>
                </pic:pic>
              </a:graphicData>
            </a:graphic>
          </wp:anchor>
        </w:drawing>
      </w:r>
    </w:p>
    <w:p w14:paraId="5F1B27CF">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14BED3A3">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CmgXiz9QEAAOcDAAAOAAAAAAAAAAEAIAAAACIBAABkcnMvZTJvRG9jLnhtbFBLBQYA&#10;AAAABgAGAFkBAACJBQAAAAA=&#10;">
                <v:fill on="f" focussize="0,0"/>
                <v:stroke weight="1.5pt" color="#000000" joinstyle="round"/>
                <v:imagedata o:title=""/>
                <o:lock v:ext="edit" aspectratio="f"/>
              </v:line>
            </w:pict>
          </mc:Fallback>
        </mc:AlternateContent>
      </w:r>
    </w:p>
    <w:p w14:paraId="198179FC">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地    址：安康市高新区高新观澜8幢2单元801室</w:t>
      </w:r>
    </w:p>
    <w:p w14:paraId="3EA205EF">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邮    编：725000</w:t>
      </w:r>
    </w:p>
    <w:p w14:paraId="078C668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val="en-US" w:eastAsia="zh-CN"/>
        </w:rPr>
      </w:pPr>
      <w:r>
        <w:rPr>
          <w:rFonts w:hint="eastAsia" w:asciiTheme="majorEastAsia" w:hAnsiTheme="majorEastAsia" w:eastAsiaTheme="majorEastAsia" w:cstheme="majorEastAsia"/>
          <w:color w:val="auto"/>
          <w:spacing w:val="-6"/>
          <w:sz w:val="28"/>
          <w:szCs w:val="28"/>
          <w:lang w:eastAsia="zh-CN"/>
        </w:rPr>
        <w:t>电    话：</w:t>
      </w:r>
      <w:r>
        <w:rPr>
          <w:rFonts w:hint="eastAsia" w:asciiTheme="majorEastAsia" w:hAnsiTheme="majorEastAsia" w:eastAsiaTheme="majorEastAsia" w:cstheme="majorEastAsia"/>
          <w:color w:val="auto"/>
          <w:spacing w:val="-6"/>
          <w:sz w:val="28"/>
          <w:szCs w:val="28"/>
          <w:lang w:val="en-US" w:eastAsia="zh-CN"/>
        </w:rPr>
        <w:t>13991519725</w:t>
      </w:r>
    </w:p>
    <w:p w14:paraId="651675B4">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公司名称：安康尚昊招标代理有限公司</w:t>
      </w:r>
    </w:p>
    <w:p w14:paraId="2956B673">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开户银行：中国建设银行股份有限公司安康分行营业部</w:t>
      </w:r>
    </w:p>
    <w:p w14:paraId="62671FBB">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r>
        <w:rPr>
          <w:rFonts w:hint="eastAsia" w:asciiTheme="majorEastAsia" w:hAnsiTheme="majorEastAsia" w:eastAsiaTheme="majorEastAsia" w:cstheme="majorEastAsia"/>
          <w:color w:val="auto"/>
          <w:spacing w:val="-6"/>
          <w:sz w:val="28"/>
          <w:szCs w:val="28"/>
          <w:lang w:eastAsia="zh-CN"/>
        </w:rPr>
        <w:t>账    号：61050166371100000492</w:t>
      </w:r>
      <w:r>
        <w:rPr>
          <w:rFonts w:hint="eastAsia" w:asciiTheme="majorEastAsia" w:hAnsiTheme="majorEastAsia" w:eastAsiaTheme="majorEastAsia" w:cstheme="majorEastAsia"/>
          <w:color w:val="auto"/>
          <w:spacing w:val="-6"/>
          <w:sz w:val="28"/>
          <w:szCs w:val="28"/>
          <w:lang w:eastAsia="zh-CN"/>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3" name="直接连接符 13"/>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DV0PR09QEAAOcDAAAOAAAAAAAAAAEAIAAAACIBAABkcnMvZTJvRG9jLnhtbFBLBQYA&#10;AAAABgAGAFkBAACJBQAAAAA=&#10;">
                <v:fill on="f" focussize="0,0"/>
                <v:stroke weight="1.5pt" color="#000000" joinstyle="round"/>
                <v:imagedata o:title=""/>
                <o:lock v:ext="edit" aspectratio="f"/>
              </v:line>
            </w:pict>
          </mc:Fallback>
        </mc:AlternateContent>
      </w:r>
    </w:p>
    <w:p w14:paraId="17496097">
      <w:pPr>
        <w:autoSpaceDE w:val="0"/>
        <w:autoSpaceDN w:val="0"/>
        <w:spacing w:line="440" w:lineRule="exact"/>
        <w:ind w:firstLine="134" w:firstLineChars="50"/>
        <w:rPr>
          <w:rFonts w:hint="eastAsia" w:asciiTheme="majorEastAsia" w:hAnsiTheme="majorEastAsia" w:eastAsiaTheme="majorEastAsia" w:cstheme="majorEastAsia"/>
          <w:color w:val="auto"/>
          <w:spacing w:val="-6"/>
          <w:sz w:val="28"/>
          <w:szCs w:val="28"/>
          <w:lang w:eastAsia="zh-CN"/>
        </w:rPr>
      </w:pPr>
    </w:p>
    <w:p w14:paraId="197E828D">
      <w:pPr>
        <w:keepNext w:val="0"/>
        <w:keepLines w:val="0"/>
        <w:pageBreakBefore w:val="0"/>
        <w:widowControl w:val="0"/>
        <w:kinsoku/>
        <w:wordWrap/>
        <w:overflowPunct/>
        <w:topLinePunct w:val="0"/>
        <w:autoSpaceDE/>
        <w:autoSpaceDN/>
        <w:bidi w:val="0"/>
        <w:adjustRightInd/>
        <w:snapToGrid/>
        <w:spacing w:line="20" w:lineRule="exact"/>
        <w:textAlignment w:val="auto"/>
        <w:rPr>
          <w:color w:val="auto"/>
        </w:rPr>
      </w:pPr>
    </w:p>
    <w:sectPr>
      <w:footerReference r:id="rId25" w:type="first"/>
      <w:footerReference r:id="rId24" w:type="default"/>
      <w:pgSz w:w="11906" w:h="16838"/>
      <w:pgMar w:top="1417" w:right="1417" w:bottom="1417" w:left="1417" w:header="1134" w:footer="992" w:gutter="0"/>
      <w:pgNumType w:fmt="decimal"/>
      <w:cols w:space="0" w:num="1"/>
      <w:titlePg/>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18A69">
    <w:pPr>
      <w:pStyle w:val="20"/>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F9BB">
    <w:pPr>
      <w:pStyle w:val="20"/>
      <w:tabs>
        <w:tab w:val="center" w:pos="4819"/>
        <w:tab w:val="left" w:pos="7440"/>
      </w:tabs>
    </w:pPr>
    <w:r>
      <w:tab/>
    </w:r>
  </w:p>
  <w:p w14:paraId="1B6184A8">
    <w:pPr>
      <w:pStyle w:val="20"/>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1FDF0">
    <w:pPr>
      <w:pStyle w:val="20"/>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5F4C">
    <w:pPr>
      <w:pStyle w:val="20"/>
      <w:tabs>
        <w:tab w:val="center" w:pos="4819"/>
        <w:tab w:val="left" w:pos="744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1DD2E">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108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68D1DD2E">
                    <w:pPr>
                      <w:pStyle w:val="20"/>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108</w:t>
                    </w:r>
                    <w:r>
                      <w:t xml:space="preserve"> 页</w:t>
                    </w:r>
                  </w:p>
                </w:txbxContent>
              </v:textbox>
            </v:shape>
          </w:pict>
        </mc:Fallback>
      </mc:AlternateContent>
    </w:r>
    <w:r>
      <w:tab/>
    </w:r>
  </w:p>
  <w:p w14:paraId="4BF5D1EA">
    <w:pPr>
      <w:pStyle w:val="20"/>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CA7D">
    <w:pPr>
      <w:pStyle w:val="20"/>
      <w:tabs>
        <w:tab w:val="clear" w:pos="4153"/>
      </w:tabs>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EC36D3">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1EC36D3">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108</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E613B">
    <w:pPr>
      <w:pStyle w:val="20"/>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1775A9">
                          <w:pPr>
                            <w:pStyle w:val="20"/>
                          </w:pPr>
                          <w:r>
                            <w:t xml:space="preserve">第 </w:t>
                          </w:r>
                          <w:r>
                            <w:fldChar w:fldCharType="begin"/>
                          </w:r>
                          <w:r>
                            <w:instrText xml:space="preserve"> PAGE  \* MERGEFORMAT </w:instrText>
                          </w:r>
                          <w:r>
                            <w:fldChar w:fldCharType="separate"/>
                          </w:r>
                          <w:r>
                            <w:t>79</w:t>
                          </w:r>
                          <w:r>
                            <w:fldChar w:fldCharType="end"/>
                          </w:r>
                          <w:r>
                            <w:t xml:space="preserve"> 页 共 </w:t>
                          </w:r>
                          <w:r>
                            <w:rPr>
                              <w:rFonts w:hint="eastAsia"/>
                              <w:lang w:val="en-US" w:eastAsia="zh-CN"/>
                            </w:rPr>
                            <w:t>108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521775A9">
                    <w:pPr>
                      <w:pStyle w:val="20"/>
                    </w:pPr>
                    <w:r>
                      <w:t xml:space="preserve">第 </w:t>
                    </w:r>
                    <w:r>
                      <w:fldChar w:fldCharType="begin"/>
                    </w:r>
                    <w:r>
                      <w:instrText xml:space="preserve"> PAGE  \* MERGEFORMAT </w:instrText>
                    </w:r>
                    <w:r>
                      <w:fldChar w:fldCharType="separate"/>
                    </w:r>
                    <w:r>
                      <w:t>79</w:t>
                    </w:r>
                    <w:r>
                      <w:fldChar w:fldCharType="end"/>
                    </w:r>
                    <w:r>
                      <w:t xml:space="preserve"> 页 共 </w:t>
                    </w:r>
                    <w:r>
                      <w:rPr>
                        <w:rFonts w:hint="eastAsia"/>
                        <w:lang w:val="en-US" w:eastAsia="zh-CN"/>
                      </w:rPr>
                      <w:t>108</w:t>
                    </w:r>
                    <w:r>
                      <w:t>页</w:t>
                    </w:r>
                  </w:p>
                </w:txbxContent>
              </v:textbox>
            </v:shape>
          </w:pict>
        </mc:Fallback>
      </mc:AlternateContent>
    </w:r>
    <w:r>
      <w:tab/>
    </w:r>
  </w:p>
  <w:p w14:paraId="58D1F380">
    <w:pPr>
      <w:pStyle w:val="20"/>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0C14">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1E51A">
                          <w:pPr>
                            <w:pStyle w:val="20"/>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108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3831E51A">
                    <w:pPr>
                      <w:pStyle w:val="20"/>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108</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EA86D">
    <w:pPr>
      <w:pStyle w:val="20"/>
      <w:tabs>
        <w:tab w:val="center" w:pos="4819"/>
        <w:tab w:val="left" w:pos="7440"/>
      </w:tabs>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466EC3">
                          <w:pPr>
                            <w:pStyle w:val="20"/>
                          </w:pPr>
                          <w:r>
                            <w:t xml:space="preserve">第 </w:t>
                          </w:r>
                          <w:r>
                            <w:fldChar w:fldCharType="begin"/>
                          </w:r>
                          <w:r>
                            <w:instrText xml:space="preserve"> PAGE  \* MERGEFORMAT </w:instrText>
                          </w:r>
                          <w:r>
                            <w:fldChar w:fldCharType="separate"/>
                          </w:r>
                          <w:r>
                            <w:t>95</w:t>
                          </w:r>
                          <w:r>
                            <w:fldChar w:fldCharType="end"/>
                          </w:r>
                          <w:r>
                            <w:t xml:space="preserve"> 页 共 </w:t>
                          </w:r>
                          <w:r>
                            <w:rPr>
                              <w:rFonts w:hint="eastAsia"/>
                              <w:lang w:val="en-US" w:eastAsia="zh-CN"/>
                            </w:rPr>
                            <w:t>108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F466EC3">
                    <w:pPr>
                      <w:pStyle w:val="20"/>
                    </w:pPr>
                    <w:r>
                      <w:t xml:space="preserve">第 </w:t>
                    </w:r>
                    <w:r>
                      <w:fldChar w:fldCharType="begin"/>
                    </w:r>
                    <w:r>
                      <w:instrText xml:space="preserve"> PAGE  \* MERGEFORMAT </w:instrText>
                    </w:r>
                    <w:r>
                      <w:fldChar w:fldCharType="separate"/>
                    </w:r>
                    <w:r>
                      <w:t>95</w:t>
                    </w:r>
                    <w:r>
                      <w:fldChar w:fldCharType="end"/>
                    </w:r>
                    <w:r>
                      <w:t xml:space="preserve"> 页 共 </w:t>
                    </w:r>
                    <w:r>
                      <w:rPr>
                        <w:rFonts w:hint="eastAsia"/>
                        <w:lang w:val="en-US" w:eastAsia="zh-CN"/>
                      </w:rPr>
                      <w:t>108</w:t>
                    </w:r>
                    <w:r>
                      <w:t>页</w:t>
                    </w:r>
                  </w:p>
                </w:txbxContent>
              </v:textbox>
            </v:shape>
          </w:pict>
        </mc:Fallback>
      </mc:AlternateContent>
    </w:r>
    <w:r>
      <w:tab/>
    </w:r>
  </w:p>
  <w:p w14:paraId="56F0BAD3">
    <w:pPr>
      <w:pStyle w:val="20"/>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CC6A">
    <w:pPr>
      <w:pStyle w:val="2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F3C6A0">
                          <w:pPr>
                            <w:pStyle w:val="20"/>
                          </w:pPr>
                          <w:r>
                            <w:t xml:space="preserve">第 </w:t>
                          </w:r>
                          <w:r>
                            <w:fldChar w:fldCharType="begin"/>
                          </w:r>
                          <w:r>
                            <w:instrText xml:space="preserve"> PAGE  \* MERGEFORMAT </w:instrText>
                          </w:r>
                          <w:r>
                            <w:fldChar w:fldCharType="separate"/>
                          </w:r>
                          <w:r>
                            <w:t>92</w:t>
                          </w:r>
                          <w:r>
                            <w:fldChar w:fldCharType="end"/>
                          </w:r>
                          <w:r>
                            <w:t xml:space="preserve"> 页 共 </w:t>
                          </w:r>
                          <w:r>
                            <w:rPr>
                              <w:rFonts w:hint="eastAsia"/>
                              <w:lang w:val="en-US" w:eastAsia="zh-CN"/>
                            </w:rPr>
                            <w:t>108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48F3C6A0">
                    <w:pPr>
                      <w:pStyle w:val="20"/>
                    </w:pPr>
                    <w:r>
                      <w:t xml:space="preserve">第 </w:t>
                    </w:r>
                    <w:r>
                      <w:fldChar w:fldCharType="begin"/>
                    </w:r>
                    <w:r>
                      <w:instrText xml:space="preserve"> PAGE  \* MERGEFORMAT </w:instrText>
                    </w:r>
                    <w:r>
                      <w:fldChar w:fldCharType="separate"/>
                    </w:r>
                    <w:r>
                      <w:t>92</w:t>
                    </w:r>
                    <w:r>
                      <w:fldChar w:fldCharType="end"/>
                    </w:r>
                    <w:r>
                      <w:t xml:space="preserve"> 页 共 </w:t>
                    </w:r>
                    <w:r>
                      <w:rPr>
                        <w:rFonts w:hint="eastAsia"/>
                        <w:lang w:val="en-US" w:eastAsia="zh-CN"/>
                      </w:rPr>
                      <w:t>108</w:t>
                    </w:r>
                    <w: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BE66E">
    <w:pPr>
      <w:pStyle w:val="20"/>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DDC0B5">
                          <w:pPr>
                            <w:pStyle w:val="20"/>
                          </w:pPr>
                          <w:r>
                            <w:t xml:space="preserve">第 </w:t>
                          </w:r>
                          <w:r>
                            <w:fldChar w:fldCharType="begin"/>
                          </w:r>
                          <w:r>
                            <w:instrText xml:space="preserve"> PAGE  \* MERGEFORMAT </w:instrText>
                          </w:r>
                          <w:r>
                            <w:fldChar w:fldCharType="separate"/>
                          </w:r>
                          <w:r>
                            <w:t>102</w:t>
                          </w:r>
                          <w:r>
                            <w:fldChar w:fldCharType="end"/>
                          </w:r>
                          <w:r>
                            <w:t xml:space="preserve"> 页 共 </w:t>
                          </w:r>
                          <w:r>
                            <w:rPr>
                              <w:rFonts w:hint="eastAsia"/>
                              <w:lang w:val="en-US" w:eastAsia="zh-CN"/>
                            </w:rPr>
                            <w:t>108</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41DDC0B5">
                    <w:pPr>
                      <w:pStyle w:val="20"/>
                    </w:pPr>
                    <w:r>
                      <w:t xml:space="preserve">第 </w:t>
                    </w:r>
                    <w:r>
                      <w:fldChar w:fldCharType="begin"/>
                    </w:r>
                    <w:r>
                      <w:instrText xml:space="preserve"> PAGE  \* MERGEFORMAT </w:instrText>
                    </w:r>
                    <w:r>
                      <w:fldChar w:fldCharType="separate"/>
                    </w:r>
                    <w:r>
                      <w:t>102</w:t>
                    </w:r>
                    <w:r>
                      <w:fldChar w:fldCharType="end"/>
                    </w:r>
                    <w:r>
                      <w:t xml:space="preserve"> 页 共 </w:t>
                    </w:r>
                    <w:r>
                      <w:rPr>
                        <w:rFonts w:hint="eastAsia"/>
                        <w:lang w:val="en-US" w:eastAsia="zh-CN"/>
                      </w:rPr>
                      <w:t>108</w:t>
                    </w:r>
                    <w:r>
                      <w:t>页</w:t>
                    </w:r>
                  </w:p>
                </w:txbxContent>
              </v:textbox>
            </v:shape>
          </w:pict>
        </mc:Fallback>
      </mc:AlternateContent>
    </w:r>
    <w:r>
      <w:tab/>
    </w:r>
  </w:p>
  <w:p w14:paraId="4EEF941E">
    <w:pPr>
      <w:pStyle w:val="20"/>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C9006">
    <w:pPr>
      <w:pStyle w:val="2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E091DD">
                          <w:pPr>
                            <w:pStyle w:val="20"/>
                          </w:pPr>
                          <w:r>
                            <w:t xml:space="preserve">第 </w:t>
                          </w:r>
                          <w:r>
                            <w:fldChar w:fldCharType="begin"/>
                          </w:r>
                          <w:r>
                            <w:instrText xml:space="preserve"> PAGE  \* MERGEFORMAT </w:instrText>
                          </w:r>
                          <w:r>
                            <w:fldChar w:fldCharType="separate"/>
                          </w:r>
                          <w:r>
                            <w:t>101</w:t>
                          </w:r>
                          <w:r>
                            <w:fldChar w:fldCharType="end"/>
                          </w:r>
                          <w:r>
                            <w:t xml:space="preserve"> 页 共 </w:t>
                          </w:r>
                          <w:r>
                            <w:rPr>
                              <w:rFonts w:hint="eastAsia"/>
                              <w:lang w:val="en-US" w:eastAsia="zh-CN"/>
                            </w:rPr>
                            <w:t>108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4EE091DD">
                    <w:pPr>
                      <w:pStyle w:val="20"/>
                    </w:pPr>
                    <w:r>
                      <w:t xml:space="preserve">第 </w:t>
                    </w:r>
                    <w:r>
                      <w:fldChar w:fldCharType="begin"/>
                    </w:r>
                    <w:r>
                      <w:instrText xml:space="preserve"> PAGE  \* MERGEFORMAT </w:instrText>
                    </w:r>
                    <w:r>
                      <w:fldChar w:fldCharType="separate"/>
                    </w:r>
                    <w:r>
                      <w:t>101</w:t>
                    </w:r>
                    <w:r>
                      <w:fldChar w:fldCharType="end"/>
                    </w:r>
                    <w:r>
                      <w:t xml:space="preserve"> 页 共 </w:t>
                    </w:r>
                    <w:r>
                      <w:rPr>
                        <w:rFonts w:hint="eastAsia"/>
                        <w:lang w:val="en-US" w:eastAsia="zh-CN"/>
                      </w:rPr>
                      <w:t>108</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C2A8">
    <w:pPr>
      <w:pStyle w:val="20"/>
      <w:tabs>
        <w:tab w:val="center" w:pos="4819"/>
        <w:tab w:val="left" w:pos="7440"/>
      </w:tabs>
    </w:pPr>
    <w:r>
      <w:tab/>
    </w:r>
  </w:p>
  <w:p w14:paraId="74586288">
    <w:pPr>
      <w:pStyle w:val="20"/>
      <w:ind w:right="360"/>
      <w:jc w:val="center"/>
      <w:rPr>
        <w:rFonts w:ascii="宋体" w:cs="Times New Roman"/>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9E52A">
    <w:pPr>
      <w:pStyle w:val="20"/>
      <w:tabs>
        <w:tab w:val="clear" w:pos="4153"/>
      </w:tabs>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0FFF4">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安康职业技术学院附属小学</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32AFA">
    <w:pPr>
      <w:pStyle w:val="21"/>
      <w:pBdr>
        <w:bottom w:val="none" w:color="auto" w:sz="0" w:space="1"/>
      </w:pBdr>
      <w:rPr>
        <w:rFonts w:hint="default" w:eastAsia="宋体"/>
        <w:lang w:val="en-US" w:eastAsia="zh-CN"/>
      </w:rPr>
    </w:pP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66891">
    <w:pPr>
      <w:pStyle w:val="21"/>
      <w:pBdr>
        <w:bottom w:val="none" w:color="auto" w:sz="0" w:space="1"/>
      </w:pBdr>
      <w:jc w:val="left"/>
      <w:rPr>
        <w:rFonts w:hint="default"/>
        <w:lang w:val="en-US"/>
      </w:rPr>
    </w:pPr>
    <w:r>
      <w:rPr>
        <w:rFonts w:hint="eastAsia" w:ascii="宋体" w:hAnsi="宋体" w:cs="宋体"/>
        <w:sz w:val="21"/>
        <w:szCs w:val="21"/>
        <w:u w:val="single"/>
        <w:lang w:val="en-US" w:eastAsia="zh-CN"/>
      </w:rPr>
      <w:t xml:space="preserve">项目名称：安康职业技术学院附属小学教学楼及科技楼梯间文化建设项目                        项目编号：AKSH2026-ZCS-083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CC895">
    <w:pPr>
      <w:pStyle w:val="21"/>
      <w:pBdr>
        <w:bottom w:val="none" w:color="auto" w:sz="0" w:space="1"/>
      </w:pBdr>
      <w:jc w:val="both"/>
      <w:rPr>
        <w:rFonts w:hint="default" w:ascii="宋体" w:hAnsi="宋体" w:eastAsia="宋体" w:cs="宋体"/>
        <w:sz w:val="21"/>
        <w:szCs w:val="21"/>
        <w:u w:val="single"/>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7F960">
    <w:pPr>
      <w:pStyle w:val="21"/>
      <w:pBdr>
        <w:bottom w:val="none" w:color="auto" w:sz="0" w:space="1"/>
      </w:pBdr>
      <w:jc w:val="both"/>
      <w:rPr>
        <w:rFonts w:hint="default"/>
        <w:lang w:val="en-US"/>
      </w:rPr>
    </w:pPr>
    <w:r>
      <w:rPr>
        <w:rFonts w:hint="eastAsia" w:ascii="宋体" w:hAnsi="宋体" w:cs="宋体"/>
        <w:sz w:val="21"/>
        <w:szCs w:val="21"/>
        <w:u w:val="single"/>
        <w:lang w:val="en-US" w:eastAsia="zh-CN"/>
      </w:rPr>
      <w:t xml:space="preserve">项目名称：安康职业技术学院附属小学教学楼及科技楼梯间文化建设项目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37142">
    <w:pPr>
      <w:pStyle w:val="21"/>
      <w:pBdr>
        <w:bottom w:val="none" w:color="auto" w:sz="0" w:space="1"/>
      </w:pBdr>
      <w:jc w:val="both"/>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项目名称：安康职业技术学院附属小学教学楼及科技楼梯间文化建设项目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FC443">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项目名称：安康职业技术学院附属小学教学楼及科技楼梯间文化建设项目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13C5F">
    <w:pPr>
      <w:pStyle w:val="21"/>
      <w:pBdr>
        <w:bottom w:val="none" w:color="auto" w:sz="0" w:space="1"/>
      </w:pBdr>
      <w:jc w:val="left"/>
      <w:rPr>
        <w:rFonts w:hint="default" w:ascii="宋体" w:hAnsi="宋体" w:eastAsia="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项目名称：安康职业技术学院附属小学教学楼及科技楼梯间文化建设项目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E86AA">
    <w:pPr>
      <w:pStyle w:val="21"/>
      <w:pBdr>
        <w:bottom w:val="none" w:color="auto" w:sz="0" w:space="1"/>
      </w:pBdr>
      <w:jc w:val="left"/>
      <w:rPr>
        <w:rFonts w:hint="default" w:ascii="宋体" w:hAnsi="宋体" w:cs="宋体"/>
        <w:sz w:val="21"/>
        <w:szCs w:val="21"/>
        <w:u w:val="single"/>
        <w:lang w:val="en-US" w:eastAsia="zh-CN"/>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8F06A">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098F06A">
                    <w:pPr>
                      <w:pStyle w:val="21"/>
                    </w:pPr>
                  </w:p>
                </w:txbxContent>
              </v:textbox>
            </v:shape>
          </w:pict>
        </mc:Fallback>
      </mc:AlternateContent>
    </w:r>
    <w:r>
      <w:rPr>
        <w:rFonts w:hint="eastAsia" w:ascii="宋体" w:hAnsi="宋体" w:cs="宋体"/>
        <w:sz w:val="21"/>
        <w:szCs w:val="21"/>
        <w:u w:val="single"/>
        <w:lang w:val="en-US" w:eastAsia="zh-CN"/>
      </w:rPr>
      <w:t xml:space="preserve">项目名称：安康职业技术学院附属小学教学楼及科技楼梯间文化建设项目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6F30">
    <w:pPr>
      <w:pStyle w:val="21"/>
      <w:pBdr>
        <w:bottom w:val="none" w:color="auto" w:sz="0" w:space="1"/>
      </w:pBdr>
      <w:jc w:val="left"/>
      <w:rPr>
        <w:rFonts w:hint="default" w:ascii="宋体" w:hAnsi="宋体" w:cs="宋体"/>
        <w:sz w:val="21"/>
        <w:szCs w:val="21"/>
        <w:u w:val="single"/>
        <w:lang w:val="en-US" w:eastAsia="zh-CN"/>
      </w:rPr>
    </w:pPr>
    <w:r>
      <w:rPr>
        <w:rFonts w:hint="eastAsia" w:ascii="宋体" w:hAnsi="宋体" w:cs="宋体"/>
        <w:sz w:val="21"/>
        <w:szCs w:val="21"/>
        <w:u w:val="single"/>
        <w:lang w:val="en-US" w:eastAsia="zh-CN"/>
      </w:rPr>
      <w:t xml:space="preserve">项目名称：安康职业技术学院附属小学教学楼及科技楼梯间文化建设项目 </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FEBB8B"/>
    <w:multiLevelType w:val="singleLevel"/>
    <w:tmpl w:val="8EFEBB8B"/>
    <w:lvl w:ilvl="0" w:tentative="0">
      <w:start w:val="5"/>
      <w:numFmt w:val="chineseCounting"/>
      <w:suff w:val="space"/>
      <w:lvlText w:val="第%1章"/>
      <w:lvlJc w:val="left"/>
      <w:rPr>
        <w:rFonts w:hint="eastAsia"/>
      </w:rPr>
    </w:lvl>
  </w:abstractNum>
  <w:abstractNum w:abstractNumId="1">
    <w:nsid w:val="94D18FD4"/>
    <w:multiLevelType w:val="singleLevel"/>
    <w:tmpl w:val="94D18FD4"/>
    <w:lvl w:ilvl="0" w:tentative="0">
      <w:start w:val="1"/>
      <w:numFmt w:val="decimal"/>
      <w:lvlText w:val="%1."/>
      <w:lvlJc w:val="left"/>
      <w:pPr>
        <w:tabs>
          <w:tab w:val="left" w:pos="312"/>
        </w:tabs>
      </w:pPr>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dit="forms" w:enforcement="1" w:cryptProviderType="rsaFull" w:cryptAlgorithmClass="hash" w:cryptAlgorithmType="typeAny" w:cryptAlgorithmSid="4" w:cryptSpinCount="0" w:hash="J5E9RvI/RhHGarfdKcxJ2jfgTcU=" w:salt="f50deVxQLag0UyZAB1kxEg=="/>
  <w:defaultTabStop w:val="420"/>
  <w:doNotHyphenateCaps/>
  <w:drawingGridHorizontalSpacing w:val="210"/>
  <w:drawingGridVerticalSpacing w:val="16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3563"/>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F93"/>
    <w:rsid w:val="006657C9"/>
    <w:rsid w:val="006739A1"/>
    <w:rsid w:val="00675301"/>
    <w:rsid w:val="00676150"/>
    <w:rsid w:val="0068208A"/>
    <w:rsid w:val="00686E29"/>
    <w:rsid w:val="0069197F"/>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A69BE"/>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7CA5"/>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2434"/>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2C2953"/>
    <w:rsid w:val="012F2443"/>
    <w:rsid w:val="013A223F"/>
    <w:rsid w:val="013E5C8D"/>
    <w:rsid w:val="01450DC1"/>
    <w:rsid w:val="01525A0A"/>
    <w:rsid w:val="016A454D"/>
    <w:rsid w:val="016E2B68"/>
    <w:rsid w:val="017D3840"/>
    <w:rsid w:val="018E640A"/>
    <w:rsid w:val="01920D21"/>
    <w:rsid w:val="01AA1AC9"/>
    <w:rsid w:val="01AC2FBF"/>
    <w:rsid w:val="01AD1AAE"/>
    <w:rsid w:val="01C84DE7"/>
    <w:rsid w:val="01DA363D"/>
    <w:rsid w:val="01F90F7C"/>
    <w:rsid w:val="020600F6"/>
    <w:rsid w:val="02064B47"/>
    <w:rsid w:val="020E71AE"/>
    <w:rsid w:val="02192117"/>
    <w:rsid w:val="022D433C"/>
    <w:rsid w:val="0236335D"/>
    <w:rsid w:val="023C7D0C"/>
    <w:rsid w:val="023E1BBB"/>
    <w:rsid w:val="02590F24"/>
    <w:rsid w:val="02854F8C"/>
    <w:rsid w:val="02B50726"/>
    <w:rsid w:val="02BA6C1F"/>
    <w:rsid w:val="02C56FBB"/>
    <w:rsid w:val="02CB14A4"/>
    <w:rsid w:val="02D3498C"/>
    <w:rsid w:val="02E57ADC"/>
    <w:rsid w:val="02F61685"/>
    <w:rsid w:val="02FA17E2"/>
    <w:rsid w:val="02FD5BFC"/>
    <w:rsid w:val="02FE73C3"/>
    <w:rsid w:val="030A0C9E"/>
    <w:rsid w:val="031A67DB"/>
    <w:rsid w:val="03442ED4"/>
    <w:rsid w:val="034C725D"/>
    <w:rsid w:val="035F4ABA"/>
    <w:rsid w:val="037938F5"/>
    <w:rsid w:val="038C50E0"/>
    <w:rsid w:val="03A85B56"/>
    <w:rsid w:val="03C10C9F"/>
    <w:rsid w:val="03C921C1"/>
    <w:rsid w:val="03EA3C10"/>
    <w:rsid w:val="03FD053E"/>
    <w:rsid w:val="04006C5A"/>
    <w:rsid w:val="040B7728"/>
    <w:rsid w:val="0410030A"/>
    <w:rsid w:val="04140CC2"/>
    <w:rsid w:val="0446450F"/>
    <w:rsid w:val="044E3659"/>
    <w:rsid w:val="04536164"/>
    <w:rsid w:val="045C354F"/>
    <w:rsid w:val="04837BF7"/>
    <w:rsid w:val="04A70542"/>
    <w:rsid w:val="04AB0E36"/>
    <w:rsid w:val="04AC0867"/>
    <w:rsid w:val="04C42EA2"/>
    <w:rsid w:val="04C840A8"/>
    <w:rsid w:val="04CB26A7"/>
    <w:rsid w:val="04CD0688"/>
    <w:rsid w:val="04D502BA"/>
    <w:rsid w:val="04DF4866"/>
    <w:rsid w:val="04F06D3D"/>
    <w:rsid w:val="04FC43EA"/>
    <w:rsid w:val="050047DB"/>
    <w:rsid w:val="050438CD"/>
    <w:rsid w:val="051A0FB1"/>
    <w:rsid w:val="052B0940"/>
    <w:rsid w:val="053973B5"/>
    <w:rsid w:val="05402991"/>
    <w:rsid w:val="05483AD3"/>
    <w:rsid w:val="054B711F"/>
    <w:rsid w:val="054E1CE0"/>
    <w:rsid w:val="056C728C"/>
    <w:rsid w:val="057A7F6E"/>
    <w:rsid w:val="059705B7"/>
    <w:rsid w:val="05A76A4C"/>
    <w:rsid w:val="05D137D6"/>
    <w:rsid w:val="05D71396"/>
    <w:rsid w:val="05DB4DA3"/>
    <w:rsid w:val="05FA123D"/>
    <w:rsid w:val="05FB4E02"/>
    <w:rsid w:val="05FF224E"/>
    <w:rsid w:val="060454DB"/>
    <w:rsid w:val="06110D47"/>
    <w:rsid w:val="0624009C"/>
    <w:rsid w:val="063F6A07"/>
    <w:rsid w:val="06523C1F"/>
    <w:rsid w:val="065A46B0"/>
    <w:rsid w:val="065B3B93"/>
    <w:rsid w:val="066D1D57"/>
    <w:rsid w:val="066D5199"/>
    <w:rsid w:val="066F6E3E"/>
    <w:rsid w:val="06B07B82"/>
    <w:rsid w:val="06B12629"/>
    <w:rsid w:val="06BD3616"/>
    <w:rsid w:val="06BE30D0"/>
    <w:rsid w:val="06CD112D"/>
    <w:rsid w:val="06DC7813"/>
    <w:rsid w:val="06E56C12"/>
    <w:rsid w:val="071C0D73"/>
    <w:rsid w:val="07224610"/>
    <w:rsid w:val="07261BF2"/>
    <w:rsid w:val="073278A0"/>
    <w:rsid w:val="073E5E68"/>
    <w:rsid w:val="07621A18"/>
    <w:rsid w:val="07634BF4"/>
    <w:rsid w:val="076E497F"/>
    <w:rsid w:val="077166EC"/>
    <w:rsid w:val="077741FC"/>
    <w:rsid w:val="0781151E"/>
    <w:rsid w:val="07892C9E"/>
    <w:rsid w:val="07997C89"/>
    <w:rsid w:val="07B241D3"/>
    <w:rsid w:val="07BE1E2B"/>
    <w:rsid w:val="07C5140B"/>
    <w:rsid w:val="07CF5DE6"/>
    <w:rsid w:val="07E562BD"/>
    <w:rsid w:val="07F700E8"/>
    <w:rsid w:val="07FC0B21"/>
    <w:rsid w:val="07FC0D88"/>
    <w:rsid w:val="08047F2D"/>
    <w:rsid w:val="08145F16"/>
    <w:rsid w:val="08366DA4"/>
    <w:rsid w:val="086E2AD1"/>
    <w:rsid w:val="087D1536"/>
    <w:rsid w:val="089E6E52"/>
    <w:rsid w:val="08B16FB6"/>
    <w:rsid w:val="08E53CD3"/>
    <w:rsid w:val="08E74CA6"/>
    <w:rsid w:val="08E95814"/>
    <w:rsid w:val="090A42F6"/>
    <w:rsid w:val="092266DC"/>
    <w:rsid w:val="09271A18"/>
    <w:rsid w:val="09293304"/>
    <w:rsid w:val="09306D58"/>
    <w:rsid w:val="09414AC1"/>
    <w:rsid w:val="09491BC8"/>
    <w:rsid w:val="0949327F"/>
    <w:rsid w:val="094D1E21"/>
    <w:rsid w:val="09560FD7"/>
    <w:rsid w:val="097A7578"/>
    <w:rsid w:val="099106B6"/>
    <w:rsid w:val="09913C41"/>
    <w:rsid w:val="099B4B5E"/>
    <w:rsid w:val="099E1F14"/>
    <w:rsid w:val="09A52E1C"/>
    <w:rsid w:val="09A9060C"/>
    <w:rsid w:val="09C35E1E"/>
    <w:rsid w:val="09CF513B"/>
    <w:rsid w:val="09E25AD9"/>
    <w:rsid w:val="09EA213D"/>
    <w:rsid w:val="0A0976BB"/>
    <w:rsid w:val="0A31265E"/>
    <w:rsid w:val="0A3245CA"/>
    <w:rsid w:val="0A3E3F88"/>
    <w:rsid w:val="0A5C36A3"/>
    <w:rsid w:val="0A672A35"/>
    <w:rsid w:val="0A6F07AC"/>
    <w:rsid w:val="0A706A46"/>
    <w:rsid w:val="0A891706"/>
    <w:rsid w:val="0AB437F6"/>
    <w:rsid w:val="0AEE50E0"/>
    <w:rsid w:val="0AFC5610"/>
    <w:rsid w:val="0B350656"/>
    <w:rsid w:val="0B462863"/>
    <w:rsid w:val="0B5A78B0"/>
    <w:rsid w:val="0B5D1A85"/>
    <w:rsid w:val="0B5D1E36"/>
    <w:rsid w:val="0B651A2B"/>
    <w:rsid w:val="0BA8707A"/>
    <w:rsid w:val="0BA94BA0"/>
    <w:rsid w:val="0BB5243F"/>
    <w:rsid w:val="0BB772BD"/>
    <w:rsid w:val="0BC1638D"/>
    <w:rsid w:val="0BC639A4"/>
    <w:rsid w:val="0BED26A5"/>
    <w:rsid w:val="0BEE4F68"/>
    <w:rsid w:val="0BF91A7F"/>
    <w:rsid w:val="0C0A394D"/>
    <w:rsid w:val="0C104C1F"/>
    <w:rsid w:val="0C193A0B"/>
    <w:rsid w:val="0C4A5A7C"/>
    <w:rsid w:val="0C550884"/>
    <w:rsid w:val="0C5F0865"/>
    <w:rsid w:val="0C670CE3"/>
    <w:rsid w:val="0C7B690B"/>
    <w:rsid w:val="0C891E2E"/>
    <w:rsid w:val="0CB5191B"/>
    <w:rsid w:val="0CB6728F"/>
    <w:rsid w:val="0CD45C4C"/>
    <w:rsid w:val="0CFD25BD"/>
    <w:rsid w:val="0D1F6213"/>
    <w:rsid w:val="0D2652D8"/>
    <w:rsid w:val="0D2D00AD"/>
    <w:rsid w:val="0D3B3F1D"/>
    <w:rsid w:val="0D452987"/>
    <w:rsid w:val="0D62596E"/>
    <w:rsid w:val="0D6C19EE"/>
    <w:rsid w:val="0D70006B"/>
    <w:rsid w:val="0D7B32BC"/>
    <w:rsid w:val="0D933F5C"/>
    <w:rsid w:val="0D984ECC"/>
    <w:rsid w:val="0DA800E4"/>
    <w:rsid w:val="0DB77A48"/>
    <w:rsid w:val="0DC7526D"/>
    <w:rsid w:val="0DC7755F"/>
    <w:rsid w:val="0DCB40A1"/>
    <w:rsid w:val="0DEF6094"/>
    <w:rsid w:val="0DF802F3"/>
    <w:rsid w:val="0E005C7A"/>
    <w:rsid w:val="0E0C42FA"/>
    <w:rsid w:val="0E381521"/>
    <w:rsid w:val="0E4C5684"/>
    <w:rsid w:val="0E5D7B1D"/>
    <w:rsid w:val="0E6D0107"/>
    <w:rsid w:val="0E9C75AF"/>
    <w:rsid w:val="0EA91CC7"/>
    <w:rsid w:val="0EC83E9C"/>
    <w:rsid w:val="0EC875FE"/>
    <w:rsid w:val="0EE8058A"/>
    <w:rsid w:val="0EFD2AF6"/>
    <w:rsid w:val="0F03025E"/>
    <w:rsid w:val="0F1A17DC"/>
    <w:rsid w:val="0F1C13DE"/>
    <w:rsid w:val="0F261F26"/>
    <w:rsid w:val="0F323BCC"/>
    <w:rsid w:val="0F537409"/>
    <w:rsid w:val="0F563291"/>
    <w:rsid w:val="0F6459AD"/>
    <w:rsid w:val="0F79260C"/>
    <w:rsid w:val="0F987E27"/>
    <w:rsid w:val="0FA47B58"/>
    <w:rsid w:val="0FA719DC"/>
    <w:rsid w:val="0FAB0EE6"/>
    <w:rsid w:val="0FAB538A"/>
    <w:rsid w:val="0FBB76E3"/>
    <w:rsid w:val="0FC41BBC"/>
    <w:rsid w:val="0FC66DA3"/>
    <w:rsid w:val="0FD22DBC"/>
    <w:rsid w:val="100E0796"/>
    <w:rsid w:val="10102A21"/>
    <w:rsid w:val="10122E9C"/>
    <w:rsid w:val="10204FBD"/>
    <w:rsid w:val="10372E26"/>
    <w:rsid w:val="103966FB"/>
    <w:rsid w:val="104D6442"/>
    <w:rsid w:val="105B0B5E"/>
    <w:rsid w:val="105E41AB"/>
    <w:rsid w:val="106C132D"/>
    <w:rsid w:val="10794994"/>
    <w:rsid w:val="108E6DDE"/>
    <w:rsid w:val="10A6243E"/>
    <w:rsid w:val="10AB38B0"/>
    <w:rsid w:val="10DB24BE"/>
    <w:rsid w:val="10DD209D"/>
    <w:rsid w:val="10E44981"/>
    <w:rsid w:val="10FF1E8F"/>
    <w:rsid w:val="111645C6"/>
    <w:rsid w:val="112C7AF5"/>
    <w:rsid w:val="113D64B6"/>
    <w:rsid w:val="115433FE"/>
    <w:rsid w:val="116003F7"/>
    <w:rsid w:val="11687FB0"/>
    <w:rsid w:val="119963B1"/>
    <w:rsid w:val="11AE2812"/>
    <w:rsid w:val="11B361D3"/>
    <w:rsid w:val="11BB4D58"/>
    <w:rsid w:val="11BB6630"/>
    <w:rsid w:val="11C8466F"/>
    <w:rsid w:val="11D20449"/>
    <w:rsid w:val="11E9219A"/>
    <w:rsid w:val="11EF6F34"/>
    <w:rsid w:val="120E39AF"/>
    <w:rsid w:val="12103BCB"/>
    <w:rsid w:val="123A4D81"/>
    <w:rsid w:val="12793BBE"/>
    <w:rsid w:val="127A7296"/>
    <w:rsid w:val="128C33F4"/>
    <w:rsid w:val="12B409FA"/>
    <w:rsid w:val="12C329EB"/>
    <w:rsid w:val="12C708C2"/>
    <w:rsid w:val="12C82F5F"/>
    <w:rsid w:val="131C06AC"/>
    <w:rsid w:val="133A4EB7"/>
    <w:rsid w:val="13487675"/>
    <w:rsid w:val="137447B2"/>
    <w:rsid w:val="13830E2C"/>
    <w:rsid w:val="138D11BC"/>
    <w:rsid w:val="13992EB6"/>
    <w:rsid w:val="139D2FCC"/>
    <w:rsid w:val="13A24639"/>
    <w:rsid w:val="13AD2810"/>
    <w:rsid w:val="13D84C83"/>
    <w:rsid w:val="13E946D3"/>
    <w:rsid w:val="13EA285B"/>
    <w:rsid w:val="14065285"/>
    <w:rsid w:val="14074063"/>
    <w:rsid w:val="142468C7"/>
    <w:rsid w:val="14365C2E"/>
    <w:rsid w:val="143C5260"/>
    <w:rsid w:val="143D057B"/>
    <w:rsid w:val="14480B77"/>
    <w:rsid w:val="149C20CC"/>
    <w:rsid w:val="14A12650"/>
    <w:rsid w:val="14AF4B49"/>
    <w:rsid w:val="14B41673"/>
    <w:rsid w:val="14B90B15"/>
    <w:rsid w:val="14CD1555"/>
    <w:rsid w:val="14D56A06"/>
    <w:rsid w:val="14E46C49"/>
    <w:rsid w:val="14E868B9"/>
    <w:rsid w:val="14F838A9"/>
    <w:rsid w:val="15273101"/>
    <w:rsid w:val="153E2DB6"/>
    <w:rsid w:val="154B7F88"/>
    <w:rsid w:val="155509E3"/>
    <w:rsid w:val="15550B09"/>
    <w:rsid w:val="155550C1"/>
    <w:rsid w:val="15576ACE"/>
    <w:rsid w:val="1568217F"/>
    <w:rsid w:val="15761223"/>
    <w:rsid w:val="15784E47"/>
    <w:rsid w:val="15861B5E"/>
    <w:rsid w:val="159517A5"/>
    <w:rsid w:val="15A74B21"/>
    <w:rsid w:val="15AB431C"/>
    <w:rsid w:val="15E23CA8"/>
    <w:rsid w:val="15FA6095"/>
    <w:rsid w:val="1606156C"/>
    <w:rsid w:val="166B3507"/>
    <w:rsid w:val="166C32BB"/>
    <w:rsid w:val="16A37A9D"/>
    <w:rsid w:val="16C2284B"/>
    <w:rsid w:val="16CB423B"/>
    <w:rsid w:val="16F861BD"/>
    <w:rsid w:val="17035549"/>
    <w:rsid w:val="17062F69"/>
    <w:rsid w:val="17103863"/>
    <w:rsid w:val="171347E8"/>
    <w:rsid w:val="17423544"/>
    <w:rsid w:val="17450DD5"/>
    <w:rsid w:val="17575561"/>
    <w:rsid w:val="176A1687"/>
    <w:rsid w:val="1779199A"/>
    <w:rsid w:val="17881110"/>
    <w:rsid w:val="17907B2D"/>
    <w:rsid w:val="179944DC"/>
    <w:rsid w:val="17A06173"/>
    <w:rsid w:val="17B56054"/>
    <w:rsid w:val="17C22E6D"/>
    <w:rsid w:val="17D908F6"/>
    <w:rsid w:val="17DF536C"/>
    <w:rsid w:val="17EA0C48"/>
    <w:rsid w:val="18120EEB"/>
    <w:rsid w:val="182B6938"/>
    <w:rsid w:val="18345C55"/>
    <w:rsid w:val="183D0E38"/>
    <w:rsid w:val="1841587E"/>
    <w:rsid w:val="184B14B9"/>
    <w:rsid w:val="184D1F22"/>
    <w:rsid w:val="18630E03"/>
    <w:rsid w:val="186662F2"/>
    <w:rsid w:val="186F3E63"/>
    <w:rsid w:val="187327BD"/>
    <w:rsid w:val="187857E7"/>
    <w:rsid w:val="187B19AA"/>
    <w:rsid w:val="18811F09"/>
    <w:rsid w:val="188321C6"/>
    <w:rsid w:val="189015C1"/>
    <w:rsid w:val="18917327"/>
    <w:rsid w:val="18921717"/>
    <w:rsid w:val="18A25EE0"/>
    <w:rsid w:val="18AE37F5"/>
    <w:rsid w:val="18CC1476"/>
    <w:rsid w:val="190D3CF6"/>
    <w:rsid w:val="190E1B7D"/>
    <w:rsid w:val="191B713B"/>
    <w:rsid w:val="192F739D"/>
    <w:rsid w:val="195C4F98"/>
    <w:rsid w:val="195E21AF"/>
    <w:rsid w:val="19C27C94"/>
    <w:rsid w:val="19D10924"/>
    <w:rsid w:val="19DC5DE9"/>
    <w:rsid w:val="19E42EEC"/>
    <w:rsid w:val="19FC4F49"/>
    <w:rsid w:val="19FE255B"/>
    <w:rsid w:val="1A1E247D"/>
    <w:rsid w:val="1A206E13"/>
    <w:rsid w:val="1A324F2D"/>
    <w:rsid w:val="1A3B730B"/>
    <w:rsid w:val="1A462475"/>
    <w:rsid w:val="1A736AA5"/>
    <w:rsid w:val="1A754C02"/>
    <w:rsid w:val="1AA30DFE"/>
    <w:rsid w:val="1AA66E7A"/>
    <w:rsid w:val="1AC06A39"/>
    <w:rsid w:val="1AC76DF0"/>
    <w:rsid w:val="1ACC4F36"/>
    <w:rsid w:val="1AF11218"/>
    <w:rsid w:val="1AF44A0B"/>
    <w:rsid w:val="1B115D3C"/>
    <w:rsid w:val="1B1C538E"/>
    <w:rsid w:val="1B1E0896"/>
    <w:rsid w:val="1B274435"/>
    <w:rsid w:val="1B3C173F"/>
    <w:rsid w:val="1B3C333B"/>
    <w:rsid w:val="1B483F91"/>
    <w:rsid w:val="1B554868"/>
    <w:rsid w:val="1B614048"/>
    <w:rsid w:val="1B7C407F"/>
    <w:rsid w:val="1B807337"/>
    <w:rsid w:val="1BA47C58"/>
    <w:rsid w:val="1BAF6202"/>
    <w:rsid w:val="1BB27AA1"/>
    <w:rsid w:val="1BB80F43"/>
    <w:rsid w:val="1BC170B5"/>
    <w:rsid w:val="1BC63CDD"/>
    <w:rsid w:val="1BC85289"/>
    <w:rsid w:val="1BCA2AC1"/>
    <w:rsid w:val="1BDC02C0"/>
    <w:rsid w:val="1BEB4B83"/>
    <w:rsid w:val="1BF0529D"/>
    <w:rsid w:val="1BF74872"/>
    <w:rsid w:val="1C346EAE"/>
    <w:rsid w:val="1C446BE5"/>
    <w:rsid w:val="1C6457DA"/>
    <w:rsid w:val="1C6D0873"/>
    <w:rsid w:val="1C821221"/>
    <w:rsid w:val="1C915866"/>
    <w:rsid w:val="1CA05B4B"/>
    <w:rsid w:val="1CD102CB"/>
    <w:rsid w:val="1CE647C1"/>
    <w:rsid w:val="1CE67A02"/>
    <w:rsid w:val="1D1A33B2"/>
    <w:rsid w:val="1D1C4E72"/>
    <w:rsid w:val="1D385997"/>
    <w:rsid w:val="1D3C25C0"/>
    <w:rsid w:val="1D5E31C4"/>
    <w:rsid w:val="1D673AB8"/>
    <w:rsid w:val="1D6B0D1C"/>
    <w:rsid w:val="1D724537"/>
    <w:rsid w:val="1D8D5C15"/>
    <w:rsid w:val="1D923F90"/>
    <w:rsid w:val="1D946A32"/>
    <w:rsid w:val="1DA31A6F"/>
    <w:rsid w:val="1DB51F23"/>
    <w:rsid w:val="1DC65199"/>
    <w:rsid w:val="1DE55082"/>
    <w:rsid w:val="1DEB7A42"/>
    <w:rsid w:val="1DF97E9A"/>
    <w:rsid w:val="1DFA19DF"/>
    <w:rsid w:val="1E1919C1"/>
    <w:rsid w:val="1E396257"/>
    <w:rsid w:val="1E414EAF"/>
    <w:rsid w:val="1E421B94"/>
    <w:rsid w:val="1E5A1C2F"/>
    <w:rsid w:val="1E5E18A6"/>
    <w:rsid w:val="1E707ECB"/>
    <w:rsid w:val="1E7B3D90"/>
    <w:rsid w:val="1E832DAB"/>
    <w:rsid w:val="1E865B1A"/>
    <w:rsid w:val="1EC331FD"/>
    <w:rsid w:val="1EDC3EA5"/>
    <w:rsid w:val="1EE937D9"/>
    <w:rsid w:val="1EF17E08"/>
    <w:rsid w:val="1F1F3A24"/>
    <w:rsid w:val="1F206854"/>
    <w:rsid w:val="1F244EC9"/>
    <w:rsid w:val="1F2D6E0F"/>
    <w:rsid w:val="1F525822"/>
    <w:rsid w:val="1F5A3842"/>
    <w:rsid w:val="1F6659C8"/>
    <w:rsid w:val="1F690A75"/>
    <w:rsid w:val="1F7304BB"/>
    <w:rsid w:val="1F7977EE"/>
    <w:rsid w:val="1F7F7C9A"/>
    <w:rsid w:val="1F882FF2"/>
    <w:rsid w:val="1F895E51"/>
    <w:rsid w:val="1F9F1011"/>
    <w:rsid w:val="1FA073B6"/>
    <w:rsid w:val="1FA94D17"/>
    <w:rsid w:val="1FB12B7F"/>
    <w:rsid w:val="1FC14DDE"/>
    <w:rsid w:val="1FC81833"/>
    <w:rsid w:val="1FD91AA0"/>
    <w:rsid w:val="1FEA5A5B"/>
    <w:rsid w:val="1FFC578E"/>
    <w:rsid w:val="20025D99"/>
    <w:rsid w:val="200A2C27"/>
    <w:rsid w:val="203A68C1"/>
    <w:rsid w:val="204809D3"/>
    <w:rsid w:val="2054435F"/>
    <w:rsid w:val="20670906"/>
    <w:rsid w:val="208640FC"/>
    <w:rsid w:val="20C3636D"/>
    <w:rsid w:val="20E03EA8"/>
    <w:rsid w:val="20ED38FC"/>
    <w:rsid w:val="211D78B0"/>
    <w:rsid w:val="212A1E87"/>
    <w:rsid w:val="212E72D0"/>
    <w:rsid w:val="21313216"/>
    <w:rsid w:val="213A3C94"/>
    <w:rsid w:val="213C19C8"/>
    <w:rsid w:val="213E32F0"/>
    <w:rsid w:val="2149131F"/>
    <w:rsid w:val="2149340F"/>
    <w:rsid w:val="214E43E5"/>
    <w:rsid w:val="21562C7C"/>
    <w:rsid w:val="215F5FD5"/>
    <w:rsid w:val="21600B88"/>
    <w:rsid w:val="21AE78B8"/>
    <w:rsid w:val="21B53414"/>
    <w:rsid w:val="21E5038E"/>
    <w:rsid w:val="21E8206B"/>
    <w:rsid w:val="21EA14F4"/>
    <w:rsid w:val="22330628"/>
    <w:rsid w:val="223E6CF8"/>
    <w:rsid w:val="2243364A"/>
    <w:rsid w:val="224A62E8"/>
    <w:rsid w:val="224E045E"/>
    <w:rsid w:val="226823A3"/>
    <w:rsid w:val="227C1E95"/>
    <w:rsid w:val="22806203"/>
    <w:rsid w:val="22833F45"/>
    <w:rsid w:val="229226B8"/>
    <w:rsid w:val="22A73267"/>
    <w:rsid w:val="22AF5BBC"/>
    <w:rsid w:val="22C677C0"/>
    <w:rsid w:val="22CD1033"/>
    <w:rsid w:val="22DD3C85"/>
    <w:rsid w:val="22E25187"/>
    <w:rsid w:val="234629D3"/>
    <w:rsid w:val="234A3673"/>
    <w:rsid w:val="23555288"/>
    <w:rsid w:val="23740A0F"/>
    <w:rsid w:val="23773046"/>
    <w:rsid w:val="238115CF"/>
    <w:rsid w:val="238A31D0"/>
    <w:rsid w:val="23A012D9"/>
    <w:rsid w:val="23AD3718"/>
    <w:rsid w:val="23B42767"/>
    <w:rsid w:val="23D5432C"/>
    <w:rsid w:val="23E303FA"/>
    <w:rsid w:val="23E869F5"/>
    <w:rsid w:val="23EB5574"/>
    <w:rsid w:val="23F911BA"/>
    <w:rsid w:val="23FE56CB"/>
    <w:rsid w:val="242B03F0"/>
    <w:rsid w:val="242B39CD"/>
    <w:rsid w:val="242D516F"/>
    <w:rsid w:val="24340889"/>
    <w:rsid w:val="244B3DA0"/>
    <w:rsid w:val="245247ED"/>
    <w:rsid w:val="24575A93"/>
    <w:rsid w:val="245C1D65"/>
    <w:rsid w:val="24897F40"/>
    <w:rsid w:val="248B67FD"/>
    <w:rsid w:val="248F6CA6"/>
    <w:rsid w:val="249E0BC2"/>
    <w:rsid w:val="24A73AFB"/>
    <w:rsid w:val="24BF3406"/>
    <w:rsid w:val="24D938C4"/>
    <w:rsid w:val="24DC4EE5"/>
    <w:rsid w:val="24E3532B"/>
    <w:rsid w:val="2508212D"/>
    <w:rsid w:val="252B038C"/>
    <w:rsid w:val="252C333B"/>
    <w:rsid w:val="252E1698"/>
    <w:rsid w:val="25543DDA"/>
    <w:rsid w:val="255F7AD2"/>
    <w:rsid w:val="2562439C"/>
    <w:rsid w:val="256B13EC"/>
    <w:rsid w:val="256D4FBD"/>
    <w:rsid w:val="257A0E0A"/>
    <w:rsid w:val="257E016B"/>
    <w:rsid w:val="25861D82"/>
    <w:rsid w:val="258C4EBE"/>
    <w:rsid w:val="25AA58E4"/>
    <w:rsid w:val="25B52A47"/>
    <w:rsid w:val="25C10491"/>
    <w:rsid w:val="25C46D47"/>
    <w:rsid w:val="25C64874"/>
    <w:rsid w:val="25E074E7"/>
    <w:rsid w:val="25EE4017"/>
    <w:rsid w:val="25F25669"/>
    <w:rsid w:val="25F72C80"/>
    <w:rsid w:val="25F97290"/>
    <w:rsid w:val="26223B26"/>
    <w:rsid w:val="26241D26"/>
    <w:rsid w:val="2627224F"/>
    <w:rsid w:val="263537A8"/>
    <w:rsid w:val="263A2B6C"/>
    <w:rsid w:val="265B0A5D"/>
    <w:rsid w:val="26624D38"/>
    <w:rsid w:val="266360FF"/>
    <w:rsid w:val="266C4868"/>
    <w:rsid w:val="269D762C"/>
    <w:rsid w:val="26A10A3D"/>
    <w:rsid w:val="26C976F8"/>
    <w:rsid w:val="26CD1C32"/>
    <w:rsid w:val="26D72EC0"/>
    <w:rsid w:val="26EF72E5"/>
    <w:rsid w:val="26FC4A2E"/>
    <w:rsid w:val="270B0E4A"/>
    <w:rsid w:val="27180E6A"/>
    <w:rsid w:val="271E393C"/>
    <w:rsid w:val="271E669F"/>
    <w:rsid w:val="27333A9E"/>
    <w:rsid w:val="273C73E8"/>
    <w:rsid w:val="273D5A6D"/>
    <w:rsid w:val="274023D4"/>
    <w:rsid w:val="274253D5"/>
    <w:rsid w:val="27663E92"/>
    <w:rsid w:val="276D74EC"/>
    <w:rsid w:val="276F6A21"/>
    <w:rsid w:val="277853D2"/>
    <w:rsid w:val="278A534F"/>
    <w:rsid w:val="27A72484"/>
    <w:rsid w:val="27B04BAD"/>
    <w:rsid w:val="27C748D4"/>
    <w:rsid w:val="27D163B4"/>
    <w:rsid w:val="28002089"/>
    <w:rsid w:val="281C1B43"/>
    <w:rsid w:val="282B36F9"/>
    <w:rsid w:val="28322D19"/>
    <w:rsid w:val="28375A3F"/>
    <w:rsid w:val="284A5CA4"/>
    <w:rsid w:val="28520495"/>
    <w:rsid w:val="286533D6"/>
    <w:rsid w:val="287813D0"/>
    <w:rsid w:val="28836A4D"/>
    <w:rsid w:val="28A813E1"/>
    <w:rsid w:val="28B92E20"/>
    <w:rsid w:val="28B93CEB"/>
    <w:rsid w:val="28E02A8F"/>
    <w:rsid w:val="28E1683E"/>
    <w:rsid w:val="28F416F8"/>
    <w:rsid w:val="29125D60"/>
    <w:rsid w:val="292B1C11"/>
    <w:rsid w:val="2960365F"/>
    <w:rsid w:val="29712D49"/>
    <w:rsid w:val="297B2875"/>
    <w:rsid w:val="299802D6"/>
    <w:rsid w:val="299E3412"/>
    <w:rsid w:val="29A50D71"/>
    <w:rsid w:val="29C92C9E"/>
    <w:rsid w:val="29D10A88"/>
    <w:rsid w:val="29D3130E"/>
    <w:rsid w:val="29E76B67"/>
    <w:rsid w:val="2A1A46E9"/>
    <w:rsid w:val="2A2A2452"/>
    <w:rsid w:val="2A3717F0"/>
    <w:rsid w:val="2A441BE1"/>
    <w:rsid w:val="2A4836B1"/>
    <w:rsid w:val="2A4A0382"/>
    <w:rsid w:val="2A5341FD"/>
    <w:rsid w:val="2A851BD9"/>
    <w:rsid w:val="2A863893"/>
    <w:rsid w:val="2A932720"/>
    <w:rsid w:val="2AA02867"/>
    <w:rsid w:val="2AB357E7"/>
    <w:rsid w:val="2AC9578D"/>
    <w:rsid w:val="2ACC5C5A"/>
    <w:rsid w:val="2AF04F6E"/>
    <w:rsid w:val="2AF05EF0"/>
    <w:rsid w:val="2B000827"/>
    <w:rsid w:val="2B0C0F7B"/>
    <w:rsid w:val="2B0D7E3B"/>
    <w:rsid w:val="2B420288"/>
    <w:rsid w:val="2B421328"/>
    <w:rsid w:val="2B5C43D0"/>
    <w:rsid w:val="2B5E1033"/>
    <w:rsid w:val="2B5F159F"/>
    <w:rsid w:val="2B641D7F"/>
    <w:rsid w:val="2B6A541F"/>
    <w:rsid w:val="2B6D3C7A"/>
    <w:rsid w:val="2B786D85"/>
    <w:rsid w:val="2B927BC6"/>
    <w:rsid w:val="2B955445"/>
    <w:rsid w:val="2BB23B01"/>
    <w:rsid w:val="2BB32D41"/>
    <w:rsid w:val="2BC069D0"/>
    <w:rsid w:val="2BC367B8"/>
    <w:rsid w:val="2BD07B70"/>
    <w:rsid w:val="2BE960EF"/>
    <w:rsid w:val="2BFC2739"/>
    <w:rsid w:val="2C071A15"/>
    <w:rsid w:val="2C0B64AA"/>
    <w:rsid w:val="2C1C3440"/>
    <w:rsid w:val="2C1F6A8C"/>
    <w:rsid w:val="2C2D3420"/>
    <w:rsid w:val="2C3D5164"/>
    <w:rsid w:val="2C5030EA"/>
    <w:rsid w:val="2C610E53"/>
    <w:rsid w:val="2C6941AB"/>
    <w:rsid w:val="2C6C747A"/>
    <w:rsid w:val="2C7B4E8C"/>
    <w:rsid w:val="2C842D34"/>
    <w:rsid w:val="2C845095"/>
    <w:rsid w:val="2C9446A0"/>
    <w:rsid w:val="2CA04D25"/>
    <w:rsid w:val="2CAE1BBE"/>
    <w:rsid w:val="2CED77C1"/>
    <w:rsid w:val="2CF617E0"/>
    <w:rsid w:val="2CF77A09"/>
    <w:rsid w:val="2D0B4249"/>
    <w:rsid w:val="2D16631A"/>
    <w:rsid w:val="2D391C9E"/>
    <w:rsid w:val="2D4C5A5E"/>
    <w:rsid w:val="2D4E7FAB"/>
    <w:rsid w:val="2D546C0A"/>
    <w:rsid w:val="2D5A4743"/>
    <w:rsid w:val="2D6C2100"/>
    <w:rsid w:val="2D762BBA"/>
    <w:rsid w:val="2D944CD1"/>
    <w:rsid w:val="2DBB723B"/>
    <w:rsid w:val="2DC37DF1"/>
    <w:rsid w:val="2DCE0619"/>
    <w:rsid w:val="2DD35AE8"/>
    <w:rsid w:val="2DD97BC5"/>
    <w:rsid w:val="2DE463B0"/>
    <w:rsid w:val="2DE6399F"/>
    <w:rsid w:val="2DE64BF5"/>
    <w:rsid w:val="2DE84AF7"/>
    <w:rsid w:val="2E0D173F"/>
    <w:rsid w:val="2E307DB7"/>
    <w:rsid w:val="2E3E5270"/>
    <w:rsid w:val="2E4B1814"/>
    <w:rsid w:val="2E6011D7"/>
    <w:rsid w:val="2E727E5A"/>
    <w:rsid w:val="2E8250B1"/>
    <w:rsid w:val="2E8928E3"/>
    <w:rsid w:val="2E961606"/>
    <w:rsid w:val="2EC54F0E"/>
    <w:rsid w:val="2EC90F31"/>
    <w:rsid w:val="2EFE7D6E"/>
    <w:rsid w:val="2EFF4953"/>
    <w:rsid w:val="2F1F0B51"/>
    <w:rsid w:val="2F4B7B98"/>
    <w:rsid w:val="2F984ABB"/>
    <w:rsid w:val="2FA015C3"/>
    <w:rsid w:val="2FDB716E"/>
    <w:rsid w:val="2FE34275"/>
    <w:rsid w:val="30052AD8"/>
    <w:rsid w:val="30201025"/>
    <w:rsid w:val="30561692"/>
    <w:rsid w:val="30586CDF"/>
    <w:rsid w:val="30600479"/>
    <w:rsid w:val="309722D7"/>
    <w:rsid w:val="309E4373"/>
    <w:rsid w:val="30AA13BF"/>
    <w:rsid w:val="30AA79E3"/>
    <w:rsid w:val="30B40AB8"/>
    <w:rsid w:val="30CC2BB8"/>
    <w:rsid w:val="30DF6CA0"/>
    <w:rsid w:val="30ED32FC"/>
    <w:rsid w:val="310A08C8"/>
    <w:rsid w:val="310F192C"/>
    <w:rsid w:val="311554EE"/>
    <w:rsid w:val="31195802"/>
    <w:rsid w:val="31321010"/>
    <w:rsid w:val="313533BC"/>
    <w:rsid w:val="313E4759"/>
    <w:rsid w:val="313F54DB"/>
    <w:rsid w:val="314B1C9B"/>
    <w:rsid w:val="314D7BF8"/>
    <w:rsid w:val="31612184"/>
    <w:rsid w:val="31692558"/>
    <w:rsid w:val="31796C3F"/>
    <w:rsid w:val="317D0C73"/>
    <w:rsid w:val="31926D16"/>
    <w:rsid w:val="3194218A"/>
    <w:rsid w:val="31B444D7"/>
    <w:rsid w:val="31C342A2"/>
    <w:rsid w:val="31F83438"/>
    <w:rsid w:val="31FC5556"/>
    <w:rsid w:val="32170FF5"/>
    <w:rsid w:val="32286B1B"/>
    <w:rsid w:val="32356B5E"/>
    <w:rsid w:val="324E226E"/>
    <w:rsid w:val="325356E2"/>
    <w:rsid w:val="32C1086E"/>
    <w:rsid w:val="32D4454C"/>
    <w:rsid w:val="32F341BB"/>
    <w:rsid w:val="32F54E61"/>
    <w:rsid w:val="32FF35F9"/>
    <w:rsid w:val="330001A2"/>
    <w:rsid w:val="33044C2E"/>
    <w:rsid w:val="332A6927"/>
    <w:rsid w:val="332E6808"/>
    <w:rsid w:val="33386686"/>
    <w:rsid w:val="33434A04"/>
    <w:rsid w:val="334713E7"/>
    <w:rsid w:val="335C0F0C"/>
    <w:rsid w:val="33631954"/>
    <w:rsid w:val="3363480C"/>
    <w:rsid w:val="338257CE"/>
    <w:rsid w:val="33B10912"/>
    <w:rsid w:val="33CB12A8"/>
    <w:rsid w:val="33D45A74"/>
    <w:rsid w:val="33EA4F8B"/>
    <w:rsid w:val="34027E2D"/>
    <w:rsid w:val="34112A47"/>
    <w:rsid w:val="34125129"/>
    <w:rsid w:val="341A1198"/>
    <w:rsid w:val="341E587B"/>
    <w:rsid w:val="343717A5"/>
    <w:rsid w:val="344A5CAF"/>
    <w:rsid w:val="345E1EFF"/>
    <w:rsid w:val="345E211C"/>
    <w:rsid w:val="34627E84"/>
    <w:rsid w:val="346907A6"/>
    <w:rsid w:val="346C4843"/>
    <w:rsid w:val="34761B3D"/>
    <w:rsid w:val="347C6980"/>
    <w:rsid w:val="34861646"/>
    <w:rsid w:val="34B01683"/>
    <w:rsid w:val="34B7692C"/>
    <w:rsid w:val="34C226AB"/>
    <w:rsid w:val="34E00D83"/>
    <w:rsid w:val="34ED2EF3"/>
    <w:rsid w:val="34FB6280"/>
    <w:rsid w:val="35152498"/>
    <w:rsid w:val="351737E1"/>
    <w:rsid w:val="35184C6D"/>
    <w:rsid w:val="351C016C"/>
    <w:rsid w:val="351C625F"/>
    <w:rsid w:val="351F0B3B"/>
    <w:rsid w:val="353D1B92"/>
    <w:rsid w:val="355754E9"/>
    <w:rsid w:val="356946DE"/>
    <w:rsid w:val="356A2C20"/>
    <w:rsid w:val="35773F4E"/>
    <w:rsid w:val="357F234A"/>
    <w:rsid w:val="35847960"/>
    <w:rsid w:val="358B1967"/>
    <w:rsid w:val="35906410"/>
    <w:rsid w:val="35941EE7"/>
    <w:rsid w:val="35A61FCC"/>
    <w:rsid w:val="35BE61A8"/>
    <w:rsid w:val="35D903FF"/>
    <w:rsid w:val="35DB2555"/>
    <w:rsid w:val="35E1119D"/>
    <w:rsid w:val="35ED19A9"/>
    <w:rsid w:val="35EF609A"/>
    <w:rsid w:val="35F55D16"/>
    <w:rsid w:val="35FF1F8E"/>
    <w:rsid w:val="360B1967"/>
    <w:rsid w:val="360E3D96"/>
    <w:rsid w:val="36144F46"/>
    <w:rsid w:val="36347C65"/>
    <w:rsid w:val="363506B5"/>
    <w:rsid w:val="36405F7D"/>
    <w:rsid w:val="36475791"/>
    <w:rsid w:val="366F28DB"/>
    <w:rsid w:val="368178C2"/>
    <w:rsid w:val="36897EB8"/>
    <w:rsid w:val="369116D0"/>
    <w:rsid w:val="369301F2"/>
    <w:rsid w:val="369B35A4"/>
    <w:rsid w:val="369F5F8F"/>
    <w:rsid w:val="36A1205A"/>
    <w:rsid w:val="36A46172"/>
    <w:rsid w:val="36B349A1"/>
    <w:rsid w:val="36B9188B"/>
    <w:rsid w:val="36CD7058"/>
    <w:rsid w:val="36D22E56"/>
    <w:rsid w:val="36D90673"/>
    <w:rsid w:val="36FA437E"/>
    <w:rsid w:val="370666E5"/>
    <w:rsid w:val="371640D0"/>
    <w:rsid w:val="37211C00"/>
    <w:rsid w:val="373511EA"/>
    <w:rsid w:val="373F25CC"/>
    <w:rsid w:val="37411FAD"/>
    <w:rsid w:val="3745767C"/>
    <w:rsid w:val="374E3698"/>
    <w:rsid w:val="375111F8"/>
    <w:rsid w:val="37785578"/>
    <w:rsid w:val="377E35EE"/>
    <w:rsid w:val="379501B2"/>
    <w:rsid w:val="379540A7"/>
    <w:rsid w:val="37AB75F3"/>
    <w:rsid w:val="37C37A26"/>
    <w:rsid w:val="37DD61FF"/>
    <w:rsid w:val="3818637F"/>
    <w:rsid w:val="38207E14"/>
    <w:rsid w:val="382507E6"/>
    <w:rsid w:val="382B67B9"/>
    <w:rsid w:val="3834566E"/>
    <w:rsid w:val="383A3644"/>
    <w:rsid w:val="383E3230"/>
    <w:rsid w:val="384F6697"/>
    <w:rsid w:val="385F1A9D"/>
    <w:rsid w:val="38657F1D"/>
    <w:rsid w:val="38767A34"/>
    <w:rsid w:val="3883540B"/>
    <w:rsid w:val="38910707"/>
    <w:rsid w:val="38934A8A"/>
    <w:rsid w:val="389712F2"/>
    <w:rsid w:val="389E0B7E"/>
    <w:rsid w:val="38B42B1B"/>
    <w:rsid w:val="38DD3307"/>
    <w:rsid w:val="38EC0F5C"/>
    <w:rsid w:val="38F023FD"/>
    <w:rsid w:val="38F92413"/>
    <w:rsid w:val="390366E6"/>
    <w:rsid w:val="390447E4"/>
    <w:rsid w:val="390F1C92"/>
    <w:rsid w:val="39293DB0"/>
    <w:rsid w:val="3932357B"/>
    <w:rsid w:val="393542AD"/>
    <w:rsid w:val="394B0CF0"/>
    <w:rsid w:val="396E7062"/>
    <w:rsid w:val="39764653"/>
    <w:rsid w:val="398630C2"/>
    <w:rsid w:val="39945775"/>
    <w:rsid w:val="399D7242"/>
    <w:rsid w:val="39A03524"/>
    <w:rsid w:val="39B13AE1"/>
    <w:rsid w:val="39DD2465"/>
    <w:rsid w:val="39E901AB"/>
    <w:rsid w:val="39EB6200"/>
    <w:rsid w:val="39F36619"/>
    <w:rsid w:val="39FC2F9F"/>
    <w:rsid w:val="3A080B60"/>
    <w:rsid w:val="3A5503F1"/>
    <w:rsid w:val="3A5E6443"/>
    <w:rsid w:val="3A63048C"/>
    <w:rsid w:val="3A6E01EF"/>
    <w:rsid w:val="3A7206CF"/>
    <w:rsid w:val="3A8D3267"/>
    <w:rsid w:val="3A9A5F88"/>
    <w:rsid w:val="3A9B3EA5"/>
    <w:rsid w:val="3A9E0B45"/>
    <w:rsid w:val="3AB86041"/>
    <w:rsid w:val="3AD30754"/>
    <w:rsid w:val="3AD31A4B"/>
    <w:rsid w:val="3AD63FAA"/>
    <w:rsid w:val="3AD82BC6"/>
    <w:rsid w:val="3AFE2C6B"/>
    <w:rsid w:val="3B1866F7"/>
    <w:rsid w:val="3B376687"/>
    <w:rsid w:val="3B3E6939"/>
    <w:rsid w:val="3B3F7FDD"/>
    <w:rsid w:val="3B4A1AE9"/>
    <w:rsid w:val="3B4F12B2"/>
    <w:rsid w:val="3B5B6D00"/>
    <w:rsid w:val="3B6343C3"/>
    <w:rsid w:val="3B730A2C"/>
    <w:rsid w:val="3B732300"/>
    <w:rsid w:val="3BAE5839"/>
    <w:rsid w:val="3BC73BD4"/>
    <w:rsid w:val="3BD52EB9"/>
    <w:rsid w:val="3BDB763B"/>
    <w:rsid w:val="3BFB5246"/>
    <w:rsid w:val="3C0A04BB"/>
    <w:rsid w:val="3C0E69E9"/>
    <w:rsid w:val="3C125F73"/>
    <w:rsid w:val="3C1A101E"/>
    <w:rsid w:val="3C1F45B2"/>
    <w:rsid w:val="3C3360EC"/>
    <w:rsid w:val="3C3643F9"/>
    <w:rsid w:val="3C452831"/>
    <w:rsid w:val="3C5D17C0"/>
    <w:rsid w:val="3C5D5748"/>
    <w:rsid w:val="3C7057AE"/>
    <w:rsid w:val="3C7265BA"/>
    <w:rsid w:val="3C9C7362"/>
    <w:rsid w:val="3CA53C3A"/>
    <w:rsid w:val="3CA74A0B"/>
    <w:rsid w:val="3CA97F92"/>
    <w:rsid w:val="3CC1259B"/>
    <w:rsid w:val="3CEA1C78"/>
    <w:rsid w:val="3CF0119C"/>
    <w:rsid w:val="3CFE2FEB"/>
    <w:rsid w:val="3D1D0DC6"/>
    <w:rsid w:val="3D37642D"/>
    <w:rsid w:val="3D453E79"/>
    <w:rsid w:val="3D4B442E"/>
    <w:rsid w:val="3D672756"/>
    <w:rsid w:val="3D687B67"/>
    <w:rsid w:val="3D6D69CE"/>
    <w:rsid w:val="3D8D5B29"/>
    <w:rsid w:val="3D945377"/>
    <w:rsid w:val="3DB13B3B"/>
    <w:rsid w:val="3DC065C6"/>
    <w:rsid w:val="3DC079A3"/>
    <w:rsid w:val="3DC54FBA"/>
    <w:rsid w:val="3DC70F93"/>
    <w:rsid w:val="3DD0505D"/>
    <w:rsid w:val="3DDC0B07"/>
    <w:rsid w:val="3DDD5F6E"/>
    <w:rsid w:val="3DE713D4"/>
    <w:rsid w:val="3DEC38A8"/>
    <w:rsid w:val="3E0169BD"/>
    <w:rsid w:val="3E153786"/>
    <w:rsid w:val="3E301DCE"/>
    <w:rsid w:val="3E3D3FF6"/>
    <w:rsid w:val="3E526AD0"/>
    <w:rsid w:val="3E5700F6"/>
    <w:rsid w:val="3E5D317C"/>
    <w:rsid w:val="3E7B17BF"/>
    <w:rsid w:val="3EB05C6A"/>
    <w:rsid w:val="3EB721C8"/>
    <w:rsid w:val="3EC24055"/>
    <w:rsid w:val="3EC60FE9"/>
    <w:rsid w:val="3EC7628C"/>
    <w:rsid w:val="3ED16309"/>
    <w:rsid w:val="3EDA411D"/>
    <w:rsid w:val="3EF4037B"/>
    <w:rsid w:val="3EF839DA"/>
    <w:rsid w:val="3F0302EC"/>
    <w:rsid w:val="3F122481"/>
    <w:rsid w:val="3F197280"/>
    <w:rsid w:val="3F2A77CA"/>
    <w:rsid w:val="3F454604"/>
    <w:rsid w:val="3F4B496B"/>
    <w:rsid w:val="3F4B6BB2"/>
    <w:rsid w:val="3F4F5483"/>
    <w:rsid w:val="3F593C0C"/>
    <w:rsid w:val="3F91658F"/>
    <w:rsid w:val="3F9966FE"/>
    <w:rsid w:val="3FA46EF8"/>
    <w:rsid w:val="3FEC6BE3"/>
    <w:rsid w:val="400022D9"/>
    <w:rsid w:val="402203F5"/>
    <w:rsid w:val="402657A8"/>
    <w:rsid w:val="4028158A"/>
    <w:rsid w:val="40442B0E"/>
    <w:rsid w:val="40574F8A"/>
    <w:rsid w:val="405A40DF"/>
    <w:rsid w:val="40610FCA"/>
    <w:rsid w:val="40672358"/>
    <w:rsid w:val="406E1939"/>
    <w:rsid w:val="4071391F"/>
    <w:rsid w:val="40953369"/>
    <w:rsid w:val="409A4580"/>
    <w:rsid w:val="40A2305E"/>
    <w:rsid w:val="40AE5034"/>
    <w:rsid w:val="40B35057"/>
    <w:rsid w:val="40F7683E"/>
    <w:rsid w:val="4105229D"/>
    <w:rsid w:val="412E0396"/>
    <w:rsid w:val="41303C39"/>
    <w:rsid w:val="41364AA2"/>
    <w:rsid w:val="414F74CB"/>
    <w:rsid w:val="415B6654"/>
    <w:rsid w:val="41636FFF"/>
    <w:rsid w:val="41662EBF"/>
    <w:rsid w:val="416745BC"/>
    <w:rsid w:val="417C2EE6"/>
    <w:rsid w:val="41803457"/>
    <w:rsid w:val="41A80755"/>
    <w:rsid w:val="41AC7C60"/>
    <w:rsid w:val="41C46BAD"/>
    <w:rsid w:val="41D12A32"/>
    <w:rsid w:val="41D301C3"/>
    <w:rsid w:val="41D34149"/>
    <w:rsid w:val="41D623AF"/>
    <w:rsid w:val="41F6377C"/>
    <w:rsid w:val="420B66EE"/>
    <w:rsid w:val="422F49B3"/>
    <w:rsid w:val="423767ED"/>
    <w:rsid w:val="425213C3"/>
    <w:rsid w:val="425968DE"/>
    <w:rsid w:val="426E68C9"/>
    <w:rsid w:val="42802614"/>
    <w:rsid w:val="42B01704"/>
    <w:rsid w:val="42B9333F"/>
    <w:rsid w:val="42CA3C47"/>
    <w:rsid w:val="42CC4106"/>
    <w:rsid w:val="42D22B67"/>
    <w:rsid w:val="42DC0E76"/>
    <w:rsid w:val="42E92879"/>
    <w:rsid w:val="42EC69CA"/>
    <w:rsid w:val="42FA277B"/>
    <w:rsid w:val="42FB4A28"/>
    <w:rsid w:val="43170066"/>
    <w:rsid w:val="431F1AE3"/>
    <w:rsid w:val="43325FEA"/>
    <w:rsid w:val="433858A5"/>
    <w:rsid w:val="434626F9"/>
    <w:rsid w:val="43527105"/>
    <w:rsid w:val="436C03B1"/>
    <w:rsid w:val="436D4954"/>
    <w:rsid w:val="438753A5"/>
    <w:rsid w:val="43891048"/>
    <w:rsid w:val="438D0328"/>
    <w:rsid w:val="43920E07"/>
    <w:rsid w:val="43951B04"/>
    <w:rsid w:val="439F33FF"/>
    <w:rsid w:val="43A044FF"/>
    <w:rsid w:val="43A24887"/>
    <w:rsid w:val="43B26B9C"/>
    <w:rsid w:val="43F715ED"/>
    <w:rsid w:val="44000E21"/>
    <w:rsid w:val="44020D16"/>
    <w:rsid w:val="440D15A1"/>
    <w:rsid w:val="44323820"/>
    <w:rsid w:val="444B4C5F"/>
    <w:rsid w:val="445702E4"/>
    <w:rsid w:val="44655A6C"/>
    <w:rsid w:val="4467168F"/>
    <w:rsid w:val="44737AF8"/>
    <w:rsid w:val="44766B6D"/>
    <w:rsid w:val="44864A89"/>
    <w:rsid w:val="448F50C0"/>
    <w:rsid w:val="44983838"/>
    <w:rsid w:val="44984355"/>
    <w:rsid w:val="449A0F4E"/>
    <w:rsid w:val="44A8226D"/>
    <w:rsid w:val="44A8366B"/>
    <w:rsid w:val="44AA08C6"/>
    <w:rsid w:val="44B32010"/>
    <w:rsid w:val="44C91BE7"/>
    <w:rsid w:val="44E677D0"/>
    <w:rsid w:val="44EF4A70"/>
    <w:rsid w:val="452364C9"/>
    <w:rsid w:val="45342FB5"/>
    <w:rsid w:val="454A7F5D"/>
    <w:rsid w:val="454C0370"/>
    <w:rsid w:val="4550153F"/>
    <w:rsid w:val="45631ACD"/>
    <w:rsid w:val="45660998"/>
    <w:rsid w:val="456B28EB"/>
    <w:rsid w:val="458000C7"/>
    <w:rsid w:val="4585213C"/>
    <w:rsid w:val="458B3F95"/>
    <w:rsid w:val="45967A06"/>
    <w:rsid w:val="459B5B99"/>
    <w:rsid w:val="45AA2F38"/>
    <w:rsid w:val="45B63B66"/>
    <w:rsid w:val="45C41CBE"/>
    <w:rsid w:val="45CD0190"/>
    <w:rsid w:val="45CF1BC3"/>
    <w:rsid w:val="4601483F"/>
    <w:rsid w:val="46025A85"/>
    <w:rsid w:val="461A266E"/>
    <w:rsid w:val="463B406B"/>
    <w:rsid w:val="465239D4"/>
    <w:rsid w:val="465530CB"/>
    <w:rsid w:val="46760020"/>
    <w:rsid w:val="46982676"/>
    <w:rsid w:val="46A7659A"/>
    <w:rsid w:val="46AF7138"/>
    <w:rsid w:val="46D66D51"/>
    <w:rsid w:val="46DF280C"/>
    <w:rsid w:val="46FE3A16"/>
    <w:rsid w:val="475E6263"/>
    <w:rsid w:val="47630D4C"/>
    <w:rsid w:val="476A14DB"/>
    <w:rsid w:val="476A5FE9"/>
    <w:rsid w:val="478A52AA"/>
    <w:rsid w:val="4790205D"/>
    <w:rsid w:val="47975C19"/>
    <w:rsid w:val="479804CC"/>
    <w:rsid w:val="47A10846"/>
    <w:rsid w:val="47A735E5"/>
    <w:rsid w:val="47B75E90"/>
    <w:rsid w:val="47BE4F54"/>
    <w:rsid w:val="47CF0F0F"/>
    <w:rsid w:val="48082BD4"/>
    <w:rsid w:val="48294CD4"/>
    <w:rsid w:val="483319A6"/>
    <w:rsid w:val="483413B6"/>
    <w:rsid w:val="48383932"/>
    <w:rsid w:val="48490A61"/>
    <w:rsid w:val="48580F04"/>
    <w:rsid w:val="485A1120"/>
    <w:rsid w:val="487657D6"/>
    <w:rsid w:val="488E4926"/>
    <w:rsid w:val="48D664FA"/>
    <w:rsid w:val="49001E86"/>
    <w:rsid w:val="49081412"/>
    <w:rsid w:val="49184B37"/>
    <w:rsid w:val="492A223F"/>
    <w:rsid w:val="493C6BB3"/>
    <w:rsid w:val="49500C1A"/>
    <w:rsid w:val="495B1646"/>
    <w:rsid w:val="496D50BB"/>
    <w:rsid w:val="49787384"/>
    <w:rsid w:val="49881085"/>
    <w:rsid w:val="4989196F"/>
    <w:rsid w:val="498E1308"/>
    <w:rsid w:val="498E392B"/>
    <w:rsid w:val="49902920"/>
    <w:rsid w:val="49953FD2"/>
    <w:rsid w:val="49A67FEA"/>
    <w:rsid w:val="49B42357"/>
    <w:rsid w:val="49CC282C"/>
    <w:rsid w:val="49D14C7B"/>
    <w:rsid w:val="49DF3484"/>
    <w:rsid w:val="49EE2E55"/>
    <w:rsid w:val="49F033BE"/>
    <w:rsid w:val="49F64E88"/>
    <w:rsid w:val="4A0B5680"/>
    <w:rsid w:val="4A442DE8"/>
    <w:rsid w:val="4A4C3C76"/>
    <w:rsid w:val="4A582F08"/>
    <w:rsid w:val="4A5C19ED"/>
    <w:rsid w:val="4A713EF7"/>
    <w:rsid w:val="4A71669A"/>
    <w:rsid w:val="4A7D2EA4"/>
    <w:rsid w:val="4A8E2CDD"/>
    <w:rsid w:val="4A990DB8"/>
    <w:rsid w:val="4AAD7B65"/>
    <w:rsid w:val="4AB03279"/>
    <w:rsid w:val="4AB30EDE"/>
    <w:rsid w:val="4AB35D91"/>
    <w:rsid w:val="4AD50ED2"/>
    <w:rsid w:val="4AE25FEA"/>
    <w:rsid w:val="4AE87797"/>
    <w:rsid w:val="4B140282"/>
    <w:rsid w:val="4B1B7449"/>
    <w:rsid w:val="4B341F77"/>
    <w:rsid w:val="4B536B77"/>
    <w:rsid w:val="4B5A6F67"/>
    <w:rsid w:val="4B7B039D"/>
    <w:rsid w:val="4B7D0C82"/>
    <w:rsid w:val="4B7D207A"/>
    <w:rsid w:val="4B875EB6"/>
    <w:rsid w:val="4B8D42B7"/>
    <w:rsid w:val="4BAC5677"/>
    <w:rsid w:val="4BBC3115"/>
    <w:rsid w:val="4BD4666D"/>
    <w:rsid w:val="4BD71FC2"/>
    <w:rsid w:val="4BE34F89"/>
    <w:rsid w:val="4C3D761E"/>
    <w:rsid w:val="4C3F21A1"/>
    <w:rsid w:val="4C473333"/>
    <w:rsid w:val="4C657AAE"/>
    <w:rsid w:val="4C7D1FFD"/>
    <w:rsid w:val="4C7D64B1"/>
    <w:rsid w:val="4C8A275C"/>
    <w:rsid w:val="4C8C446E"/>
    <w:rsid w:val="4CCF19B1"/>
    <w:rsid w:val="4CCF4510"/>
    <w:rsid w:val="4CD86AB8"/>
    <w:rsid w:val="4CF316EE"/>
    <w:rsid w:val="4CF5763E"/>
    <w:rsid w:val="4D1400D2"/>
    <w:rsid w:val="4D1E7969"/>
    <w:rsid w:val="4D2A0882"/>
    <w:rsid w:val="4D3F7CBF"/>
    <w:rsid w:val="4D55429F"/>
    <w:rsid w:val="4D64659D"/>
    <w:rsid w:val="4D6D4C62"/>
    <w:rsid w:val="4D7F6F33"/>
    <w:rsid w:val="4DA65831"/>
    <w:rsid w:val="4DA93FB0"/>
    <w:rsid w:val="4DBD3383"/>
    <w:rsid w:val="4DC46301"/>
    <w:rsid w:val="4DCD6596"/>
    <w:rsid w:val="4DF711BF"/>
    <w:rsid w:val="4DF71CA3"/>
    <w:rsid w:val="4DF807D9"/>
    <w:rsid w:val="4DFE3CC8"/>
    <w:rsid w:val="4DFE681B"/>
    <w:rsid w:val="4E037B64"/>
    <w:rsid w:val="4E1230AB"/>
    <w:rsid w:val="4E17716C"/>
    <w:rsid w:val="4E200716"/>
    <w:rsid w:val="4E3F7ECE"/>
    <w:rsid w:val="4E4E418E"/>
    <w:rsid w:val="4E5008D0"/>
    <w:rsid w:val="4E785D7B"/>
    <w:rsid w:val="4E8167AD"/>
    <w:rsid w:val="4E8B2268"/>
    <w:rsid w:val="4EA053B3"/>
    <w:rsid w:val="4EA902EC"/>
    <w:rsid w:val="4EAA7DA0"/>
    <w:rsid w:val="4EC310A1"/>
    <w:rsid w:val="4EC97B4E"/>
    <w:rsid w:val="4ECF3EC9"/>
    <w:rsid w:val="4ED17C62"/>
    <w:rsid w:val="4EE058CB"/>
    <w:rsid w:val="4EF30992"/>
    <w:rsid w:val="4EFB4CDF"/>
    <w:rsid w:val="4EFF706A"/>
    <w:rsid w:val="4F0A7123"/>
    <w:rsid w:val="4F2A3762"/>
    <w:rsid w:val="4F2B4700"/>
    <w:rsid w:val="4F2E0DB1"/>
    <w:rsid w:val="4F2E3E2A"/>
    <w:rsid w:val="4F365D17"/>
    <w:rsid w:val="4F5A7C58"/>
    <w:rsid w:val="4F710AFD"/>
    <w:rsid w:val="4F7F2F0C"/>
    <w:rsid w:val="4F802128"/>
    <w:rsid w:val="4F9042E4"/>
    <w:rsid w:val="4FBF6DE2"/>
    <w:rsid w:val="4FD41C1D"/>
    <w:rsid w:val="4FD64C5B"/>
    <w:rsid w:val="4FE0641D"/>
    <w:rsid w:val="4FE30C63"/>
    <w:rsid w:val="4FED2322"/>
    <w:rsid w:val="4FED4628"/>
    <w:rsid w:val="4FFD53C6"/>
    <w:rsid w:val="501040B3"/>
    <w:rsid w:val="50113FD1"/>
    <w:rsid w:val="501A73E7"/>
    <w:rsid w:val="50321789"/>
    <w:rsid w:val="50353485"/>
    <w:rsid w:val="503D1B16"/>
    <w:rsid w:val="50456141"/>
    <w:rsid w:val="50493828"/>
    <w:rsid w:val="508E47DC"/>
    <w:rsid w:val="50A81D9E"/>
    <w:rsid w:val="50A849F3"/>
    <w:rsid w:val="50AE3F83"/>
    <w:rsid w:val="50BB4726"/>
    <w:rsid w:val="50CF7A4B"/>
    <w:rsid w:val="50DE2E0E"/>
    <w:rsid w:val="50E772C9"/>
    <w:rsid w:val="50E92709"/>
    <w:rsid w:val="51354115"/>
    <w:rsid w:val="5137564E"/>
    <w:rsid w:val="513B5867"/>
    <w:rsid w:val="514E0A72"/>
    <w:rsid w:val="51521A69"/>
    <w:rsid w:val="51576FE4"/>
    <w:rsid w:val="51915487"/>
    <w:rsid w:val="519F488C"/>
    <w:rsid w:val="51B03B5F"/>
    <w:rsid w:val="51C5493F"/>
    <w:rsid w:val="51C94C21"/>
    <w:rsid w:val="520713EF"/>
    <w:rsid w:val="520923F4"/>
    <w:rsid w:val="520E2F00"/>
    <w:rsid w:val="5222282D"/>
    <w:rsid w:val="52302A27"/>
    <w:rsid w:val="52450012"/>
    <w:rsid w:val="5253098E"/>
    <w:rsid w:val="52547F54"/>
    <w:rsid w:val="52753496"/>
    <w:rsid w:val="527F07B8"/>
    <w:rsid w:val="528033A6"/>
    <w:rsid w:val="5291537E"/>
    <w:rsid w:val="529320FE"/>
    <w:rsid w:val="52992845"/>
    <w:rsid w:val="529A6D62"/>
    <w:rsid w:val="529D4EC7"/>
    <w:rsid w:val="529E7DC9"/>
    <w:rsid w:val="52A1157D"/>
    <w:rsid w:val="52B940B1"/>
    <w:rsid w:val="52FE4D9E"/>
    <w:rsid w:val="530B2D71"/>
    <w:rsid w:val="530F6FAB"/>
    <w:rsid w:val="53117559"/>
    <w:rsid w:val="532452B2"/>
    <w:rsid w:val="532F31A9"/>
    <w:rsid w:val="533237C4"/>
    <w:rsid w:val="53331AF6"/>
    <w:rsid w:val="53403A04"/>
    <w:rsid w:val="53513120"/>
    <w:rsid w:val="535B4CF0"/>
    <w:rsid w:val="53693CDD"/>
    <w:rsid w:val="538006C3"/>
    <w:rsid w:val="539574B0"/>
    <w:rsid w:val="539C576C"/>
    <w:rsid w:val="53BA08AE"/>
    <w:rsid w:val="53BC278B"/>
    <w:rsid w:val="53D53162"/>
    <w:rsid w:val="53DF24DA"/>
    <w:rsid w:val="53F938E0"/>
    <w:rsid w:val="53FA59B7"/>
    <w:rsid w:val="5400093A"/>
    <w:rsid w:val="541A1B62"/>
    <w:rsid w:val="54210D44"/>
    <w:rsid w:val="543B6670"/>
    <w:rsid w:val="543E150A"/>
    <w:rsid w:val="545A24A8"/>
    <w:rsid w:val="54760CFA"/>
    <w:rsid w:val="547747B8"/>
    <w:rsid w:val="547F24EC"/>
    <w:rsid w:val="549403B5"/>
    <w:rsid w:val="54B35714"/>
    <w:rsid w:val="54B972CF"/>
    <w:rsid w:val="54C3004D"/>
    <w:rsid w:val="54CD2C7A"/>
    <w:rsid w:val="54DE554B"/>
    <w:rsid w:val="54E164AC"/>
    <w:rsid w:val="54E57B65"/>
    <w:rsid w:val="54F759FC"/>
    <w:rsid w:val="550348EE"/>
    <w:rsid w:val="55115528"/>
    <w:rsid w:val="551B6B41"/>
    <w:rsid w:val="55230827"/>
    <w:rsid w:val="55376345"/>
    <w:rsid w:val="55411377"/>
    <w:rsid w:val="558477DD"/>
    <w:rsid w:val="55992746"/>
    <w:rsid w:val="55A15285"/>
    <w:rsid w:val="55A96275"/>
    <w:rsid w:val="55AE7D4E"/>
    <w:rsid w:val="55B87486"/>
    <w:rsid w:val="55C9649C"/>
    <w:rsid w:val="55DA41BD"/>
    <w:rsid w:val="55DD766C"/>
    <w:rsid w:val="55EE0C0B"/>
    <w:rsid w:val="56063D5E"/>
    <w:rsid w:val="56177A73"/>
    <w:rsid w:val="5625421C"/>
    <w:rsid w:val="56290384"/>
    <w:rsid w:val="564306A0"/>
    <w:rsid w:val="564E3912"/>
    <w:rsid w:val="56530F5D"/>
    <w:rsid w:val="56546941"/>
    <w:rsid w:val="565B2641"/>
    <w:rsid w:val="566C201F"/>
    <w:rsid w:val="567F3662"/>
    <w:rsid w:val="569B59A6"/>
    <w:rsid w:val="56A30136"/>
    <w:rsid w:val="56BA15D9"/>
    <w:rsid w:val="56C8194B"/>
    <w:rsid w:val="56F65BBA"/>
    <w:rsid w:val="57132F95"/>
    <w:rsid w:val="572664EB"/>
    <w:rsid w:val="572D4E3F"/>
    <w:rsid w:val="572D56F6"/>
    <w:rsid w:val="5732287F"/>
    <w:rsid w:val="57326ADE"/>
    <w:rsid w:val="573C5E95"/>
    <w:rsid w:val="574A2E0C"/>
    <w:rsid w:val="57606393"/>
    <w:rsid w:val="57733E7E"/>
    <w:rsid w:val="57746AA3"/>
    <w:rsid w:val="577E64AD"/>
    <w:rsid w:val="57894A0E"/>
    <w:rsid w:val="57C02302"/>
    <w:rsid w:val="57C63600"/>
    <w:rsid w:val="57D91936"/>
    <w:rsid w:val="57DA7B88"/>
    <w:rsid w:val="57E8417C"/>
    <w:rsid w:val="5812180A"/>
    <w:rsid w:val="5814296E"/>
    <w:rsid w:val="581D479D"/>
    <w:rsid w:val="583059FA"/>
    <w:rsid w:val="58315DB1"/>
    <w:rsid w:val="58430210"/>
    <w:rsid w:val="585838C1"/>
    <w:rsid w:val="58606A21"/>
    <w:rsid w:val="5863214C"/>
    <w:rsid w:val="58717162"/>
    <w:rsid w:val="58857496"/>
    <w:rsid w:val="589A7317"/>
    <w:rsid w:val="58B96227"/>
    <w:rsid w:val="58ED44C3"/>
    <w:rsid w:val="58F307D5"/>
    <w:rsid w:val="59647B33"/>
    <w:rsid w:val="596C14D3"/>
    <w:rsid w:val="596C7E01"/>
    <w:rsid w:val="597F1615"/>
    <w:rsid w:val="59801346"/>
    <w:rsid w:val="598B0635"/>
    <w:rsid w:val="59A47948"/>
    <w:rsid w:val="59AF7FC1"/>
    <w:rsid w:val="59C77E08"/>
    <w:rsid w:val="59DC43D8"/>
    <w:rsid w:val="59F91E1B"/>
    <w:rsid w:val="5A270225"/>
    <w:rsid w:val="5A400973"/>
    <w:rsid w:val="5A4B3A12"/>
    <w:rsid w:val="5A737DB0"/>
    <w:rsid w:val="5A7747D4"/>
    <w:rsid w:val="5A7C4202"/>
    <w:rsid w:val="5A7F451A"/>
    <w:rsid w:val="5AA549B2"/>
    <w:rsid w:val="5AAE3BCD"/>
    <w:rsid w:val="5ADC7386"/>
    <w:rsid w:val="5AF17297"/>
    <w:rsid w:val="5B0608E3"/>
    <w:rsid w:val="5B3461B1"/>
    <w:rsid w:val="5B5104F9"/>
    <w:rsid w:val="5B527A35"/>
    <w:rsid w:val="5B5D0855"/>
    <w:rsid w:val="5B654DE1"/>
    <w:rsid w:val="5B736D19"/>
    <w:rsid w:val="5B741EE3"/>
    <w:rsid w:val="5B7B407E"/>
    <w:rsid w:val="5B817F90"/>
    <w:rsid w:val="5BAC4E3A"/>
    <w:rsid w:val="5BB22BCA"/>
    <w:rsid w:val="5BBD471D"/>
    <w:rsid w:val="5BC87CA3"/>
    <w:rsid w:val="5C012B8C"/>
    <w:rsid w:val="5C362AF4"/>
    <w:rsid w:val="5C3D6C81"/>
    <w:rsid w:val="5C3E4720"/>
    <w:rsid w:val="5C526BB4"/>
    <w:rsid w:val="5C5D48E3"/>
    <w:rsid w:val="5C615D0C"/>
    <w:rsid w:val="5C694A3B"/>
    <w:rsid w:val="5C9B09C7"/>
    <w:rsid w:val="5CC85BD5"/>
    <w:rsid w:val="5CD851F3"/>
    <w:rsid w:val="5CDC5954"/>
    <w:rsid w:val="5CE018DD"/>
    <w:rsid w:val="5CE648D9"/>
    <w:rsid w:val="5D082632"/>
    <w:rsid w:val="5D1B01A7"/>
    <w:rsid w:val="5D327B1E"/>
    <w:rsid w:val="5D5B7D4A"/>
    <w:rsid w:val="5D602734"/>
    <w:rsid w:val="5DA12EF6"/>
    <w:rsid w:val="5DB554E1"/>
    <w:rsid w:val="5DD00333"/>
    <w:rsid w:val="5E026C2D"/>
    <w:rsid w:val="5E074110"/>
    <w:rsid w:val="5E0854EE"/>
    <w:rsid w:val="5E214762"/>
    <w:rsid w:val="5E263CC0"/>
    <w:rsid w:val="5E284390"/>
    <w:rsid w:val="5E6200F2"/>
    <w:rsid w:val="5E7D301B"/>
    <w:rsid w:val="5E8E1E7B"/>
    <w:rsid w:val="5E933865"/>
    <w:rsid w:val="5E9D308B"/>
    <w:rsid w:val="5EB1181D"/>
    <w:rsid w:val="5EBC03E1"/>
    <w:rsid w:val="5EC33BF1"/>
    <w:rsid w:val="5EC52109"/>
    <w:rsid w:val="5EDC6635"/>
    <w:rsid w:val="5EDF242A"/>
    <w:rsid w:val="5EDF7832"/>
    <w:rsid w:val="5EEC4CC9"/>
    <w:rsid w:val="5EF03EB9"/>
    <w:rsid w:val="5EF85E29"/>
    <w:rsid w:val="5EFC424F"/>
    <w:rsid w:val="5F21609C"/>
    <w:rsid w:val="5F387DD8"/>
    <w:rsid w:val="5F5C6417"/>
    <w:rsid w:val="5F610F9A"/>
    <w:rsid w:val="5F6601DC"/>
    <w:rsid w:val="5F665EC3"/>
    <w:rsid w:val="5F69434A"/>
    <w:rsid w:val="5F700DD2"/>
    <w:rsid w:val="5F712D16"/>
    <w:rsid w:val="5F925D02"/>
    <w:rsid w:val="5FA6205D"/>
    <w:rsid w:val="5FBD7E8C"/>
    <w:rsid w:val="5FC72CEE"/>
    <w:rsid w:val="5FE17054"/>
    <w:rsid w:val="5FF04AF3"/>
    <w:rsid w:val="60234096"/>
    <w:rsid w:val="60285208"/>
    <w:rsid w:val="602B5EDC"/>
    <w:rsid w:val="602C20DD"/>
    <w:rsid w:val="60433DF0"/>
    <w:rsid w:val="60442474"/>
    <w:rsid w:val="60452D1D"/>
    <w:rsid w:val="6075462D"/>
    <w:rsid w:val="6082700E"/>
    <w:rsid w:val="60830691"/>
    <w:rsid w:val="60B12374"/>
    <w:rsid w:val="60B12B22"/>
    <w:rsid w:val="60C70A54"/>
    <w:rsid w:val="60CB5CDD"/>
    <w:rsid w:val="60D45B6B"/>
    <w:rsid w:val="61073070"/>
    <w:rsid w:val="61177267"/>
    <w:rsid w:val="611C7D9F"/>
    <w:rsid w:val="6135490B"/>
    <w:rsid w:val="613B0F6B"/>
    <w:rsid w:val="613F6452"/>
    <w:rsid w:val="61623A9A"/>
    <w:rsid w:val="617519E8"/>
    <w:rsid w:val="618A7FBC"/>
    <w:rsid w:val="619D7EDB"/>
    <w:rsid w:val="61B42655"/>
    <w:rsid w:val="61C55F03"/>
    <w:rsid w:val="61EB04E9"/>
    <w:rsid w:val="62296F68"/>
    <w:rsid w:val="622F4266"/>
    <w:rsid w:val="623A6737"/>
    <w:rsid w:val="62462A72"/>
    <w:rsid w:val="6259166C"/>
    <w:rsid w:val="62846CDE"/>
    <w:rsid w:val="6299419B"/>
    <w:rsid w:val="629F40C2"/>
    <w:rsid w:val="62A42D3A"/>
    <w:rsid w:val="62AC3ECF"/>
    <w:rsid w:val="62B95A2A"/>
    <w:rsid w:val="62DE6052"/>
    <w:rsid w:val="62EA6460"/>
    <w:rsid w:val="63030F14"/>
    <w:rsid w:val="634B5349"/>
    <w:rsid w:val="634C56B2"/>
    <w:rsid w:val="634C71AA"/>
    <w:rsid w:val="63607EDD"/>
    <w:rsid w:val="63725792"/>
    <w:rsid w:val="637C0957"/>
    <w:rsid w:val="63806113"/>
    <w:rsid w:val="63942F1D"/>
    <w:rsid w:val="63D26110"/>
    <w:rsid w:val="63D57637"/>
    <w:rsid w:val="63E477B4"/>
    <w:rsid w:val="63ED6827"/>
    <w:rsid w:val="640E2967"/>
    <w:rsid w:val="64124205"/>
    <w:rsid w:val="64300B2F"/>
    <w:rsid w:val="6453132F"/>
    <w:rsid w:val="64546739"/>
    <w:rsid w:val="645965B8"/>
    <w:rsid w:val="6470710A"/>
    <w:rsid w:val="649B6252"/>
    <w:rsid w:val="64A036C7"/>
    <w:rsid w:val="64A5586D"/>
    <w:rsid w:val="64C22BED"/>
    <w:rsid w:val="64D82908"/>
    <w:rsid w:val="64D91523"/>
    <w:rsid w:val="64DB2E27"/>
    <w:rsid w:val="64DB381E"/>
    <w:rsid w:val="64EC5F80"/>
    <w:rsid w:val="65244480"/>
    <w:rsid w:val="652C4B6D"/>
    <w:rsid w:val="65313EA1"/>
    <w:rsid w:val="654A64C0"/>
    <w:rsid w:val="654B1ECF"/>
    <w:rsid w:val="65585BAA"/>
    <w:rsid w:val="65622439"/>
    <w:rsid w:val="656E52FB"/>
    <w:rsid w:val="658D680B"/>
    <w:rsid w:val="659D4F99"/>
    <w:rsid w:val="65A12770"/>
    <w:rsid w:val="65FC33BF"/>
    <w:rsid w:val="66035B03"/>
    <w:rsid w:val="660B3602"/>
    <w:rsid w:val="661462F7"/>
    <w:rsid w:val="66150AEC"/>
    <w:rsid w:val="661701F9"/>
    <w:rsid w:val="662A132F"/>
    <w:rsid w:val="66495ED8"/>
    <w:rsid w:val="66501015"/>
    <w:rsid w:val="6650158D"/>
    <w:rsid w:val="665A22F4"/>
    <w:rsid w:val="666A0329"/>
    <w:rsid w:val="666B7416"/>
    <w:rsid w:val="66707909"/>
    <w:rsid w:val="6672542F"/>
    <w:rsid w:val="667C4500"/>
    <w:rsid w:val="66811B16"/>
    <w:rsid w:val="66876490"/>
    <w:rsid w:val="668B5CC3"/>
    <w:rsid w:val="66901A75"/>
    <w:rsid w:val="669A3DF5"/>
    <w:rsid w:val="66B27F22"/>
    <w:rsid w:val="66D238E8"/>
    <w:rsid w:val="66E30E48"/>
    <w:rsid w:val="67010AE3"/>
    <w:rsid w:val="670F1CAF"/>
    <w:rsid w:val="67251571"/>
    <w:rsid w:val="67277FC8"/>
    <w:rsid w:val="67322B5A"/>
    <w:rsid w:val="67555158"/>
    <w:rsid w:val="675608AD"/>
    <w:rsid w:val="6759214B"/>
    <w:rsid w:val="6783286B"/>
    <w:rsid w:val="678A5539"/>
    <w:rsid w:val="6794124F"/>
    <w:rsid w:val="6796339F"/>
    <w:rsid w:val="67A4791B"/>
    <w:rsid w:val="67C373D8"/>
    <w:rsid w:val="67C63C85"/>
    <w:rsid w:val="67DD4F5A"/>
    <w:rsid w:val="67DE5687"/>
    <w:rsid w:val="67EE40CD"/>
    <w:rsid w:val="67F035BE"/>
    <w:rsid w:val="68002120"/>
    <w:rsid w:val="680726BA"/>
    <w:rsid w:val="68075EEC"/>
    <w:rsid w:val="68183231"/>
    <w:rsid w:val="68210EBB"/>
    <w:rsid w:val="68307350"/>
    <w:rsid w:val="687112E4"/>
    <w:rsid w:val="687D53C4"/>
    <w:rsid w:val="68811569"/>
    <w:rsid w:val="688D5AAB"/>
    <w:rsid w:val="689F47D3"/>
    <w:rsid w:val="68B51551"/>
    <w:rsid w:val="68C83A2C"/>
    <w:rsid w:val="68E814B4"/>
    <w:rsid w:val="68F91EAB"/>
    <w:rsid w:val="69121E3A"/>
    <w:rsid w:val="69154D60"/>
    <w:rsid w:val="691F4D9F"/>
    <w:rsid w:val="69206401"/>
    <w:rsid w:val="69310EA3"/>
    <w:rsid w:val="694A6DBA"/>
    <w:rsid w:val="69670B4F"/>
    <w:rsid w:val="69676DA1"/>
    <w:rsid w:val="69723EB6"/>
    <w:rsid w:val="699954C4"/>
    <w:rsid w:val="699D36D6"/>
    <w:rsid w:val="69A7578F"/>
    <w:rsid w:val="69B02560"/>
    <w:rsid w:val="69B779BF"/>
    <w:rsid w:val="69C21B11"/>
    <w:rsid w:val="69CD7FDE"/>
    <w:rsid w:val="69DC6DBD"/>
    <w:rsid w:val="6A07214F"/>
    <w:rsid w:val="6A097C8B"/>
    <w:rsid w:val="6A2E2210"/>
    <w:rsid w:val="6A2F7723"/>
    <w:rsid w:val="6A6674DD"/>
    <w:rsid w:val="6A7E510F"/>
    <w:rsid w:val="6A8B4D12"/>
    <w:rsid w:val="6A9F44B9"/>
    <w:rsid w:val="6ABB21A6"/>
    <w:rsid w:val="6ACE0CEA"/>
    <w:rsid w:val="6ADB2F03"/>
    <w:rsid w:val="6ADB7D06"/>
    <w:rsid w:val="6AE2354A"/>
    <w:rsid w:val="6AEB5722"/>
    <w:rsid w:val="6AF8649D"/>
    <w:rsid w:val="6AFA7A77"/>
    <w:rsid w:val="6AFB24CA"/>
    <w:rsid w:val="6AFF2463"/>
    <w:rsid w:val="6B064398"/>
    <w:rsid w:val="6B0874EA"/>
    <w:rsid w:val="6B1F10AD"/>
    <w:rsid w:val="6B22477C"/>
    <w:rsid w:val="6B320A31"/>
    <w:rsid w:val="6B3555BC"/>
    <w:rsid w:val="6B423B68"/>
    <w:rsid w:val="6B43739A"/>
    <w:rsid w:val="6B491DA4"/>
    <w:rsid w:val="6B594672"/>
    <w:rsid w:val="6B594E10"/>
    <w:rsid w:val="6B5D28FD"/>
    <w:rsid w:val="6B5E4D2E"/>
    <w:rsid w:val="6BB05F5F"/>
    <w:rsid w:val="6BB640C5"/>
    <w:rsid w:val="6BBF2EC5"/>
    <w:rsid w:val="6BD9385B"/>
    <w:rsid w:val="6BE116D3"/>
    <w:rsid w:val="6C032026"/>
    <w:rsid w:val="6C0A5026"/>
    <w:rsid w:val="6C172E65"/>
    <w:rsid w:val="6C2A7865"/>
    <w:rsid w:val="6C382C77"/>
    <w:rsid w:val="6C523F43"/>
    <w:rsid w:val="6C620EF9"/>
    <w:rsid w:val="6C635F46"/>
    <w:rsid w:val="6C6A54FD"/>
    <w:rsid w:val="6C950FE9"/>
    <w:rsid w:val="6CAD26D2"/>
    <w:rsid w:val="6CBD35F3"/>
    <w:rsid w:val="6CC12C6C"/>
    <w:rsid w:val="6CC60283"/>
    <w:rsid w:val="6CF6746A"/>
    <w:rsid w:val="6D127D3D"/>
    <w:rsid w:val="6D1D60F5"/>
    <w:rsid w:val="6D2D03F9"/>
    <w:rsid w:val="6D3F3B91"/>
    <w:rsid w:val="6D655CEE"/>
    <w:rsid w:val="6D9E588E"/>
    <w:rsid w:val="6DA94262"/>
    <w:rsid w:val="6DB70CB4"/>
    <w:rsid w:val="6DE63DAE"/>
    <w:rsid w:val="6DF97515"/>
    <w:rsid w:val="6DFA6436"/>
    <w:rsid w:val="6E094352"/>
    <w:rsid w:val="6E0A2C2C"/>
    <w:rsid w:val="6E135B2D"/>
    <w:rsid w:val="6E3C1122"/>
    <w:rsid w:val="6E511DCE"/>
    <w:rsid w:val="6E5864AC"/>
    <w:rsid w:val="6E6E0BD2"/>
    <w:rsid w:val="6E7579F1"/>
    <w:rsid w:val="6E8E4DD0"/>
    <w:rsid w:val="6E92195E"/>
    <w:rsid w:val="6E9D66DB"/>
    <w:rsid w:val="6EAB13DD"/>
    <w:rsid w:val="6EB97BB5"/>
    <w:rsid w:val="6F19182E"/>
    <w:rsid w:val="6F1E7F02"/>
    <w:rsid w:val="6F3626B6"/>
    <w:rsid w:val="6F3F40AE"/>
    <w:rsid w:val="6F815117"/>
    <w:rsid w:val="6F9603E0"/>
    <w:rsid w:val="6F9A3937"/>
    <w:rsid w:val="6FAD7EFC"/>
    <w:rsid w:val="6FC413E7"/>
    <w:rsid w:val="6FC666A0"/>
    <w:rsid w:val="6FD16974"/>
    <w:rsid w:val="6FF173C5"/>
    <w:rsid w:val="70234308"/>
    <w:rsid w:val="702A2DF0"/>
    <w:rsid w:val="704A4E48"/>
    <w:rsid w:val="708020B9"/>
    <w:rsid w:val="708F3F4F"/>
    <w:rsid w:val="70967F6C"/>
    <w:rsid w:val="709771CD"/>
    <w:rsid w:val="70B269EA"/>
    <w:rsid w:val="70DA275C"/>
    <w:rsid w:val="70ED0603"/>
    <w:rsid w:val="70F40DF1"/>
    <w:rsid w:val="70F84783"/>
    <w:rsid w:val="70FA71EB"/>
    <w:rsid w:val="71105F71"/>
    <w:rsid w:val="71155E1B"/>
    <w:rsid w:val="71180999"/>
    <w:rsid w:val="71393588"/>
    <w:rsid w:val="71431EA2"/>
    <w:rsid w:val="714D6812"/>
    <w:rsid w:val="716C28D0"/>
    <w:rsid w:val="7170308B"/>
    <w:rsid w:val="718E21F2"/>
    <w:rsid w:val="719E503F"/>
    <w:rsid w:val="71A14E1B"/>
    <w:rsid w:val="71A5799C"/>
    <w:rsid w:val="71AC3D91"/>
    <w:rsid w:val="71B67EE4"/>
    <w:rsid w:val="71CC455D"/>
    <w:rsid w:val="71E65261"/>
    <w:rsid w:val="71F96A05"/>
    <w:rsid w:val="71FB0F8C"/>
    <w:rsid w:val="71FF0740"/>
    <w:rsid w:val="71FF0BB1"/>
    <w:rsid w:val="720B1226"/>
    <w:rsid w:val="72271AD1"/>
    <w:rsid w:val="7238693B"/>
    <w:rsid w:val="723D27EE"/>
    <w:rsid w:val="72563C24"/>
    <w:rsid w:val="725A3947"/>
    <w:rsid w:val="72856C67"/>
    <w:rsid w:val="72896FE0"/>
    <w:rsid w:val="728E5F19"/>
    <w:rsid w:val="72924162"/>
    <w:rsid w:val="7293150A"/>
    <w:rsid w:val="72936E59"/>
    <w:rsid w:val="72A31F40"/>
    <w:rsid w:val="72C07522"/>
    <w:rsid w:val="72DB607B"/>
    <w:rsid w:val="72F07E08"/>
    <w:rsid w:val="72F36FA5"/>
    <w:rsid w:val="73013FCC"/>
    <w:rsid w:val="73094C52"/>
    <w:rsid w:val="73245D0B"/>
    <w:rsid w:val="732F1389"/>
    <w:rsid w:val="733866F9"/>
    <w:rsid w:val="73547991"/>
    <w:rsid w:val="736938A6"/>
    <w:rsid w:val="736D75D5"/>
    <w:rsid w:val="7379604F"/>
    <w:rsid w:val="73796EEC"/>
    <w:rsid w:val="738E6C88"/>
    <w:rsid w:val="739169F9"/>
    <w:rsid w:val="739D39C9"/>
    <w:rsid w:val="73A52AED"/>
    <w:rsid w:val="73BA21C4"/>
    <w:rsid w:val="73CD33BB"/>
    <w:rsid w:val="73F44C19"/>
    <w:rsid w:val="73F751C6"/>
    <w:rsid w:val="74031DA5"/>
    <w:rsid w:val="740C6947"/>
    <w:rsid w:val="742D4234"/>
    <w:rsid w:val="74326F65"/>
    <w:rsid w:val="743F4CBA"/>
    <w:rsid w:val="74570DEB"/>
    <w:rsid w:val="747F58E7"/>
    <w:rsid w:val="748A000B"/>
    <w:rsid w:val="749330FE"/>
    <w:rsid w:val="74942EB6"/>
    <w:rsid w:val="749E119A"/>
    <w:rsid w:val="74A356E3"/>
    <w:rsid w:val="74D33EF6"/>
    <w:rsid w:val="74D6713B"/>
    <w:rsid w:val="74D81279"/>
    <w:rsid w:val="74DD4D68"/>
    <w:rsid w:val="752A2448"/>
    <w:rsid w:val="753A11C8"/>
    <w:rsid w:val="757356C1"/>
    <w:rsid w:val="75752846"/>
    <w:rsid w:val="7585337A"/>
    <w:rsid w:val="758C45A7"/>
    <w:rsid w:val="75A41F9F"/>
    <w:rsid w:val="75A924F0"/>
    <w:rsid w:val="75B456A9"/>
    <w:rsid w:val="75C404DC"/>
    <w:rsid w:val="75C50AA6"/>
    <w:rsid w:val="75CF09D8"/>
    <w:rsid w:val="75D94171"/>
    <w:rsid w:val="75EA51DF"/>
    <w:rsid w:val="75EB4A8F"/>
    <w:rsid w:val="75F95F98"/>
    <w:rsid w:val="76051776"/>
    <w:rsid w:val="760B6FB5"/>
    <w:rsid w:val="760F67F7"/>
    <w:rsid w:val="765468FF"/>
    <w:rsid w:val="76735C7C"/>
    <w:rsid w:val="769D4442"/>
    <w:rsid w:val="76AF515A"/>
    <w:rsid w:val="76B21A6F"/>
    <w:rsid w:val="76B61F68"/>
    <w:rsid w:val="76CC1292"/>
    <w:rsid w:val="7706409E"/>
    <w:rsid w:val="77210231"/>
    <w:rsid w:val="77255706"/>
    <w:rsid w:val="773D64AD"/>
    <w:rsid w:val="77437CF9"/>
    <w:rsid w:val="775D3592"/>
    <w:rsid w:val="77723A3F"/>
    <w:rsid w:val="777703EE"/>
    <w:rsid w:val="777F79AC"/>
    <w:rsid w:val="778D2698"/>
    <w:rsid w:val="77A33763"/>
    <w:rsid w:val="77AB07A1"/>
    <w:rsid w:val="77B77A99"/>
    <w:rsid w:val="77D01510"/>
    <w:rsid w:val="77E2543A"/>
    <w:rsid w:val="780B1240"/>
    <w:rsid w:val="78203AD8"/>
    <w:rsid w:val="78437924"/>
    <w:rsid w:val="78447F3E"/>
    <w:rsid w:val="78531D63"/>
    <w:rsid w:val="78615D56"/>
    <w:rsid w:val="789045CC"/>
    <w:rsid w:val="789E5895"/>
    <w:rsid w:val="789F7B10"/>
    <w:rsid w:val="78A15077"/>
    <w:rsid w:val="78B54873"/>
    <w:rsid w:val="78C445BB"/>
    <w:rsid w:val="78C83AD2"/>
    <w:rsid w:val="790106AE"/>
    <w:rsid w:val="79200D1B"/>
    <w:rsid w:val="79306213"/>
    <w:rsid w:val="79424A2B"/>
    <w:rsid w:val="79501600"/>
    <w:rsid w:val="79516F63"/>
    <w:rsid w:val="79565544"/>
    <w:rsid w:val="795855B3"/>
    <w:rsid w:val="79614697"/>
    <w:rsid w:val="796660A9"/>
    <w:rsid w:val="796946E1"/>
    <w:rsid w:val="796E1666"/>
    <w:rsid w:val="798A5C60"/>
    <w:rsid w:val="79A07515"/>
    <w:rsid w:val="79A9103A"/>
    <w:rsid w:val="79AB36F9"/>
    <w:rsid w:val="79BA4CCB"/>
    <w:rsid w:val="79C51CFD"/>
    <w:rsid w:val="79DD1D32"/>
    <w:rsid w:val="79EF06E6"/>
    <w:rsid w:val="79F06745"/>
    <w:rsid w:val="79F93A46"/>
    <w:rsid w:val="7A00729F"/>
    <w:rsid w:val="7A402138"/>
    <w:rsid w:val="7A4A4C3A"/>
    <w:rsid w:val="7A4C2D4A"/>
    <w:rsid w:val="7A51551F"/>
    <w:rsid w:val="7A5C78B1"/>
    <w:rsid w:val="7A8B2BEC"/>
    <w:rsid w:val="7AAA2726"/>
    <w:rsid w:val="7AB636E5"/>
    <w:rsid w:val="7AC94B34"/>
    <w:rsid w:val="7ACA5466"/>
    <w:rsid w:val="7AD45C10"/>
    <w:rsid w:val="7AD522D5"/>
    <w:rsid w:val="7AE318EE"/>
    <w:rsid w:val="7B07175A"/>
    <w:rsid w:val="7B0A6A9B"/>
    <w:rsid w:val="7B0D2818"/>
    <w:rsid w:val="7B1228E5"/>
    <w:rsid w:val="7B370754"/>
    <w:rsid w:val="7B373907"/>
    <w:rsid w:val="7B3D676B"/>
    <w:rsid w:val="7B512E8E"/>
    <w:rsid w:val="7B5D35F7"/>
    <w:rsid w:val="7B6E054A"/>
    <w:rsid w:val="7B821819"/>
    <w:rsid w:val="7B92467D"/>
    <w:rsid w:val="7B994E29"/>
    <w:rsid w:val="7B9D745B"/>
    <w:rsid w:val="7BA563C1"/>
    <w:rsid w:val="7BAD3F83"/>
    <w:rsid w:val="7BB12C0A"/>
    <w:rsid w:val="7BC96E50"/>
    <w:rsid w:val="7BD6383B"/>
    <w:rsid w:val="7BDA36FA"/>
    <w:rsid w:val="7C005CAF"/>
    <w:rsid w:val="7C1D1542"/>
    <w:rsid w:val="7C254F1C"/>
    <w:rsid w:val="7C424F97"/>
    <w:rsid w:val="7C425CF3"/>
    <w:rsid w:val="7C4C2BF6"/>
    <w:rsid w:val="7C57415F"/>
    <w:rsid w:val="7C60651C"/>
    <w:rsid w:val="7C640CBC"/>
    <w:rsid w:val="7C71680F"/>
    <w:rsid w:val="7C796B8F"/>
    <w:rsid w:val="7C812178"/>
    <w:rsid w:val="7CA532B1"/>
    <w:rsid w:val="7CAB0750"/>
    <w:rsid w:val="7CB82DCD"/>
    <w:rsid w:val="7CBA4FE2"/>
    <w:rsid w:val="7CBC3199"/>
    <w:rsid w:val="7CD66DE6"/>
    <w:rsid w:val="7CE17085"/>
    <w:rsid w:val="7CE57657"/>
    <w:rsid w:val="7CF404F4"/>
    <w:rsid w:val="7CF624BE"/>
    <w:rsid w:val="7D224E25"/>
    <w:rsid w:val="7D3A42B0"/>
    <w:rsid w:val="7D3F20B7"/>
    <w:rsid w:val="7D6F1CD1"/>
    <w:rsid w:val="7D723F16"/>
    <w:rsid w:val="7D7D5B21"/>
    <w:rsid w:val="7D8E3A4A"/>
    <w:rsid w:val="7D9A2209"/>
    <w:rsid w:val="7DA83E82"/>
    <w:rsid w:val="7DA9460F"/>
    <w:rsid w:val="7DC80B9A"/>
    <w:rsid w:val="7DD47EE4"/>
    <w:rsid w:val="7DE03DE0"/>
    <w:rsid w:val="7DE40569"/>
    <w:rsid w:val="7DE5055D"/>
    <w:rsid w:val="7DE65FBE"/>
    <w:rsid w:val="7DFF6F70"/>
    <w:rsid w:val="7E1A21DD"/>
    <w:rsid w:val="7E2461C2"/>
    <w:rsid w:val="7E252460"/>
    <w:rsid w:val="7E397349"/>
    <w:rsid w:val="7E3B2283"/>
    <w:rsid w:val="7E4E00D8"/>
    <w:rsid w:val="7E8133F5"/>
    <w:rsid w:val="7E826950"/>
    <w:rsid w:val="7E89682B"/>
    <w:rsid w:val="7E8D6E52"/>
    <w:rsid w:val="7E904003"/>
    <w:rsid w:val="7E9064E4"/>
    <w:rsid w:val="7EA66AB7"/>
    <w:rsid w:val="7EB76F44"/>
    <w:rsid w:val="7EBB18A6"/>
    <w:rsid w:val="7EC64112"/>
    <w:rsid w:val="7ED20D09"/>
    <w:rsid w:val="7EDC56E4"/>
    <w:rsid w:val="7EF95DA4"/>
    <w:rsid w:val="7EFF5CB3"/>
    <w:rsid w:val="7F113622"/>
    <w:rsid w:val="7F314CA2"/>
    <w:rsid w:val="7F34107C"/>
    <w:rsid w:val="7F4339B5"/>
    <w:rsid w:val="7F4C1035"/>
    <w:rsid w:val="7F4D4BFE"/>
    <w:rsid w:val="7F7057E9"/>
    <w:rsid w:val="7F7405C7"/>
    <w:rsid w:val="7F7F75D9"/>
    <w:rsid w:val="7F820C5B"/>
    <w:rsid w:val="7F9D45ED"/>
    <w:rsid w:val="7FAF6BB9"/>
    <w:rsid w:val="7FC00B62"/>
    <w:rsid w:val="7FCB21B9"/>
    <w:rsid w:val="7FDF55E5"/>
    <w:rsid w:val="7FFA2F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8"/>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49"/>
    <w:autoRedefine/>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0"/>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1"/>
    <w:autoRedefine/>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qFormat/>
    <w:uiPriority w:val="0"/>
    <w:pPr>
      <w:tabs>
        <w:tab w:val="left" w:pos="1440"/>
      </w:tabs>
      <w:spacing w:before="260" w:after="260" w:line="360" w:lineRule="auto"/>
      <w:outlineLvl w:val="5"/>
    </w:pPr>
    <w:rPr>
      <w:sz w:val="30"/>
      <w:szCs w:val="18"/>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kern w:val="2"/>
      <w:sz w:val="21"/>
      <w:szCs w:val="22"/>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annotation text"/>
    <w:basedOn w:val="1"/>
    <w:link w:val="52"/>
    <w:autoRedefine/>
    <w:qFormat/>
    <w:uiPriority w:val="0"/>
    <w:pPr>
      <w:jc w:val="left"/>
    </w:pPr>
    <w:rPr>
      <w:rFonts w:ascii="宋体" w:cs="宋体"/>
      <w:kern w:val="0"/>
      <w:sz w:val="34"/>
      <w:szCs w:val="34"/>
    </w:rPr>
  </w:style>
  <w:style w:type="paragraph" w:styleId="11">
    <w:name w:val="Body Text"/>
    <w:basedOn w:val="1"/>
    <w:link w:val="53"/>
    <w:autoRedefine/>
    <w:unhideWhenUsed/>
    <w:qFormat/>
    <w:uiPriority w:val="99"/>
  </w:style>
  <w:style w:type="paragraph" w:styleId="12">
    <w:name w:val="Body Text Indent"/>
    <w:basedOn w:val="1"/>
    <w:link w:val="54"/>
    <w:autoRedefine/>
    <w:qFormat/>
    <w:uiPriority w:val="0"/>
    <w:pPr>
      <w:spacing w:after="120"/>
      <w:ind w:left="420" w:leftChars="200"/>
    </w:pPr>
  </w:style>
  <w:style w:type="paragraph" w:styleId="13">
    <w:name w:val="toc 5"/>
    <w:basedOn w:val="1"/>
    <w:next w:val="1"/>
    <w:autoRedefine/>
    <w:qFormat/>
    <w:uiPriority w:val="0"/>
    <w:pPr>
      <w:ind w:left="840"/>
      <w:jc w:val="left"/>
    </w:pPr>
    <w:rPr>
      <w:rFonts w:asciiTheme="minorHAnsi" w:hAnsiTheme="minorHAnsi"/>
      <w:sz w:val="18"/>
      <w:szCs w:val="18"/>
    </w:rPr>
  </w:style>
  <w:style w:type="paragraph" w:styleId="14">
    <w:name w:val="toc 3"/>
    <w:basedOn w:val="1"/>
    <w:next w:val="1"/>
    <w:autoRedefine/>
    <w:qFormat/>
    <w:uiPriority w:val="0"/>
    <w:pPr>
      <w:ind w:left="420"/>
      <w:jc w:val="left"/>
    </w:pPr>
    <w:rPr>
      <w:rFonts w:asciiTheme="minorHAnsi" w:hAnsiTheme="minorHAnsi"/>
      <w:i/>
      <w:iCs/>
      <w:sz w:val="20"/>
      <w:szCs w:val="20"/>
    </w:rPr>
  </w:style>
  <w:style w:type="paragraph" w:styleId="15">
    <w:name w:val="Plain Text"/>
    <w:basedOn w:val="1"/>
    <w:link w:val="55"/>
    <w:autoRedefine/>
    <w:qFormat/>
    <w:uiPriority w:val="0"/>
    <w:pPr>
      <w:spacing w:line="324" w:lineRule="auto"/>
    </w:pPr>
    <w:rPr>
      <w:rFonts w:ascii="宋体" w:hAnsi="Courier New" w:cs="宋体"/>
    </w:rPr>
  </w:style>
  <w:style w:type="paragraph" w:styleId="16">
    <w:name w:val="toc 8"/>
    <w:basedOn w:val="1"/>
    <w:next w:val="1"/>
    <w:autoRedefine/>
    <w:qFormat/>
    <w:uiPriority w:val="0"/>
    <w:pPr>
      <w:ind w:left="1470"/>
      <w:jc w:val="left"/>
    </w:pPr>
    <w:rPr>
      <w:rFonts w:asciiTheme="minorHAnsi" w:hAnsiTheme="minorHAnsi"/>
      <w:sz w:val="18"/>
      <w:szCs w:val="18"/>
    </w:rPr>
  </w:style>
  <w:style w:type="paragraph" w:styleId="17">
    <w:name w:val="Date"/>
    <w:basedOn w:val="1"/>
    <w:next w:val="1"/>
    <w:link w:val="79"/>
    <w:autoRedefine/>
    <w:qFormat/>
    <w:uiPriority w:val="0"/>
    <w:pPr>
      <w:ind w:left="100" w:leftChars="2500"/>
    </w:pPr>
  </w:style>
  <w:style w:type="paragraph" w:styleId="18">
    <w:name w:val="Body Text Indent 2"/>
    <w:basedOn w:val="1"/>
    <w:link w:val="56"/>
    <w:autoRedefine/>
    <w:qFormat/>
    <w:uiPriority w:val="0"/>
    <w:pPr>
      <w:spacing w:after="120" w:line="480" w:lineRule="auto"/>
      <w:ind w:left="420" w:leftChars="200"/>
    </w:pPr>
  </w:style>
  <w:style w:type="paragraph" w:styleId="19">
    <w:name w:val="Balloon Text"/>
    <w:basedOn w:val="1"/>
    <w:link w:val="57"/>
    <w:autoRedefine/>
    <w:qFormat/>
    <w:uiPriority w:val="0"/>
    <w:rPr>
      <w:sz w:val="18"/>
      <w:szCs w:val="18"/>
    </w:rPr>
  </w:style>
  <w:style w:type="paragraph" w:styleId="20">
    <w:name w:val="footer"/>
    <w:basedOn w:val="1"/>
    <w:link w:val="58"/>
    <w:autoRedefine/>
    <w:unhideWhenUsed/>
    <w:qFormat/>
    <w:uiPriority w:val="99"/>
    <w:pPr>
      <w:tabs>
        <w:tab w:val="center" w:pos="4153"/>
        <w:tab w:val="right" w:pos="8306"/>
      </w:tabs>
      <w:snapToGrid w:val="0"/>
      <w:jc w:val="left"/>
    </w:pPr>
    <w:rPr>
      <w:sz w:val="18"/>
      <w:szCs w:val="18"/>
    </w:rPr>
  </w:style>
  <w:style w:type="paragraph" w:styleId="21">
    <w:name w:val="header"/>
    <w:basedOn w:val="1"/>
    <w:link w:val="59"/>
    <w:autoRedefine/>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autoRedefine/>
    <w:qFormat/>
    <w:uiPriority w:val="39"/>
    <w:pPr>
      <w:spacing w:before="120" w:after="120"/>
      <w:jc w:val="left"/>
    </w:pPr>
    <w:rPr>
      <w:rFonts w:asciiTheme="minorHAnsi" w:hAnsiTheme="minorHAnsi"/>
      <w:b/>
      <w:bCs/>
      <w:caps/>
      <w:sz w:val="20"/>
      <w:szCs w:val="20"/>
    </w:rPr>
  </w:style>
  <w:style w:type="paragraph" w:styleId="23">
    <w:name w:val="toc 4"/>
    <w:basedOn w:val="1"/>
    <w:next w:val="1"/>
    <w:autoRedefine/>
    <w:qFormat/>
    <w:uiPriority w:val="0"/>
    <w:pPr>
      <w:ind w:left="630"/>
      <w:jc w:val="left"/>
    </w:pPr>
    <w:rPr>
      <w:rFonts w:asciiTheme="minorHAnsi" w:hAnsiTheme="minorHAnsi"/>
      <w:sz w:val="18"/>
      <w:szCs w:val="18"/>
    </w:rPr>
  </w:style>
  <w:style w:type="paragraph" w:styleId="24">
    <w:name w:val="footnote text"/>
    <w:basedOn w:val="1"/>
    <w:autoRedefine/>
    <w:qFormat/>
    <w:uiPriority w:val="0"/>
    <w:pPr>
      <w:snapToGrid w:val="0"/>
      <w:jc w:val="left"/>
    </w:pPr>
    <w:rPr>
      <w:sz w:val="18"/>
    </w:rPr>
  </w:style>
  <w:style w:type="paragraph" w:styleId="25">
    <w:name w:val="toc 6"/>
    <w:basedOn w:val="1"/>
    <w:next w:val="1"/>
    <w:autoRedefine/>
    <w:qFormat/>
    <w:uiPriority w:val="0"/>
    <w:pPr>
      <w:ind w:left="1050"/>
      <w:jc w:val="left"/>
    </w:pPr>
    <w:rPr>
      <w:rFonts w:asciiTheme="minorHAnsi" w:hAnsiTheme="minorHAnsi"/>
      <w:sz w:val="18"/>
      <w:szCs w:val="18"/>
    </w:rPr>
  </w:style>
  <w:style w:type="paragraph" w:styleId="26">
    <w:name w:val="table of figures"/>
    <w:basedOn w:val="1"/>
    <w:next w:val="1"/>
    <w:qFormat/>
    <w:uiPriority w:val="0"/>
    <w:pPr>
      <w:ind w:leftChars="200" w:hanging="200" w:hangingChars="200"/>
    </w:pPr>
  </w:style>
  <w:style w:type="paragraph" w:styleId="27">
    <w:name w:val="toc 2"/>
    <w:basedOn w:val="1"/>
    <w:next w:val="1"/>
    <w:autoRedefine/>
    <w:qFormat/>
    <w:uiPriority w:val="0"/>
    <w:pPr>
      <w:ind w:left="210"/>
      <w:jc w:val="left"/>
    </w:pPr>
    <w:rPr>
      <w:rFonts w:asciiTheme="minorHAnsi" w:hAnsiTheme="minorHAnsi"/>
      <w:smallCaps/>
      <w:sz w:val="20"/>
      <w:szCs w:val="20"/>
    </w:rPr>
  </w:style>
  <w:style w:type="paragraph" w:styleId="28">
    <w:name w:val="toc 9"/>
    <w:basedOn w:val="1"/>
    <w:next w:val="1"/>
    <w:autoRedefine/>
    <w:qFormat/>
    <w:uiPriority w:val="0"/>
    <w:pPr>
      <w:ind w:left="1680"/>
      <w:jc w:val="left"/>
    </w:pPr>
    <w:rPr>
      <w:rFonts w:asciiTheme="minorHAnsi" w:hAnsiTheme="minorHAnsi"/>
      <w:sz w:val="18"/>
      <w:szCs w:val="18"/>
    </w:rPr>
  </w:style>
  <w:style w:type="paragraph" w:styleId="29">
    <w:name w:val="Body Text 2"/>
    <w:basedOn w:val="1"/>
    <w:link w:val="60"/>
    <w:autoRedefine/>
    <w:qFormat/>
    <w:uiPriority w:val="0"/>
    <w:pPr>
      <w:jc w:val="center"/>
    </w:pPr>
    <w:rPr>
      <w:b/>
      <w:bCs/>
      <w:spacing w:val="-20"/>
      <w:w w:val="130"/>
      <w:sz w:val="48"/>
      <w:szCs w:val="48"/>
    </w:rPr>
  </w:style>
  <w:style w:type="paragraph" w:styleId="30">
    <w:name w:val="HTML Preformatted"/>
    <w:basedOn w:val="1"/>
    <w:autoRedefine/>
    <w:qFormat/>
    <w:uiPriority w:val="0"/>
    <w:rPr>
      <w:rFonts w:ascii="Courier New" w:hAnsi="Courier New" w:cs="Courier New"/>
      <w:sz w:val="20"/>
      <w:szCs w:val="20"/>
    </w:rPr>
  </w:style>
  <w:style w:type="paragraph" w:styleId="31">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2">
    <w:name w:val="annotation subject"/>
    <w:basedOn w:val="10"/>
    <w:next w:val="1"/>
    <w:link w:val="89"/>
    <w:autoRedefine/>
    <w:qFormat/>
    <w:uiPriority w:val="0"/>
    <w:rPr>
      <w:rFonts w:ascii="Calibri" w:cs="Calibri"/>
      <w:b/>
      <w:bCs/>
      <w:kern w:val="2"/>
      <w:sz w:val="21"/>
      <w:szCs w:val="21"/>
    </w:rPr>
  </w:style>
  <w:style w:type="paragraph" w:styleId="33">
    <w:name w:val="Body Text First Indent"/>
    <w:basedOn w:val="11"/>
    <w:next w:val="34"/>
    <w:autoRedefine/>
    <w:qFormat/>
    <w:uiPriority w:val="0"/>
    <w:pPr>
      <w:ind w:firstLine="420" w:firstLineChars="100"/>
    </w:pPr>
    <w:rPr>
      <w:sz w:val="34"/>
    </w:rPr>
  </w:style>
  <w:style w:type="paragraph" w:styleId="34">
    <w:name w:val="Body Text First Indent 2"/>
    <w:basedOn w:val="12"/>
    <w:autoRedefine/>
    <w:qFormat/>
    <w:uiPriority w:val="99"/>
    <w:pPr>
      <w:tabs>
        <w:tab w:val="left" w:pos="4900"/>
      </w:tabs>
      <w:ind w:firstLine="420" w:firstLineChars="200"/>
    </w:pPr>
  </w:style>
  <w:style w:type="table" w:styleId="36">
    <w:name w:val="Table Grid"/>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autoRedefine/>
    <w:qFormat/>
    <w:uiPriority w:val="0"/>
    <w:rPr>
      <w:b/>
      <w:bCs/>
      <w:sz w:val="24"/>
      <w:szCs w:val="24"/>
    </w:rPr>
  </w:style>
  <w:style w:type="character" w:styleId="39">
    <w:name w:val="page number"/>
    <w:basedOn w:val="37"/>
    <w:autoRedefine/>
    <w:qFormat/>
    <w:uiPriority w:val="0"/>
  </w:style>
  <w:style w:type="character" w:styleId="40">
    <w:name w:val="Emphasis"/>
    <w:autoRedefine/>
    <w:qFormat/>
    <w:uiPriority w:val="0"/>
    <w:rPr>
      <w:i/>
      <w:iCs/>
    </w:rPr>
  </w:style>
  <w:style w:type="character" w:styleId="41">
    <w:name w:val="Hyperlink"/>
    <w:autoRedefine/>
    <w:qFormat/>
    <w:uiPriority w:val="99"/>
    <w:rPr>
      <w:color w:val="0000FF"/>
      <w:u w:val="single"/>
    </w:rPr>
  </w:style>
  <w:style w:type="character" w:styleId="42">
    <w:name w:val="annotation reference"/>
    <w:autoRedefine/>
    <w:qFormat/>
    <w:uiPriority w:val="0"/>
    <w:rPr>
      <w:sz w:val="21"/>
      <w:szCs w:val="21"/>
    </w:rPr>
  </w:style>
  <w:style w:type="character" w:styleId="43">
    <w:name w:val="HTML Cite"/>
    <w:autoRedefine/>
    <w:qFormat/>
    <w:uiPriority w:val="0"/>
    <w:rPr>
      <w:sz w:val="24"/>
      <w:szCs w:val="24"/>
    </w:rPr>
  </w:style>
  <w:style w:type="character" w:styleId="44">
    <w:name w:val="footnote reference"/>
    <w:basedOn w:val="37"/>
    <w:autoRedefine/>
    <w:qFormat/>
    <w:uiPriority w:val="0"/>
    <w:rPr>
      <w:vertAlign w:val="superscript"/>
    </w:rPr>
  </w:style>
  <w:style w:type="paragraph" w:customStyle="1" w:styleId="45">
    <w:name w:val="列出段落1"/>
    <w:basedOn w:val="1"/>
    <w:autoRedefine/>
    <w:qFormat/>
    <w:uiPriority w:val="99"/>
    <w:pPr>
      <w:ind w:firstLine="420" w:firstLineChars="200"/>
    </w:pPr>
  </w:style>
  <w:style w:type="paragraph" w:customStyle="1" w:styleId="46">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7">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48">
    <w:name w:val="标题 1 Char"/>
    <w:basedOn w:val="37"/>
    <w:link w:val="2"/>
    <w:autoRedefine/>
    <w:qFormat/>
    <w:locked/>
    <w:uiPriority w:val="99"/>
    <w:rPr>
      <w:rFonts w:ascii="Calibri" w:hAnsi="Calibri" w:cs="Calibri"/>
      <w:b/>
      <w:bCs/>
      <w:kern w:val="44"/>
      <w:sz w:val="44"/>
      <w:szCs w:val="44"/>
    </w:rPr>
  </w:style>
  <w:style w:type="character" w:customStyle="1" w:styleId="49">
    <w:name w:val="标题 2 Char"/>
    <w:link w:val="3"/>
    <w:autoRedefine/>
    <w:qFormat/>
    <w:locked/>
    <w:uiPriority w:val="99"/>
    <w:rPr>
      <w:rFonts w:ascii="Cambria" w:hAnsi="Cambria" w:eastAsia="宋体" w:cs="Cambria"/>
      <w:b/>
      <w:bCs/>
      <w:sz w:val="32"/>
      <w:szCs w:val="32"/>
    </w:rPr>
  </w:style>
  <w:style w:type="character" w:customStyle="1" w:styleId="50">
    <w:name w:val="标题 3 Char"/>
    <w:link w:val="4"/>
    <w:autoRedefine/>
    <w:semiHidden/>
    <w:qFormat/>
    <w:locked/>
    <w:uiPriority w:val="99"/>
    <w:rPr>
      <w:rFonts w:ascii="Calibri" w:hAnsi="Calibri" w:cs="Calibri"/>
      <w:b/>
      <w:bCs/>
      <w:sz w:val="32"/>
      <w:szCs w:val="32"/>
    </w:rPr>
  </w:style>
  <w:style w:type="character" w:customStyle="1" w:styleId="51">
    <w:name w:val="标题 4 Char"/>
    <w:link w:val="5"/>
    <w:autoRedefine/>
    <w:semiHidden/>
    <w:qFormat/>
    <w:uiPriority w:val="9"/>
    <w:rPr>
      <w:rFonts w:ascii="Cambria" w:hAnsi="Cambria" w:eastAsia="宋体" w:cs="Times New Roman"/>
      <w:b/>
      <w:bCs/>
      <w:sz w:val="28"/>
      <w:szCs w:val="28"/>
    </w:rPr>
  </w:style>
  <w:style w:type="character" w:customStyle="1" w:styleId="52">
    <w:name w:val="批注文字 Char"/>
    <w:link w:val="10"/>
    <w:autoRedefine/>
    <w:qFormat/>
    <w:locked/>
    <w:uiPriority w:val="99"/>
    <w:rPr>
      <w:rFonts w:ascii="宋体" w:hAnsi="Calibri" w:eastAsia="宋体" w:cs="宋体"/>
      <w:sz w:val="22"/>
      <w:szCs w:val="22"/>
    </w:rPr>
  </w:style>
  <w:style w:type="character" w:customStyle="1" w:styleId="53">
    <w:name w:val="正文文本 Char"/>
    <w:link w:val="11"/>
    <w:autoRedefine/>
    <w:semiHidden/>
    <w:qFormat/>
    <w:locked/>
    <w:uiPriority w:val="99"/>
    <w:rPr>
      <w:rFonts w:ascii="Calibri" w:hAnsi="Calibri" w:cs="Calibri"/>
    </w:rPr>
  </w:style>
  <w:style w:type="character" w:customStyle="1" w:styleId="54">
    <w:name w:val="正文文本缩进 Char"/>
    <w:link w:val="12"/>
    <w:autoRedefine/>
    <w:semiHidden/>
    <w:qFormat/>
    <w:uiPriority w:val="99"/>
    <w:rPr>
      <w:rFonts w:ascii="Calibri" w:hAnsi="Calibri" w:cs="Calibri"/>
      <w:szCs w:val="21"/>
    </w:rPr>
  </w:style>
  <w:style w:type="character" w:customStyle="1" w:styleId="55">
    <w:name w:val="纯文本 Char"/>
    <w:link w:val="15"/>
    <w:autoRedefine/>
    <w:qFormat/>
    <w:locked/>
    <w:uiPriority w:val="0"/>
    <w:rPr>
      <w:rFonts w:ascii="宋体" w:hAnsi="Courier New" w:cs="宋体"/>
      <w:sz w:val="21"/>
      <w:szCs w:val="21"/>
    </w:rPr>
  </w:style>
  <w:style w:type="character" w:customStyle="1" w:styleId="56">
    <w:name w:val="正文文本缩进 2 Char"/>
    <w:link w:val="18"/>
    <w:autoRedefine/>
    <w:semiHidden/>
    <w:qFormat/>
    <w:locked/>
    <w:uiPriority w:val="99"/>
    <w:rPr>
      <w:rFonts w:ascii="Calibri" w:hAnsi="Calibri" w:cs="Calibri"/>
    </w:rPr>
  </w:style>
  <w:style w:type="character" w:customStyle="1" w:styleId="57">
    <w:name w:val="批注框文本 Char"/>
    <w:link w:val="19"/>
    <w:autoRedefine/>
    <w:qFormat/>
    <w:locked/>
    <w:uiPriority w:val="99"/>
    <w:rPr>
      <w:rFonts w:ascii="Calibri" w:hAnsi="Calibri" w:eastAsia="宋体" w:cs="Calibri"/>
      <w:kern w:val="2"/>
      <w:sz w:val="18"/>
      <w:szCs w:val="18"/>
    </w:rPr>
  </w:style>
  <w:style w:type="character" w:customStyle="1" w:styleId="58">
    <w:name w:val="页脚 Char"/>
    <w:basedOn w:val="37"/>
    <w:link w:val="20"/>
    <w:autoRedefine/>
    <w:qFormat/>
    <w:locked/>
    <w:uiPriority w:val="99"/>
    <w:rPr>
      <w:rFonts w:ascii="Calibri" w:hAnsi="Calibri" w:cs="Calibri"/>
      <w:sz w:val="18"/>
      <w:szCs w:val="18"/>
    </w:rPr>
  </w:style>
  <w:style w:type="character" w:customStyle="1" w:styleId="59">
    <w:name w:val="页眉 Char"/>
    <w:basedOn w:val="37"/>
    <w:link w:val="21"/>
    <w:autoRedefine/>
    <w:qFormat/>
    <w:locked/>
    <w:uiPriority w:val="99"/>
    <w:rPr>
      <w:rFonts w:ascii="Calibri" w:hAnsi="Calibri" w:cs="Calibri"/>
      <w:sz w:val="18"/>
      <w:szCs w:val="18"/>
    </w:rPr>
  </w:style>
  <w:style w:type="character" w:customStyle="1" w:styleId="60">
    <w:name w:val="正文文本 2 Char"/>
    <w:link w:val="29"/>
    <w:autoRedefine/>
    <w:semiHidden/>
    <w:qFormat/>
    <w:locked/>
    <w:uiPriority w:val="99"/>
    <w:rPr>
      <w:rFonts w:ascii="Calibri" w:hAnsi="Calibri" w:cs="Calibri"/>
    </w:rPr>
  </w:style>
  <w:style w:type="paragraph" w:customStyle="1" w:styleId="61">
    <w:name w:val="Char2 Char Char Char"/>
    <w:basedOn w:val="1"/>
    <w:autoRedefine/>
    <w:qFormat/>
    <w:uiPriority w:val="99"/>
    <w:rPr>
      <w:rFonts w:ascii="Tahoma" w:hAnsi="Tahoma" w:cs="Tahoma"/>
      <w:sz w:val="24"/>
      <w:szCs w:val="24"/>
    </w:rPr>
  </w:style>
  <w:style w:type="character" w:customStyle="1" w:styleId="62">
    <w:name w:val="10"/>
    <w:autoRedefine/>
    <w:qFormat/>
    <w:uiPriority w:val="99"/>
    <w:rPr>
      <w:rFonts w:ascii="Calibri" w:hAnsi="Calibri" w:cs="Calibri"/>
    </w:rPr>
  </w:style>
  <w:style w:type="character" w:customStyle="1" w:styleId="63">
    <w:name w:val="15"/>
    <w:autoRedefine/>
    <w:qFormat/>
    <w:uiPriority w:val="99"/>
    <w:rPr>
      <w:rFonts w:ascii="Calibri" w:hAnsi="Calibri" w:cs="Calibri"/>
      <w:i/>
      <w:iCs/>
    </w:rPr>
  </w:style>
  <w:style w:type="paragraph" w:customStyle="1" w:styleId="64">
    <w:name w:val="_Style 2"/>
    <w:basedOn w:val="1"/>
    <w:autoRedefine/>
    <w:qFormat/>
    <w:uiPriority w:val="99"/>
    <w:pPr>
      <w:ind w:firstLine="420" w:firstLineChars="200"/>
    </w:pPr>
  </w:style>
  <w:style w:type="character" w:customStyle="1" w:styleId="65">
    <w:name w:val="apple-style-span"/>
    <w:basedOn w:val="37"/>
    <w:autoRedefine/>
    <w:qFormat/>
    <w:uiPriority w:val="99"/>
  </w:style>
  <w:style w:type="character" w:customStyle="1" w:styleId="66">
    <w:name w:val="del"/>
    <w:basedOn w:val="37"/>
    <w:autoRedefine/>
    <w:qFormat/>
    <w:uiPriority w:val="99"/>
  </w:style>
  <w:style w:type="character" w:customStyle="1" w:styleId="67">
    <w:name w:val="del1"/>
    <w:autoRedefine/>
    <w:qFormat/>
    <w:uiPriority w:val="99"/>
    <w:rPr>
      <w:vanish/>
      <w:color w:val="auto"/>
      <w:sz w:val="18"/>
      <w:szCs w:val="18"/>
      <w:u w:val="single"/>
    </w:rPr>
  </w:style>
  <w:style w:type="character" w:customStyle="1" w:styleId="68">
    <w:name w:val="del2"/>
    <w:autoRedefine/>
    <w:qFormat/>
    <w:uiPriority w:val="99"/>
    <w:rPr>
      <w:vanish/>
    </w:rPr>
  </w:style>
  <w:style w:type="character" w:customStyle="1" w:styleId="69">
    <w:name w:val="del3"/>
    <w:autoRedefine/>
    <w:qFormat/>
    <w:uiPriority w:val="99"/>
    <w:rPr>
      <w:vanish/>
    </w:rPr>
  </w:style>
  <w:style w:type="paragraph" w:customStyle="1" w:styleId="70">
    <w:name w:val="_Style 4"/>
    <w:basedOn w:val="1"/>
    <w:autoRedefine/>
    <w:qFormat/>
    <w:uiPriority w:val="99"/>
    <w:pPr>
      <w:ind w:firstLine="420" w:firstLineChars="200"/>
    </w:pPr>
  </w:style>
  <w:style w:type="paragraph" w:customStyle="1" w:styleId="71">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2">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3">
    <w:name w:val="font101"/>
    <w:basedOn w:val="37"/>
    <w:autoRedefine/>
    <w:qFormat/>
    <w:uiPriority w:val="0"/>
    <w:rPr>
      <w:rFonts w:hint="eastAsia" w:ascii="宋体" w:hAnsi="宋体" w:eastAsia="宋体" w:cs="宋体"/>
      <w:color w:val="000000"/>
      <w:sz w:val="24"/>
      <w:szCs w:val="24"/>
      <w:u w:val="none"/>
    </w:rPr>
  </w:style>
  <w:style w:type="character" w:customStyle="1" w:styleId="74">
    <w:name w:val="font91"/>
    <w:basedOn w:val="37"/>
    <w:autoRedefine/>
    <w:qFormat/>
    <w:uiPriority w:val="0"/>
    <w:rPr>
      <w:rFonts w:hint="eastAsia" w:ascii="宋体" w:hAnsi="宋体" w:eastAsia="宋体" w:cs="宋体"/>
      <w:color w:val="000000"/>
      <w:sz w:val="24"/>
      <w:szCs w:val="24"/>
      <w:u w:val="none"/>
    </w:rPr>
  </w:style>
  <w:style w:type="character" w:customStyle="1" w:styleId="75">
    <w:name w:val="font41"/>
    <w:basedOn w:val="37"/>
    <w:autoRedefine/>
    <w:qFormat/>
    <w:uiPriority w:val="0"/>
    <w:rPr>
      <w:rFonts w:hint="eastAsia" w:ascii="宋体" w:hAnsi="宋体" w:eastAsia="宋体" w:cs="宋体"/>
      <w:color w:val="000000"/>
      <w:sz w:val="24"/>
      <w:szCs w:val="24"/>
      <w:u w:val="none"/>
    </w:rPr>
  </w:style>
  <w:style w:type="character" w:customStyle="1" w:styleId="76">
    <w:name w:val="font21"/>
    <w:basedOn w:val="37"/>
    <w:autoRedefine/>
    <w:qFormat/>
    <w:uiPriority w:val="0"/>
    <w:rPr>
      <w:rFonts w:hint="eastAsia" w:ascii="宋体" w:hAnsi="宋体" w:eastAsia="宋体" w:cs="宋体"/>
      <w:color w:val="000000"/>
      <w:sz w:val="24"/>
      <w:szCs w:val="24"/>
      <w:u w:val="none"/>
    </w:rPr>
  </w:style>
  <w:style w:type="paragraph" w:styleId="77">
    <w:name w:val="List Paragraph"/>
    <w:basedOn w:val="1"/>
    <w:autoRedefine/>
    <w:qFormat/>
    <w:uiPriority w:val="99"/>
    <w:pPr>
      <w:ind w:firstLine="420" w:firstLineChars="200"/>
    </w:pPr>
  </w:style>
  <w:style w:type="table" w:customStyle="1" w:styleId="78">
    <w:name w:val="TableGrid"/>
    <w:autoRedefine/>
    <w:qFormat/>
    <w:uiPriority w:val="0"/>
    <w:rPr>
      <w:kern w:val="2"/>
      <w:sz w:val="21"/>
      <w:szCs w:val="22"/>
    </w:rPr>
    <w:tblPr>
      <w:tblCellMar>
        <w:top w:w="0" w:type="dxa"/>
        <w:left w:w="0" w:type="dxa"/>
        <w:bottom w:w="0" w:type="dxa"/>
        <w:right w:w="0" w:type="dxa"/>
      </w:tblCellMar>
    </w:tblPr>
  </w:style>
  <w:style w:type="character" w:customStyle="1" w:styleId="79">
    <w:name w:val="日期 Char"/>
    <w:basedOn w:val="37"/>
    <w:link w:val="17"/>
    <w:autoRedefine/>
    <w:qFormat/>
    <w:uiPriority w:val="0"/>
    <w:rPr>
      <w:rFonts w:ascii="Calibri" w:hAnsi="Calibri" w:cs="Calibri"/>
      <w:kern w:val="2"/>
      <w:sz w:val="21"/>
      <w:szCs w:val="21"/>
    </w:rPr>
  </w:style>
  <w:style w:type="character" w:customStyle="1" w:styleId="80">
    <w:name w:val="List Paragraph Char1"/>
    <w:link w:val="81"/>
    <w:autoRedefine/>
    <w:qFormat/>
    <w:locked/>
    <w:uiPriority w:val="0"/>
    <w:rPr>
      <w:sz w:val="24"/>
    </w:rPr>
  </w:style>
  <w:style w:type="paragraph" w:customStyle="1" w:styleId="81">
    <w:name w:val="列出段落2"/>
    <w:basedOn w:val="1"/>
    <w:link w:val="80"/>
    <w:autoRedefine/>
    <w:qFormat/>
    <w:uiPriority w:val="0"/>
    <w:pPr>
      <w:ind w:firstLine="420" w:firstLineChars="200"/>
    </w:pPr>
    <w:rPr>
      <w:rFonts w:ascii="Times New Roman" w:hAnsi="Times New Roman" w:cs="Times New Roman"/>
      <w:kern w:val="0"/>
      <w:sz w:val="24"/>
      <w:szCs w:val="20"/>
    </w:rPr>
  </w:style>
  <w:style w:type="table" w:customStyle="1" w:styleId="82">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3">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4">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89">
    <w:name w:val="批注主题 Char"/>
    <w:basedOn w:val="52"/>
    <w:link w:val="32"/>
    <w:autoRedefine/>
    <w:semiHidden/>
    <w:qFormat/>
    <w:uiPriority w:val="99"/>
    <w:rPr>
      <w:rFonts w:ascii="Calibri" w:hAnsi="Calibri" w:eastAsia="宋体" w:cs="Calibri"/>
      <w:b/>
      <w:bCs/>
      <w:kern w:val="2"/>
      <w:sz w:val="21"/>
      <w:szCs w:val="21"/>
    </w:rPr>
  </w:style>
  <w:style w:type="paragraph" w:customStyle="1" w:styleId="90">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1">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2">
    <w:name w:val="TableGrid9"/>
    <w:autoRedefine/>
    <w:qFormat/>
    <w:uiPriority w:val="0"/>
    <w:rPr>
      <w:kern w:val="2"/>
      <w:sz w:val="21"/>
      <w:szCs w:val="22"/>
    </w:rPr>
    <w:tblPr>
      <w:tblCellMar>
        <w:top w:w="0" w:type="dxa"/>
        <w:left w:w="0" w:type="dxa"/>
        <w:bottom w:w="0" w:type="dxa"/>
        <w:right w:w="0" w:type="dxa"/>
      </w:tblCellMar>
    </w:tblPr>
  </w:style>
  <w:style w:type="table" w:customStyle="1" w:styleId="93">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5">
    <w:name w:val="TableGrid12"/>
    <w:autoRedefine/>
    <w:qFormat/>
    <w:uiPriority w:val="0"/>
    <w:rPr>
      <w:kern w:val="2"/>
      <w:sz w:val="21"/>
      <w:szCs w:val="22"/>
    </w:rPr>
    <w:tblPr>
      <w:tblCellMar>
        <w:top w:w="0" w:type="dxa"/>
        <w:left w:w="0" w:type="dxa"/>
        <w:bottom w:w="0" w:type="dxa"/>
        <w:right w:w="0" w:type="dxa"/>
      </w:tblCellMar>
    </w:tblPr>
  </w:style>
  <w:style w:type="table" w:customStyle="1" w:styleId="96">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8">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网格型1"/>
    <w:basedOn w:val="3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high-light-bg4"/>
    <w:basedOn w:val="37"/>
    <w:autoRedefine/>
    <w:qFormat/>
    <w:uiPriority w:val="0"/>
  </w:style>
  <w:style w:type="paragraph" w:customStyle="1" w:styleId="101">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2">
    <w:name w:val="p16"/>
    <w:basedOn w:val="1"/>
    <w:autoRedefine/>
    <w:qFormat/>
    <w:uiPriority w:val="0"/>
    <w:pPr>
      <w:adjustRightInd/>
      <w:spacing w:after="0"/>
    </w:pPr>
    <w:rPr>
      <w:rFonts w:ascii="宋体" w:hAnsi="宋体" w:eastAsia="宋体" w:cs="宋体"/>
      <w:sz w:val="28"/>
      <w:szCs w:val="28"/>
    </w:rPr>
  </w:style>
  <w:style w:type="paragraph" w:customStyle="1" w:styleId="103">
    <w:name w:val="+正文"/>
    <w:basedOn w:val="1"/>
    <w:autoRedefine/>
    <w:qFormat/>
    <w:uiPriority w:val="99"/>
    <w:pPr>
      <w:spacing w:line="360" w:lineRule="auto"/>
      <w:ind w:firstLine="200" w:firstLineChars="200"/>
    </w:pPr>
  </w:style>
  <w:style w:type="paragraph" w:customStyle="1" w:styleId="104">
    <w:name w:val="正文格式"/>
    <w:basedOn w:val="1"/>
    <w:autoRedefine/>
    <w:qFormat/>
    <w:uiPriority w:val="0"/>
    <w:pPr>
      <w:adjustRightInd w:val="0"/>
      <w:snapToGrid w:val="0"/>
      <w:spacing w:line="400" w:lineRule="atLeast"/>
      <w:ind w:firstLine="482"/>
      <w:textAlignment w:val="baseline"/>
    </w:pPr>
  </w:style>
  <w:style w:type="character" w:customStyle="1" w:styleId="105">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06">
    <w:name w:val="1正文"/>
    <w:basedOn w:val="31"/>
    <w:autoRedefine/>
    <w:qFormat/>
    <w:uiPriority w:val="0"/>
    <w:pPr>
      <w:spacing w:beforeAutospacing="0" w:afterAutospacing="0" w:line="360" w:lineRule="auto"/>
      <w:ind w:firstLine="960" w:firstLineChars="200"/>
      <w:jc w:val="both"/>
    </w:pPr>
    <w:rPr>
      <w:rFonts w:ascii="Times New Roman" w:hAnsi="Times New Roman" w:cs="Times New Roman"/>
      <w:kern w:val="0"/>
      <w:szCs w:val="24"/>
    </w:rPr>
  </w:style>
  <w:style w:type="paragraph" w:customStyle="1" w:styleId="107">
    <w:name w:val="Table Paragraph"/>
    <w:basedOn w:val="1"/>
    <w:autoRedefine/>
    <w:unhideWhenUsed/>
    <w:qFormat/>
    <w:uiPriority w:val="0"/>
    <w:pPr>
      <w:spacing w:beforeLines="0" w:afterLines="0"/>
      <w:jc w:val="left"/>
    </w:pPr>
    <w:rPr>
      <w:rFonts w:hint="default" w:eastAsia="Calibri"/>
      <w:kern w:val="0"/>
      <w:sz w:val="22"/>
      <w:lang w:eastAsia="en-US"/>
    </w:rPr>
  </w:style>
  <w:style w:type="paragraph" w:customStyle="1" w:styleId="108">
    <w:name w:val="正文 New"/>
    <w:autoRedefine/>
    <w:qFormat/>
    <w:uiPriority w:val="99"/>
    <w:pPr>
      <w:widowControl w:val="0"/>
      <w:jc w:val="both"/>
    </w:pPr>
    <w:rPr>
      <w:rFonts w:ascii="Calibri" w:hAnsi="Calibri" w:eastAsia="宋体" w:cs="Times New Roman"/>
      <w:lang w:val="en-US" w:eastAsia="zh-CN" w:bidi="ar-SA"/>
    </w:rPr>
  </w:style>
  <w:style w:type="paragraph" w:customStyle="1" w:styleId="109">
    <w:name w:val="Table Text"/>
    <w:basedOn w:val="1"/>
    <w:autoRedefine/>
    <w:semiHidden/>
    <w:qFormat/>
    <w:uiPriority w:val="0"/>
    <w:rPr>
      <w:rFonts w:ascii="宋体" w:hAnsi="宋体" w:eastAsia="宋体" w:cs="宋体"/>
      <w:sz w:val="24"/>
      <w:szCs w:val="24"/>
      <w:lang w:val="en-US" w:eastAsia="en-US" w:bidi="ar-SA"/>
    </w:rPr>
  </w:style>
  <w:style w:type="table" w:customStyle="1" w:styleId="110">
    <w:name w:val="Table Normal"/>
    <w:autoRedefine/>
    <w:semiHidden/>
    <w:unhideWhenUsed/>
    <w:qFormat/>
    <w:uiPriority w:val="0"/>
    <w:tblPr>
      <w:tblCellMar>
        <w:top w:w="0" w:type="dxa"/>
        <w:left w:w="0" w:type="dxa"/>
        <w:bottom w:w="0" w:type="dxa"/>
        <w:right w:w="0" w:type="dxa"/>
      </w:tblCellMar>
    </w:tblPr>
  </w:style>
  <w:style w:type="paragraph" w:customStyle="1" w:styleId="111">
    <w:name w:val="p0"/>
    <w:basedOn w:val="1"/>
    <w:qFormat/>
    <w:uiPriority w:val="0"/>
    <w:pPr>
      <w:widowControl/>
    </w:pPr>
    <w:rPr>
      <w:kern w:val="0"/>
    </w:rPr>
  </w:style>
  <w:style w:type="paragraph" w:customStyle="1" w:styleId="112">
    <w:name w:val="BodyTextIndent2"/>
    <w:basedOn w:val="1"/>
    <w:qFormat/>
    <w:uiPriority w:val="0"/>
    <w:pPr>
      <w:tabs>
        <w:tab w:val="left" w:pos="420"/>
      </w:tabs>
      <w:spacing w:line="480" w:lineRule="auto"/>
      <w:ind w:left="420" w:leftChars="200"/>
      <w:jc w:val="both"/>
    </w:pPr>
    <w:rPr>
      <w:rFonts w:ascii="Calibri" w:hAnsi="Calibri" w:eastAsia="宋体"/>
      <w:kern w:val="2"/>
      <w:szCs w:val="24"/>
      <w:lang w:eastAsia="zh-CN"/>
    </w:rPr>
  </w:style>
  <w:style w:type="paragraph" w:customStyle="1" w:styleId="1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1" Type="http://schemas.openxmlformats.org/officeDocument/2006/relationships/fontTable" Target="fontTable.xml"/><Relationship Id="rId70" Type="http://schemas.openxmlformats.org/officeDocument/2006/relationships/customXml" Target="../customXml/item2.xml"/><Relationship Id="rId7" Type="http://schemas.openxmlformats.org/officeDocument/2006/relationships/header" Target="header4.xml"/><Relationship Id="rId69" Type="http://schemas.openxmlformats.org/officeDocument/2006/relationships/numbering" Target="numbering.xml"/><Relationship Id="rId68" Type="http://schemas.openxmlformats.org/officeDocument/2006/relationships/customXml" Target="../customXml/item1.xml"/><Relationship Id="rId67" Type="http://schemas.openxmlformats.org/officeDocument/2006/relationships/image" Target="media/image41.png"/><Relationship Id="rId66" Type="http://schemas.openxmlformats.org/officeDocument/2006/relationships/image" Target="media/image40.png"/><Relationship Id="rId65" Type="http://schemas.openxmlformats.org/officeDocument/2006/relationships/image" Target="media/image39.png"/><Relationship Id="rId64" Type="http://schemas.openxmlformats.org/officeDocument/2006/relationships/image" Target="media/image38.png"/><Relationship Id="rId63" Type="http://schemas.openxmlformats.org/officeDocument/2006/relationships/image" Target="media/image37.png"/><Relationship Id="rId62" Type="http://schemas.openxmlformats.org/officeDocument/2006/relationships/image" Target="media/image36.png"/><Relationship Id="rId61" Type="http://schemas.openxmlformats.org/officeDocument/2006/relationships/image" Target="media/image35.png"/><Relationship Id="rId60" Type="http://schemas.openxmlformats.org/officeDocument/2006/relationships/image" Target="media/image34.png"/><Relationship Id="rId6" Type="http://schemas.openxmlformats.org/officeDocument/2006/relationships/header" Target="header3.xml"/><Relationship Id="rId59" Type="http://schemas.openxmlformats.org/officeDocument/2006/relationships/image" Target="media/image33.png"/><Relationship Id="rId58" Type="http://schemas.openxmlformats.org/officeDocument/2006/relationships/image" Target="media/image32.png"/><Relationship Id="rId57" Type="http://schemas.openxmlformats.org/officeDocument/2006/relationships/image" Target="media/image31.png"/><Relationship Id="rId56" Type="http://schemas.openxmlformats.org/officeDocument/2006/relationships/image" Target="media/image30.png"/><Relationship Id="rId55" Type="http://schemas.openxmlformats.org/officeDocument/2006/relationships/image" Target="media/image29.png"/><Relationship Id="rId54" Type="http://schemas.openxmlformats.org/officeDocument/2006/relationships/image" Target="media/image28.png"/><Relationship Id="rId53" Type="http://schemas.openxmlformats.org/officeDocument/2006/relationships/image" Target="media/image27.png"/><Relationship Id="rId52" Type="http://schemas.openxmlformats.org/officeDocument/2006/relationships/image" Target="media/image26.png"/><Relationship Id="rId51" Type="http://schemas.openxmlformats.org/officeDocument/2006/relationships/image" Target="media/image25.png"/><Relationship Id="rId50" Type="http://schemas.openxmlformats.org/officeDocument/2006/relationships/image" Target="media/image24.png"/><Relationship Id="rId5" Type="http://schemas.openxmlformats.org/officeDocument/2006/relationships/footer" Target="footer1.xml"/><Relationship Id="rId49" Type="http://schemas.openxmlformats.org/officeDocument/2006/relationships/image" Target="media/image23.png"/><Relationship Id="rId48" Type="http://schemas.openxmlformats.org/officeDocument/2006/relationships/image" Target="media/image22.png"/><Relationship Id="rId47" Type="http://schemas.openxmlformats.org/officeDocument/2006/relationships/image" Target="media/image21.png"/><Relationship Id="rId46" Type="http://schemas.openxmlformats.org/officeDocument/2006/relationships/image" Target="media/image20.png"/><Relationship Id="rId45" Type="http://schemas.openxmlformats.org/officeDocument/2006/relationships/image" Target="media/image19.png"/><Relationship Id="rId44" Type="http://schemas.openxmlformats.org/officeDocument/2006/relationships/image" Target="media/image18.png"/><Relationship Id="rId43" Type="http://schemas.openxmlformats.org/officeDocument/2006/relationships/image" Target="media/image17.png"/><Relationship Id="rId42" Type="http://schemas.openxmlformats.org/officeDocument/2006/relationships/image" Target="media/image16.png"/><Relationship Id="rId41" Type="http://schemas.openxmlformats.org/officeDocument/2006/relationships/image" Target="media/image15.png"/><Relationship Id="rId40" Type="http://schemas.openxmlformats.org/officeDocument/2006/relationships/image" Target="media/image14.png"/><Relationship Id="rId4" Type="http://schemas.openxmlformats.org/officeDocument/2006/relationships/header" Target="header2.xml"/><Relationship Id="rId39" Type="http://schemas.openxmlformats.org/officeDocument/2006/relationships/image" Target="media/image13.png"/><Relationship Id="rId38" Type="http://schemas.openxmlformats.org/officeDocument/2006/relationships/image" Target="media/image12.png"/><Relationship Id="rId37" Type="http://schemas.openxmlformats.org/officeDocument/2006/relationships/image" Target="media/image11.png"/><Relationship Id="rId36" Type="http://schemas.openxmlformats.org/officeDocument/2006/relationships/image" Target="media/image10.png"/><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Template>
  <Company>http://www.windows89.com</Company>
  <Pages>111</Pages>
  <Words>18290</Words>
  <Characters>19291</Characters>
  <Lines>198</Lines>
  <Paragraphs>55</Paragraphs>
  <TotalTime>3</TotalTime>
  <ScaleCrop>false</ScaleCrop>
  <LinksUpToDate>false</LinksUpToDate>
  <CharactersWithSpaces>19513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2020-08-06T01:08:00Z</dcterms:created>
  <dc:creator>Administrator</dc:creator>
  <cp:lastModifiedBy>WPS_1528011989</cp:lastModifiedBy>
  <cp:lastPrinted>2022-09-26T01:05:00Z</cp:lastPrinted>
  <dcterms:modified xsi:type="dcterms:W3CDTF">2026-07-28T07:07:33Z</dcterms:modified>
  <dc:title>政府采购项目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E98A82F3B2224E20BB08403F26D5E5CD_13</vt:lpwstr>
  </property>
  <property fmtid="{D5CDD505-2E9C-101B-9397-08002B2CF9AE}" pid="4" name="KSOTemplateDocerSaveRecord">
    <vt:lpwstr>eyJoZGlkIjoiMDg1OGE3YTllNWRkNjgwY2M5ZDEwMmY0ODQzZDFhY2IiLCJ1c2VySWQiOiIzNzU3MTM1MjkifQ==</vt:lpwstr>
  </property>
</Properties>
</file>