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1" w:hRule="atLeast"/>
          <w:jc w:val="center"/>
        </w:trPr>
        <w:tc>
          <w:tcPr>
            <w:tcW w:w="1331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81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63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3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2BBFF8BE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1.供应商仅对招标文件中的标“▲”参数进行逐条响应，响应情况未偏离则填写无偏离，若偏离则填写正偏离/负偏离。</w:t>
      </w:r>
    </w:p>
    <w:p w14:paraId="5DDE4B4F">
      <w:pPr>
        <w:spacing w:line="46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2.未标“▲”参数如有偏离也须在偏离表中进行响应，若无偏离则提供未标“▲”参数无偏离承诺，格式自拟。</w:t>
      </w:r>
    </w:p>
    <w:p w14:paraId="215B3360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3.供应商必须据实填写，不得虚假响应，不得复制粘贴相关采购需求条款，否则将取消其投标或中标资格，并按有关规定进行处罚。</w:t>
      </w:r>
    </w:p>
    <w:p w14:paraId="4C1130F7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13F1026E"/>
    <w:rsid w:val="2A047761"/>
    <w:rsid w:val="38F15DA9"/>
    <w:rsid w:val="42123C3B"/>
    <w:rsid w:val="608E0287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2026-06-01T07:19:25Z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