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7009F">
      <w:pPr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hd w:val="clear" w:color="auto" w:fill="FFFFFF"/>
          <w:lang w:eastAsia="zh-CN"/>
        </w:rPr>
        <w:t>附件：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偏离表</w:t>
      </w:r>
    </w:p>
    <w:p w14:paraId="709602F6">
      <w:pPr>
        <w:spacing w:line="360" w:lineRule="auto"/>
        <w:jc w:val="center"/>
        <w:rPr>
          <w:rFonts w:ascii="宋体" w:hAnsi="宋体" w:cs="宋体"/>
          <w:b/>
          <w:bCs/>
          <w:sz w:val="24"/>
          <w:szCs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商务条款偏离表</w:t>
      </w:r>
    </w:p>
    <w:bookmarkEnd w:id="0"/>
    <w:p w14:paraId="6CE51B70">
      <w:pPr>
        <w:spacing w:line="360" w:lineRule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szCs w:val="24"/>
          <w:highlight w:val="none"/>
        </w:rPr>
        <w:t>名称：</w:t>
      </w:r>
    </w:p>
    <w:p w14:paraId="4FE77993">
      <w:pPr>
        <w:spacing w:line="360" w:lineRule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47323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  <w:jc w:val="center"/>
        </w:trPr>
        <w:tc>
          <w:tcPr>
            <w:tcW w:w="780" w:type="dxa"/>
            <w:noWrap w:val="0"/>
            <w:vAlign w:val="center"/>
          </w:tcPr>
          <w:p w14:paraId="0196504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5" w:type="dxa"/>
            <w:noWrap w:val="0"/>
            <w:vAlign w:val="center"/>
          </w:tcPr>
          <w:p w14:paraId="59CF022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招标文件商务条款</w:t>
            </w:r>
          </w:p>
        </w:tc>
        <w:tc>
          <w:tcPr>
            <w:tcW w:w="1701" w:type="dxa"/>
            <w:noWrap w:val="0"/>
            <w:vAlign w:val="center"/>
          </w:tcPr>
          <w:p w14:paraId="0E5854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投标文件商务条款</w:t>
            </w:r>
          </w:p>
        </w:tc>
        <w:tc>
          <w:tcPr>
            <w:tcW w:w="1417" w:type="dxa"/>
            <w:noWrap w:val="0"/>
            <w:vAlign w:val="center"/>
          </w:tcPr>
          <w:p w14:paraId="7C15BD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2195" w:type="dxa"/>
            <w:noWrap w:val="0"/>
            <w:vAlign w:val="center"/>
          </w:tcPr>
          <w:p w14:paraId="140E18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2271B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41AD6F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835" w:type="dxa"/>
            <w:noWrap w:val="0"/>
            <w:vAlign w:val="center"/>
          </w:tcPr>
          <w:p w14:paraId="559626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8AB27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39308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2C64024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624E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EA600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DD9D06E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0EF24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21EF820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947AD6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A35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313571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0D6FEDF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EC67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30F507A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B2F59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36E1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0E3DA13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B927865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1A87F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9C40B4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FCC9B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8787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7A2BC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43AE1C5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81204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98B5D51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DE6EA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523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61C767A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AF017D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D49F6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93485D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761077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13A0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6378A4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0A28A5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51E79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02AC3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19B7AE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3E3A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452083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300C6F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279FCD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B8C3E28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05FEBE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B56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noWrap w:val="0"/>
            <w:vAlign w:val="center"/>
          </w:tcPr>
          <w:p w14:paraId="5D85DA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noWrap w:val="0"/>
            <w:vAlign w:val="center"/>
          </w:tcPr>
          <w:p w14:paraId="2736E7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11FB7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4918757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noWrap w:val="0"/>
            <w:vAlign w:val="center"/>
          </w:tcPr>
          <w:p w14:paraId="41B40E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7677807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供应商（盖公章）：</w:t>
      </w:r>
    </w:p>
    <w:p w14:paraId="6AEBA4AA">
      <w:pPr>
        <w:spacing w:line="360" w:lineRule="auto"/>
        <w:ind w:firstLine="1920" w:firstLineChars="800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日期：</w:t>
      </w:r>
    </w:p>
    <w:p w14:paraId="338FEFDD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说明：</w:t>
      </w:r>
    </w:p>
    <w:p w14:paraId="505E2A74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1、“偏离”一栏应根据实际响应程度填写“优于”、“负偏离”，对响应出现负偏离的，按无效投标处理。</w:t>
      </w:r>
    </w:p>
    <w:p w14:paraId="6C122C6D">
      <w:pPr>
        <w:keepNext/>
        <w:keepLines/>
        <w:spacing w:line="360" w:lineRule="auto"/>
        <w:jc w:val="left"/>
        <w:outlineLvl w:val="2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2、表格行数不够时，请自行扩展。</w:t>
      </w:r>
    </w:p>
    <w:p w14:paraId="19430B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55D23"/>
    <w:rsid w:val="3BD5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2026-05-26T04:15:00Z</dcterms:created>
  <dc:creator>开瑞</dc:creator>
  <cp:lastModifiedBy>开瑞</cp:lastModifiedBy>
  <dcterms:modified xsi:type="dcterms:W3CDTF">2026-05-26T04:15:15Z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A9D8242FF2D7404494DBD89E340BA7D5_11</vt:lpwstr>
  </property>
  <property fmtid="{D5CDD505-2E9C-101B-9397-08002B2CF9AE}" pid="4" name="KSOTemplateDocerSaveRecord">
    <vt:lpwstr>eyJoZGlkIjoiNDc4MzBjYmZmZTE2YWEwNDkyYmM3NTg4NTc2MDY2YjkiLCJ1c2VySWQiOiI2Nzc1OTA0NzIifQ==</vt:lpwstr>
  </property>
</Properties>
</file>