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版本号：ZYTT2026-028.1B120260519001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消防池改造工程采购项目(二次)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ZYTT2026-028.1B1</w:t>
      </w:r>
      <w:r>
        <w:br/>
      </w:r>
      <w:r>
        <w:br/>
      </w:r>
      <w:r>
        <w:br/>
      </w:r>
    </w:p>
    <w:p>
      <w:pPr>
        <w:pStyle w:val="null3"/>
        <w:jc w:val="center"/>
        <w:outlineLvl w:val="2"/>
      </w:pPr>
      <w:r>
        <w:rPr>
          <w:rFonts w:ascii="仿宋_GB2312" w:hAnsi="仿宋_GB2312" w:cs="仿宋_GB2312" w:eastAsia="仿宋_GB2312"/>
          <w:sz w:val="28"/>
          <w:b/>
        </w:rPr>
        <w:t>略阳县嘉陵小学</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略阳县嘉陵小学</w:t>
      </w:r>
      <w:r>
        <w:rPr>
          <w:rFonts w:ascii="仿宋_GB2312" w:hAnsi="仿宋_GB2312" w:cs="仿宋_GB2312" w:eastAsia="仿宋_GB2312"/>
        </w:rPr>
        <w:t>委托，拟对</w:t>
      </w:r>
      <w:r>
        <w:rPr>
          <w:rFonts w:ascii="仿宋_GB2312" w:hAnsi="仿宋_GB2312" w:cs="仿宋_GB2312" w:eastAsia="仿宋_GB2312"/>
        </w:rPr>
        <w:t>消防池改造工程采购项目(二次)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ZYTT2026-028.1B1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消防池改造工程采购项目(二次)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在嘉陵小学校内操场东南侧空地修建容量为288立方米的钢筋混凝土消防水池，配套建设加压泵房28.32平方米及消防管网，具体内容详见工程量清单及图纸。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采购包1（略阳县嘉陵小学消防池改造采购项目）：属于专门面向中小企业采购。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证明书及授权书：法定代表人授权书（附法定代表人身份证复印件）及被授权人身份证（法定代表人直接参加投标只须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 有依法缴纳税收和社会保障金的良好记录，参加本项目采购活动前三年内无重大违法活动记录，未列入在信用中国网站“失信被执行人” 、“重大税收违法案件当事人名单”中(www.credit china.gov.cn)，也未列入中国政府采购网“政府采购严重违法失信行为记录名单”中www.cc gp.gov.cn )，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资质要求：供应商具有建设行政主管部门核发的建筑工程施工总承包三级及以上资质且具备有效的安全生产许可证；拟派项目负责人具有建筑工程专业二级及以上注册建造师执业资格，有效的安全生产考核合格证书，且未担任其他在建工程项目的项目负责人；供应商需在项目电子化交易系统中按要求上传相应证明文件并进行电子签章；</w:t>
      </w:r>
    </w:p>
    <w:p>
      <w:pPr>
        <w:pStyle w:val="null3"/>
      </w:pPr>
      <w:r>
        <w:rPr>
          <w:rFonts w:ascii="仿宋_GB2312" w:hAnsi="仿宋_GB2312" w:cs="仿宋_GB2312" w:eastAsia="仿宋_GB2312"/>
        </w:rPr>
        <w:t>5、非联合体投标：本项目不接受联合体投标（提供非联合体投标承诺函，格式自拟），供应商需在项目电子化交易系统中按要求上传相应证明文件并进行电子签章；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略阳县嘉陵小学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略阳县火车站路向西200米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略阳县嘉陵小学经办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13571605069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汉中市汉台区滨江东路晨晖帝景府A1号楼2402室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采购包1：1,106,500.00元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代理服务费收费标准：招标代理服务费参照《国家计委关于印发招标代理服务费管理暂行办法 的通知》（计价格〔2002〕1980号）文件及国家发改委下发的《关于降低部分建设项目收费 标准规范收费行为等有关问题的通知》（发改价格〔2011〕534号）文件规定的收费标准收取 。招标代理服务费以中标价为基数计算，按差额定率累进法计算收取。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略阳县嘉陵小学</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略阳县嘉陵小学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略阳县嘉陵小学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陕西正圆通泰项目管理有限公司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联系人：罗工</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1,106,500.00</w:t>
      </w:r>
    </w:p>
    <w:p>
      <w:pPr>
        <w:pStyle w:val="null3"/>
      </w:pPr>
      <w:r>
        <w:rPr>
          <w:rFonts w:ascii="仿宋_GB2312" w:hAnsi="仿宋_GB2312" w:cs="仿宋_GB2312" w:eastAsia="仿宋_GB2312"/>
        </w:rPr>
        <w:t>采购包最高限价（元）: 1,106,487.74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略阳县嘉陵小学消防池改造工程采购项目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1,106,500.00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标的名称：略阳县嘉陵小学消防池改造工程采购项目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5"/>
                <w:color w:val="000000"/>
              </w:rPr>
              <w:t>1.</w:t>
            </w:r>
            <w:r>
              <w:rPr>
                <w:rFonts w:ascii="仿宋_GB2312" w:hAnsi="仿宋_GB2312" w:cs="仿宋_GB2312" w:eastAsia="仿宋_GB2312"/>
                <w:sz w:val="15"/>
                <w:color w:val="000000"/>
              </w:rPr>
              <w:t>施工工期：</w:t>
            </w:r>
            <w:r>
              <w:rPr>
                <w:rFonts w:ascii="仿宋_GB2312" w:hAnsi="仿宋_GB2312" w:cs="仿宋_GB2312" w:eastAsia="仿宋_GB2312"/>
                <w:sz w:val="15"/>
                <w:color w:val="000000"/>
              </w:rPr>
              <w:t>30</w:t>
            </w:r>
            <w:r>
              <w:rPr>
                <w:rFonts w:ascii="仿宋_GB2312" w:hAnsi="仿宋_GB2312" w:cs="仿宋_GB2312" w:eastAsia="仿宋_GB2312"/>
                <w:sz w:val="15"/>
                <w:color w:val="000000"/>
              </w:rPr>
              <w:t>日历天</w:t>
            </w:r>
          </w:p>
          <w:p>
            <w:pPr>
              <w:pStyle w:val="null3"/>
            </w:pPr>
            <w:r>
              <w:rPr>
                <w:rFonts w:ascii="仿宋_GB2312" w:hAnsi="仿宋_GB2312" w:cs="仿宋_GB2312" w:eastAsia="仿宋_GB2312"/>
                <w:sz w:val="15"/>
                <w:color w:val="000000"/>
              </w:rPr>
              <w:t>2.</w:t>
            </w:r>
            <w:r>
              <w:rPr>
                <w:rFonts w:ascii="仿宋_GB2312" w:hAnsi="仿宋_GB2312" w:cs="仿宋_GB2312" w:eastAsia="仿宋_GB2312"/>
                <w:sz w:val="15"/>
                <w:color w:val="000000"/>
              </w:rPr>
              <w:t>质量目标：符合国家现行有关施工质量验收规范</w:t>
            </w:r>
            <w:r>
              <w:rPr>
                <w:rFonts w:ascii="仿宋_GB2312" w:hAnsi="仿宋_GB2312" w:cs="仿宋_GB2312" w:eastAsia="仿宋_GB2312"/>
                <w:sz w:val="15"/>
                <w:color w:val="000000"/>
              </w:rPr>
              <w:t>“</w:t>
            </w:r>
            <w:r>
              <w:rPr>
                <w:rFonts w:ascii="仿宋_GB2312" w:hAnsi="仿宋_GB2312" w:cs="仿宋_GB2312" w:eastAsia="仿宋_GB2312"/>
                <w:sz w:val="15"/>
                <w:color w:val="000000"/>
              </w:rPr>
              <w:t>合格</w:t>
            </w:r>
            <w:r>
              <w:rPr>
                <w:rFonts w:ascii="仿宋_GB2312" w:hAnsi="仿宋_GB2312" w:cs="仿宋_GB2312" w:eastAsia="仿宋_GB2312"/>
                <w:sz w:val="15"/>
                <w:color w:val="000000"/>
              </w:rPr>
              <w:t>”</w:t>
            </w:r>
            <w:r>
              <w:rPr>
                <w:rFonts w:ascii="仿宋_GB2312" w:hAnsi="仿宋_GB2312" w:cs="仿宋_GB2312" w:eastAsia="仿宋_GB2312"/>
                <w:sz w:val="15"/>
                <w:color w:val="000000"/>
              </w:rPr>
              <w:t>要求</w:t>
            </w:r>
          </w:p>
          <w:p>
            <w:pPr>
              <w:pStyle w:val="null3"/>
            </w:pPr>
            <w:r>
              <w:rPr>
                <w:rFonts w:ascii="仿宋_GB2312" w:hAnsi="仿宋_GB2312" w:cs="仿宋_GB2312" w:eastAsia="仿宋_GB2312"/>
                <w:sz w:val="15"/>
                <w:color w:val="000000"/>
              </w:rPr>
              <w:t>3.</w:t>
            </w:r>
            <w:r>
              <w:rPr>
                <w:rFonts w:ascii="仿宋_GB2312" w:hAnsi="仿宋_GB2312" w:cs="仿宋_GB2312" w:eastAsia="仿宋_GB2312"/>
                <w:sz w:val="15"/>
                <w:color w:val="000000"/>
              </w:rPr>
              <w:t>施工范围：完成图纸及工程量清单内所含的全部内容</w:t>
            </w:r>
          </w:p>
          <w:p>
            <w:pPr>
              <w:pStyle w:val="null3"/>
            </w:pPr>
            <w:r>
              <w:rPr>
                <w:rFonts w:ascii="仿宋_GB2312" w:hAnsi="仿宋_GB2312" w:cs="仿宋_GB2312" w:eastAsia="仿宋_GB2312"/>
                <w:sz w:val="15"/>
                <w:color w:val="000000"/>
              </w:rPr>
              <w:t>4.</w:t>
            </w:r>
            <w:r>
              <w:rPr>
                <w:rFonts w:ascii="仿宋_GB2312" w:hAnsi="仿宋_GB2312" w:cs="仿宋_GB2312" w:eastAsia="仿宋_GB2312"/>
                <w:sz w:val="15"/>
                <w:color w:val="000000"/>
              </w:rPr>
              <w:t>合同履约地点：略阳县嘉陵小学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为顺利推进政府采购电子化交易平台应用工作，中标供应商需要在领取中标通知书时向代理机构提供纸质版响应文件，正 本壹份、副本贰份、电子版壹份，若线上电子响应文件与纸质响应文件不一致的，以线上电子响应文件为准；若正本和副本不 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 有依法缴纳税收和社会保障金的良好记录，参加本项目采购活动前三年内无重大违法活动记录，未列入在信用中国网站“失信被执行人” 、“重大税收违法案件当事人名单”中(www.credit china.gov.cn)，也未列入中国政府采购网“政府采购严重违法失信行为记录名单”中www.cc gp.gov.cn )，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建设行政主管部门核发的建筑工程施工总承包三级及以上资质且具备有效的安全生产许可证；拟派项目负责人具有建筑工程专业二级及以上注册建造师执业资格，有效的安全生产考核合格证书，且未担任其他在建工程项目的项目负责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本项目不接受联合体投标（提供非联合体投标承诺函，格式自拟），供应商需在项目电子化交易系统中按要求上传相应证明文件并进行电子签章；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残疾人福利性单位声明函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供应商针对本项目编制完善的资源配置计划，内容包含：①劳动力资源配置计划②施工机械设备投入计划③主要施工材料供应计划。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供应商针对本项目编制科学的项目管理机构，内容包含：①管理机构的配备计划及管理人员证书②组织机构的岗位职责及管理制度。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1分；缺1项，得0.5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供应商提供2023年1月至今类似项目业绩（以签订日期为准），每出具一个得1分，满分1分。 评审依据：以供应商提供的业绩合同/协议书的复印件（加盖供应商公章）为评审依据进行计分（合同须体现项目内容、签订时间及签字盖章页等关键页）。</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 规定：价格分采用低价优先法计算，即满足竞争性磋商文件要求且最后报价最低的供应商 的价格为磋商基准价，其价格分为满分。其他供应商的价格分统一按照下列公式计算：磋商报价得分=（磋商基准价/最终磋商报价）×价格权值（即30%）×100 （因落实政府采 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