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版本号：HXGJXM2026-ZC-GK102720260803001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移动式机器人激光投影系统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HXGJXM2026-ZC-GK1027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移动式机器人激光投影系统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移动式机器人激光投影系统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移动式机器人激光投影系统，融合大载重自主导航移动平台、大负载宽工作半径高精度协作机械臂与高精度激光投影感知单元，面向大型零部件自动化检测、智能加工装配中的工件投影定位关键技术研究。系统采用四轮四驱构型，适配复杂工业工况，可搭载多类工业负载；机械臂多自由度、高精度、大负载，满足末端执行需求；集成亚毫米级激光投影设备，可在工装定位、喷涂、涂层、粘接定位等智能制造场景实现技术突破。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采购包1（移动式机器人激光投影系统）：属于专门面向中小企业采购。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开户名称：华夏国际项目管理（西安）有限公司（转账时备注项目名称+项目编号）</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 。在签订政府采购合同前，中标供应商向采购人缴纳履约保证金，最终验收合格后采购人无息退还。注：转账时备注项目名称。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代理服务费收费标准：采购预算在80万元以下，定额收取8000元。成交单位在领取成交通知书前，须向采购代理机构一次性支付代理服务费。 代理服务费账号： 开户名称：华夏国际项目管理（西安）有限公司第一分公司 银行账号：78620188000199459 开户行：中国光大银行股份有限公司西安科技六路支行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2.其他要求：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连续运行24小时无故障； 设备参数与投标文件承诺值对比。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西安理工大学移动式机器人激光投影系统，融合大载重自主导航移动平台、大负载宽工作半径高精度协作机械臂与高精度激光投影感知单元，面向大型零部件自动化检测、智能加工装配中的工件投影定位关键技术研究。系统采用四轮四驱构型，适配复杂工业工况，可搭载多类工业负载；机械臂多自由度、高精度、大负载，满足末端执行需求；集成亚毫米级激光投影设备，可在工装定位、喷涂、涂层、粘接定位等智能制造场景实现技术突破。</w:t>
      </w:r>
    </w:p>
    <w:p>
      <w:pPr>
        <w:pStyle w:val="null3"/>
        <w:ind w:firstLine="420"/>
      </w:pPr>
      <w:r>
        <w:rPr>
          <w:rFonts w:ascii="仿宋_GB2312" w:hAnsi="仿宋_GB2312" w:cs="仿宋_GB2312" w:eastAsia="仿宋_GB2312"/>
          <w:sz w:val="21"/>
        </w:rPr>
        <w:t>移动式机器人激光投影系统，设备至少包含移动机器人本体、协作机械臂、高精度激光投影系统、智能遥操系统。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移动式机器人激光投影系统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标的名称：移动式机器人激光投影系统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60" w:after="60"/>
              <w:jc w:val="both"/>
            </w:pPr>
            <w:r>
              <w:rPr>
                <w:rFonts w:ascii="仿宋_GB2312" w:hAnsi="仿宋_GB2312" w:cs="仿宋_GB2312" w:eastAsia="仿宋_GB2312"/>
                <w:sz w:val="21"/>
                <w:b/>
                <w:color w:val="000000"/>
              </w:rPr>
              <w:t>一、整体功能</w:t>
            </w:r>
          </w:p>
          <w:p>
            <w:pPr>
              <w:pStyle w:val="null3"/>
              <w:spacing w:before="60" w:after="60"/>
              <w:jc w:val="both"/>
            </w:pPr>
            <w:r>
              <w:rPr>
                <w:rFonts w:ascii="仿宋_GB2312" w:hAnsi="仿宋_GB2312" w:cs="仿宋_GB2312" w:eastAsia="仿宋_GB2312"/>
                <w:sz w:val="21"/>
                <w:color w:val="000000"/>
              </w:rPr>
              <w:t>1.1、设备为集成化整机设备，移动机器人本体搭载协作机械臂，末端集成高精度激光投影系统；配备遥操系统，可同步远程操控移动机器人本体与机械臂，支持搭载智能算法实现系统自主作业。</w:t>
            </w:r>
          </w:p>
          <w:p>
            <w:pPr>
              <w:pStyle w:val="null3"/>
              <w:spacing w:before="60" w:after="60"/>
              <w:jc w:val="both"/>
            </w:pPr>
            <w:r>
              <w:rPr>
                <w:rFonts w:ascii="仿宋_GB2312" w:hAnsi="仿宋_GB2312" w:cs="仿宋_GB2312" w:eastAsia="仿宋_GB2312"/>
                <w:sz w:val="21"/>
                <w:color w:val="000000"/>
              </w:rPr>
              <w:t>1.2、支持地图构建及定位、自主导航及智能避障；高精度激光投影系统可在工件表面精准投射虚拟放样模板；设备基于主流开源机器人操作系统架构开发系统开发，具备良好开放性与可拓展性，支持二次开发。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二、移动机器人本体（核心产品）</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2.1、车身尺寸：≥长750mm×宽550mm×高550mm。</w:t>
            </w:r>
          </w:p>
          <w:p>
            <w:pPr>
              <w:pStyle w:val="null3"/>
              <w:jc w:val="both"/>
            </w:pPr>
            <w:r>
              <w:rPr>
                <w:rFonts w:ascii="仿宋_GB2312" w:hAnsi="仿宋_GB2312" w:cs="仿宋_GB2312" w:eastAsia="仿宋_GB2312"/>
                <w:sz w:val="21"/>
                <w:color w:val="000000"/>
              </w:rPr>
              <w:t>2.2、自重：≤140kg。</w:t>
            </w:r>
          </w:p>
          <w:p>
            <w:pPr>
              <w:pStyle w:val="null3"/>
              <w:jc w:val="both"/>
            </w:pPr>
            <w:r>
              <w:rPr>
                <w:rFonts w:ascii="仿宋_GB2312" w:hAnsi="仿宋_GB2312" w:cs="仿宋_GB2312" w:eastAsia="仿宋_GB2312"/>
                <w:sz w:val="21"/>
                <w:color w:val="000000"/>
              </w:rPr>
              <w:t>2.3、最大负载：≥80kg。</w:t>
            </w:r>
          </w:p>
          <w:p>
            <w:pPr>
              <w:pStyle w:val="null3"/>
              <w:jc w:val="both"/>
            </w:pPr>
            <w:r>
              <w:rPr>
                <w:rFonts w:ascii="仿宋_GB2312" w:hAnsi="仿宋_GB2312" w:cs="仿宋_GB2312" w:eastAsia="仿宋_GB2312"/>
                <w:sz w:val="21"/>
                <w:color w:val="000000"/>
              </w:rPr>
              <w:t>2.4、驱动方式：≥4轮驱动，4轮转向。</w:t>
            </w:r>
          </w:p>
          <w:p>
            <w:pPr>
              <w:pStyle w:val="null3"/>
              <w:jc w:val="both"/>
            </w:pPr>
            <w:r>
              <w:rPr>
                <w:rFonts w:ascii="仿宋_GB2312" w:hAnsi="仿宋_GB2312" w:cs="仿宋_GB2312" w:eastAsia="仿宋_GB2312"/>
                <w:sz w:val="21"/>
                <w:color w:val="000000"/>
              </w:rPr>
              <w:t>▲2.5、悬挂形式：≥4轮独立悬挂。</w:t>
            </w:r>
          </w:p>
          <w:p>
            <w:pPr>
              <w:pStyle w:val="null3"/>
              <w:jc w:val="both"/>
            </w:pPr>
            <w:r>
              <w:rPr>
                <w:rFonts w:ascii="仿宋_GB2312" w:hAnsi="仿宋_GB2312" w:cs="仿宋_GB2312" w:eastAsia="仿宋_GB2312"/>
                <w:sz w:val="21"/>
                <w:color w:val="000000"/>
              </w:rPr>
              <w:t>2.6、旋转直径：≤950mm。</w:t>
            </w:r>
          </w:p>
          <w:p>
            <w:pPr>
              <w:pStyle w:val="null3"/>
              <w:jc w:val="both"/>
            </w:pPr>
            <w:r>
              <w:rPr>
                <w:rFonts w:ascii="仿宋_GB2312" w:hAnsi="仿宋_GB2312" w:cs="仿宋_GB2312" w:eastAsia="仿宋_GB2312"/>
                <w:sz w:val="21"/>
                <w:color w:val="000000"/>
              </w:rPr>
              <w:t>2.7、最大速度：≥7km/h。</w:t>
            </w:r>
          </w:p>
          <w:p>
            <w:pPr>
              <w:pStyle w:val="null3"/>
              <w:jc w:val="both"/>
            </w:pPr>
            <w:r>
              <w:rPr>
                <w:rFonts w:ascii="仿宋_GB2312" w:hAnsi="仿宋_GB2312" w:cs="仿宋_GB2312" w:eastAsia="仿宋_GB2312"/>
                <w:sz w:val="21"/>
                <w:color w:val="000000"/>
              </w:rPr>
              <w:t>2.8、离地间隙：≥100mm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2.9、最大爬坡角度：≥13°。</w:t>
            </w:r>
          </w:p>
          <w:p>
            <w:pPr>
              <w:pStyle w:val="null3"/>
              <w:jc w:val="both"/>
            </w:pPr>
            <w:r>
              <w:rPr>
                <w:rFonts w:ascii="仿宋_GB2312" w:hAnsi="仿宋_GB2312" w:cs="仿宋_GB2312" w:eastAsia="仿宋_GB2312"/>
                <w:sz w:val="21"/>
                <w:color w:val="000000"/>
              </w:rPr>
              <w:t>2.10、电池及续航：≥3000Wh锂电池；</w:t>
            </w:r>
            <w:r>
              <w:rPr>
                <w:rFonts w:ascii="仿宋_GB2312" w:hAnsi="仿宋_GB2312" w:cs="仿宋_GB2312" w:eastAsia="仿宋_GB2312"/>
                <w:sz w:val="21"/>
                <w:color w:val="000000"/>
              </w:rPr>
              <w:t>最大工作时间</w:t>
            </w:r>
            <w:r>
              <w:rPr>
                <w:rFonts w:ascii="仿宋_GB2312" w:hAnsi="仿宋_GB2312" w:cs="仿宋_GB2312" w:eastAsia="仿宋_GB2312"/>
                <w:sz w:val="21"/>
                <w:color w:val="000000"/>
              </w:rPr>
              <w:t>≥8小时，最大续航里程≥40km</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充电时间</w:t>
            </w:r>
            <w:r>
              <w:rPr>
                <w:rFonts w:ascii="仿宋_GB2312" w:hAnsi="仿宋_GB2312" w:cs="仿宋_GB2312" w:eastAsia="仿宋_GB2312"/>
                <w:sz w:val="21"/>
                <w:color w:val="000000"/>
              </w:rPr>
              <w:t>≤7小时。</w:t>
            </w:r>
          </w:p>
          <w:p>
            <w:pPr>
              <w:pStyle w:val="null3"/>
              <w:jc w:val="both"/>
            </w:pPr>
            <w:r>
              <w:rPr>
                <w:rFonts w:ascii="仿宋_GB2312" w:hAnsi="仿宋_GB2312" w:cs="仿宋_GB2312" w:eastAsia="仿宋_GB2312"/>
                <w:sz w:val="21"/>
                <w:color w:val="000000"/>
              </w:rPr>
              <w:t>★2.11、电机：≥4×700W伺服电机（行走）＋≥4×380W伺服电机（转向）。电机编码器：≥14bit单圈绝对值。</w:t>
            </w:r>
          </w:p>
          <w:p>
            <w:pPr>
              <w:pStyle w:val="null3"/>
              <w:jc w:val="both"/>
            </w:pPr>
            <w:r>
              <w:rPr>
                <w:rFonts w:ascii="仿宋_GB2312" w:hAnsi="仿宋_GB2312" w:cs="仿宋_GB2312" w:eastAsia="仿宋_GB2312"/>
                <w:sz w:val="21"/>
                <w:color w:val="000000"/>
              </w:rPr>
              <w:t>2.12、安全配置：具备碰撞检测模块和功能，机身急停按钮；配置超声模块≥8个，内置RGB相机≥1个。</w:t>
            </w:r>
          </w:p>
          <w:p>
            <w:pPr>
              <w:pStyle w:val="null3"/>
              <w:jc w:val="both"/>
            </w:pPr>
            <w:r>
              <w:rPr>
                <w:rFonts w:ascii="仿宋_GB2312" w:hAnsi="仿宋_GB2312" w:cs="仿宋_GB2312" w:eastAsia="仿宋_GB2312"/>
                <w:sz w:val="21"/>
                <w:color w:val="000000"/>
              </w:rPr>
              <w:t xml:space="preserve">2.13、数据处理模块：最高睿频≥5.0GHz、内存≥32GB DDR5、固态硬盘≥1TB、并行处理单元核心≥4600个，AI 算力≥750 TOPS，预装 Ubuntu 系统及 ROS2系统。   </w:t>
            </w:r>
          </w:p>
          <w:p>
            <w:pPr>
              <w:pStyle w:val="null3"/>
              <w:jc w:val="both"/>
            </w:pPr>
            <w:r>
              <w:rPr>
                <w:rFonts w:ascii="仿宋_GB2312" w:hAnsi="仿宋_GB2312" w:cs="仿宋_GB2312" w:eastAsia="仿宋_GB2312"/>
                <w:sz w:val="21"/>
                <w:color w:val="000000"/>
              </w:rPr>
              <w:t>▲2.14、激光雷达 ：</w:t>
            </w:r>
          </w:p>
          <w:p>
            <w:pPr>
              <w:pStyle w:val="null3"/>
              <w:jc w:val="both"/>
            </w:pPr>
            <w:r>
              <w:rPr>
                <w:rFonts w:ascii="仿宋_GB2312" w:hAnsi="仿宋_GB2312" w:cs="仿宋_GB2312" w:eastAsia="仿宋_GB2312"/>
                <w:sz w:val="21"/>
                <w:color w:val="000000"/>
              </w:rPr>
              <w:t>多线激光雷达：数量</w:t>
            </w:r>
            <w:r>
              <w:rPr>
                <w:rFonts w:ascii="仿宋_GB2312" w:hAnsi="仿宋_GB2312" w:cs="仿宋_GB2312" w:eastAsia="仿宋_GB2312"/>
                <w:sz w:val="21"/>
                <w:color w:val="000000"/>
              </w:rPr>
              <w:t>≥1个，≥360°全向超大视场角，最大量程≥70m；FOV为水平≥360°；测距随机误差≤2cm；点云输出≥200,000 点/秒 。单线激光雷达：数量≥2个，最大量程≥25m，水平视场角≥270°，测量精度≤±2cm。</w:t>
            </w:r>
          </w:p>
          <w:p>
            <w:pPr>
              <w:pStyle w:val="null3"/>
              <w:jc w:val="both"/>
            </w:pPr>
            <w:r>
              <w:rPr>
                <w:rFonts w:ascii="仿宋_GB2312" w:hAnsi="仿宋_GB2312" w:cs="仿宋_GB2312" w:eastAsia="仿宋_GB2312"/>
                <w:sz w:val="21"/>
                <w:color w:val="000000"/>
              </w:rPr>
              <w:t>2.15、3D SLAM：定位精度≤±10cm/±5°，具有路径规划、障碍物感知及自动避障功能。</w:t>
            </w:r>
          </w:p>
          <w:p>
            <w:pPr>
              <w:pStyle w:val="null3"/>
              <w:jc w:val="both"/>
            </w:pPr>
            <w:r>
              <w:rPr>
                <w:rFonts w:ascii="仿宋_GB2312" w:hAnsi="仿宋_GB2312" w:cs="仿宋_GB2312" w:eastAsia="仿宋_GB2312"/>
                <w:sz w:val="21"/>
                <w:color w:val="000000"/>
              </w:rPr>
              <w:t>▲2.16、提供移动底盘操作APP：APP提供适配</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2个平台的客户端。APP包括但不限于底盘运动控制，底盘状态显示，摄像头画面实时监控，地图可视化，目标导航，巡航点设置，巡航暂停、启动和停止等功能。</w:t>
            </w:r>
          </w:p>
          <w:p>
            <w:pPr>
              <w:pStyle w:val="null3"/>
              <w:jc w:val="both"/>
            </w:pPr>
            <w:r>
              <w:rPr>
                <w:rFonts w:ascii="仿宋_GB2312" w:hAnsi="仿宋_GB2312" w:cs="仿宋_GB2312" w:eastAsia="仿宋_GB2312"/>
                <w:sz w:val="21"/>
                <w:color w:val="000000"/>
              </w:rPr>
              <w:t>2.17、移动底盘的四驱四转运动控制程序，支持横向移动、斜向移动、原地旋转、双阿克曼转向等多种模式，支持直行、转弯、原地转向、横移运动，支持直行、转弯、横移混合控制，不需要停车切换。</w:t>
            </w:r>
          </w:p>
          <w:p>
            <w:pPr>
              <w:pStyle w:val="null3"/>
              <w:jc w:val="both"/>
            </w:pPr>
            <w:r>
              <w:rPr>
                <w:rFonts w:ascii="仿宋_GB2312" w:hAnsi="仿宋_GB2312" w:cs="仿宋_GB2312" w:eastAsia="仿宋_GB2312"/>
                <w:sz w:val="21"/>
                <w:color w:val="000000"/>
              </w:rPr>
              <w:t>▲2.18、支持硬件时间同步，具有同步信号控制、分配、转换功能，同步信号频率≥1Hz，同步信号通道数≥8个。</w:t>
            </w:r>
          </w:p>
          <w:p>
            <w:pPr>
              <w:pStyle w:val="null3"/>
            </w:pPr>
            <w:r>
              <w:rPr>
                <w:rFonts w:ascii="仿宋_GB2312" w:hAnsi="仿宋_GB2312" w:cs="仿宋_GB2312" w:eastAsia="仿宋_GB2312"/>
                <w:sz w:val="21"/>
                <w:color w:val="000000"/>
              </w:rPr>
              <w:t>2.19、具有智能导航协同，采用多传感器融合功能。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三、协作机械臂</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3.1、机械臂自由度：≥6 个。六自由度机械臂关节运动范围：</w:t>
            </w:r>
            <w:r>
              <w:rPr>
                <w:rFonts w:ascii="仿宋_GB2312" w:hAnsi="仿宋_GB2312" w:cs="仿宋_GB2312" w:eastAsia="仿宋_GB2312"/>
                <w:sz w:val="21"/>
                <w:color w:val="000000"/>
              </w:rPr>
              <w:t>J1：±360°</w:t>
            </w:r>
            <w:r>
              <w:rPr>
                <w:rFonts w:ascii="仿宋_GB2312" w:hAnsi="仿宋_GB2312" w:cs="仿宋_GB2312" w:eastAsia="仿宋_GB2312"/>
                <w:sz w:val="21"/>
                <w:color w:val="000000"/>
              </w:rPr>
              <w:t>，</w:t>
            </w:r>
            <w:r>
              <w:rPr>
                <w:rFonts w:ascii="仿宋_GB2312" w:hAnsi="仿宋_GB2312" w:cs="仿宋_GB2312" w:eastAsia="仿宋_GB2312"/>
                <w:sz w:val="21"/>
                <w:color w:val="000000"/>
              </w:rPr>
              <w:t>J2：</w:t>
            </w:r>
            <w:r>
              <w:rPr>
                <w:rFonts w:ascii="仿宋_GB2312" w:hAnsi="仿宋_GB2312" w:cs="仿宋_GB2312" w:eastAsia="仿宋_GB2312"/>
                <w:sz w:val="21"/>
                <w:color w:val="000000"/>
              </w:rPr>
              <w:t>-85°～+265°</w:t>
            </w:r>
            <w:r>
              <w:rPr>
                <w:rFonts w:ascii="仿宋_GB2312" w:hAnsi="仿宋_GB2312" w:cs="仿宋_GB2312" w:eastAsia="仿宋_GB2312"/>
                <w:sz w:val="21"/>
                <w:color w:val="000000"/>
              </w:rPr>
              <w:t>，</w:t>
            </w:r>
            <w:r>
              <w:rPr>
                <w:rFonts w:ascii="仿宋_GB2312" w:hAnsi="仿宋_GB2312" w:cs="仿宋_GB2312" w:eastAsia="仿宋_GB2312"/>
                <w:sz w:val="21"/>
                <w:color w:val="000000"/>
              </w:rPr>
              <w:t>J3：±175°</w:t>
            </w:r>
            <w:r>
              <w:rPr>
                <w:rFonts w:ascii="仿宋_GB2312" w:hAnsi="仿宋_GB2312" w:cs="仿宋_GB2312" w:eastAsia="仿宋_GB2312"/>
                <w:sz w:val="21"/>
                <w:color w:val="000000"/>
              </w:rPr>
              <w:t>，</w:t>
            </w:r>
            <w:r>
              <w:rPr>
                <w:rFonts w:ascii="仿宋_GB2312" w:hAnsi="仿宋_GB2312" w:cs="仿宋_GB2312" w:eastAsia="仿宋_GB2312"/>
                <w:sz w:val="21"/>
                <w:color w:val="000000"/>
              </w:rPr>
              <w:t>J4：-85°～+265°</w:t>
            </w:r>
            <w:r>
              <w:rPr>
                <w:rFonts w:ascii="仿宋_GB2312" w:hAnsi="仿宋_GB2312" w:cs="仿宋_GB2312" w:eastAsia="仿宋_GB2312"/>
                <w:sz w:val="21"/>
                <w:color w:val="000000"/>
              </w:rPr>
              <w:t>，</w:t>
            </w:r>
            <w:r>
              <w:rPr>
                <w:rFonts w:ascii="仿宋_GB2312" w:hAnsi="仿宋_GB2312" w:cs="仿宋_GB2312" w:eastAsia="仿宋_GB2312"/>
                <w:sz w:val="21"/>
                <w:color w:val="000000"/>
              </w:rPr>
              <w:t>J5</w:t>
            </w:r>
            <w:r>
              <w:rPr>
                <w:rFonts w:ascii="仿宋_GB2312" w:hAnsi="仿宋_GB2312" w:cs="仿宋_GB2312" w:eastAsia="仿宋_GB2312"/>
                <w:sz w:val="21"/>
                <w:color w:val="000000"/>
              </w:rPr>
              <w:t>&amp;J6</w:t>
            </w:r>
            <w:r>
              <w:rPr>
                <w:rFonts w:ascii="仿宋_GB2312" w:hAnsi="仿宋_GB2312" w:cs="仿宋_GB2312" w:eastAsia="仿宋_GB2312"/>
                <w:sz w:val="21"/>
                <w:color w:val="000000"/>
              </w:rPr>
              <w:t>：</w:t>
            </w:r>
            <w:r>
              <w:rPr>
                <w:rFonts w:ascii="仿宋_GB2312" w:hAnsi="仿宋_GB2312" w:cs="仿宋_GB2312" w:eastAsia="仿宋_GB2312"/>
                <w:sz w:val="21"/>
                <w:color w:val="000000"/>
              </w:rPr>
              <w:t>±360°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▲3.2、机械臂最大负载：≥16kg。</w:t>
            </w:r>
          </w:p>
          <w:p>
            <w:pPr>
              <w:pStyle w:val="null3"/>
              <w:jc w:val="both"/>
            </w:pPr>
            <w:r>
              <w:rPr>
                <w:rFonts w:ascii="仿宋_GB2312" w:hAnsi="仿宋_GB2312" w:cs="仿宋_GB2312" w:eastAsia="仿宋_GB2312"/>
                <w:sz w:val="21"/>
                <w:color w:val="000000"/>
              </w:rPr>
              <w:t>3.3、机械臂重复定位精度：≤±0.05mm。</w:t>
            </w:r>
          </w:p>
          <w:p>
            <w:pPr>
              <w:pStyle w:val="null3"/>
              <w:jc w:val="both"/>
            </w:pPr>
            <w:r>
              <w:rPr>
                <w:rFonts w:ascii="仿宋_GB2312" w:hAnsi="仿宋_GB2312" w:cs="仿宋_GB2312" w:eastAsia="仿宋_GB2312"/>
                <w:sz w:val="21"/>
                <w:color w:val="000000"/>
              </w:rPr>
              <w:t>▲3.4、工作半径：≥1000mm。</w:t>
            </w:r>
          </w:p>
          <w:p>
            <w:pPr>
              <w:pStyle w:val="null3"/>
              <w:jc w:val="both"/>
            </w:pPr>
            <w:r>
              <w:rPr>
                <w:rFonts w:ascii="仿宋_GB2312" w:hAnsi="仿宋_GB2312" w:cs="仿宋_GB2312" w:eastAsia="仿宋_GB2312"/>
                <w:sz w:val="21"/>
                <w:color w:val="000000"/>
              </w:rPr>
              <w:t>3.5、示教器类型：PC或移动终端（PAD/手机）。</w:t>
            </w:r>
          </w:p>
          <w:p>
            <w:pPr>
              <w:pStyle w:val="null3"/>
              <w:jc w:val="both"/>
            </w:pPr>
            <w:r>
              <w:rPr>
                <w:rFonts w:ascii="仿宋_GB2312" w:hAnsi="仿宋_GB2312" w:cs="仿宋_GB2312" w:eastAsia="仿宋_GB2312"/>
                <w:sz w:val="21"/>
                <w:color w:val="000000"/>
              </w:rPr>
              <w:t>3.6、编程方式：编程图形化编程、拖拽编程。</w:t>
            </w:r>
          </w:p>
          <w:p>
            <w:pPr>
              <w:pStyle w:val="null3"/>
              <w:jc w:val="both"/>
            </w:pPr>
            <w:r>
              <w:rPr>
                <w:rFonts w:ascii="仿宋_GB2312" w:hAnsi="仿宋_GB2312" w:cs="仿宋_GB2312" w:eastAsia="仿宋_GB2312"/>
                <w:sz w:val="21"/>
                <w:color w:val="000000"/>
              </w:rPr>
              <w:t>3.7、典型功率≤500W。</w:t>
            </w:r>
          </w:p>
          <w:p>
            <w:pPr>
              <w:pStyle w:val="null3"/>
              <w:jc w:val="both"/>
            </w:pPr>
            <w:r>
              <w:rPr>
                <w:rFonts w:ascii="仿宋_GB2312" w:hAnsi="仿宋_GB2312" w:cs="仿宋_GB2312" w:eastAsia="仿宋_GB2312"/>
                <w:sz w:val="21"/>
                <w:color w:val="000000"/>
              </w:rPr>
              <w:t>3.8、IP等级≥IP54。</w:t>
            </w:r>
          </w:p>
          <w:p>
            <w:pPr>
              <w:pStyle w:val="null3"/>
            </w:pPr>
            <w:r>
              <w:rPr>
                <w:rFonts w:ascii="仿宋_GB2312" w:hAnsi="仿宋_GB2312" w:cs="仿宋_GB2312" w:eastAsia="仿宋_GB2312"/>
                <w:sz w:val="21"/>
                <w:color w:val="000000"/>
              </w:rPr>
              <w:t>3.9、内置深度相机工作范围0.3～3米，深度输出分辨率≥1280×720，帧率≥90帧/秒，RGB分辨率≥1920×1080，帧率≥30帧/S，内置IMU。</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after="60"/>
              <w:jc w:val="both"/>
            </w:pPr>
            <w:r>
              <w:rPr>
                <w:rFonts w:ascii="仿宋_GB2312" w:hAnsi="仿宋_GB2312" w:cs="仿宋_GB2312" w:eastAsia="仿宋_GB2312"/>
                <w:sz w:val="21"/>
                <w:b/>
                <w:color w:val="000000"/>
              </w:rPr>
              <w:t>四、高精度激光投影系统</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spacing w:before="60" w:after="60"/>
              <w:jc w:val="both"/>
            </w:pPr>
            <w:r>
              <w:rPr>
                <w:rFonts w:ascii="仿宋_GB2312" w:hAnsi="仿宋_GB2312" w:cs="仿宋_GB2312" w:eastAsia="仿宋_GB2312"/>
                <w:sz w:val="21"/>
                <w:color w:val="000000"/>
              </w:rPr>
              <w:t>▲4.1、系统可投影基于UG、CATIA或者FiberSIM的轮廓图形，投影距离(投影距离为:投影距离指激光头到工装表面的距离)1.5m～15m范围；重量≤8kg。</w:t>
            </w:r>
          </w:p>
          <w:p>
            <w:pPr>
              <w:pStyle w:val="null3"/>
              <w:spacing w:before="60" w:after="60"/>
              <w:jc w:val="both"/>
            </w:pPr>
            <w:r>
              <w:rPr>
                <w:rFonts w:ascii="仿宋_GB2312" w:hAnsi="仿宋_GB2312" w:cs="仿宋_GB2312" w:eastAsia="仿宋_GB2312"/>
                <w:sz w:val="21"/>
                <w:color w:val="000000"/>
              </w:rPr>
              <w:t>▲4.2、投影精度≤0.06mm/m；最小线宽≥0.4mm；投影角度≥60°。</w:t>
            </w:r>
          </w:p>
          <w:p>
            <w:pPr>
              <w:pStyle w:val="null3"/>
              <w:spacing w:before="60" w:after="60"/>
              <w:jc w:val="both"/>
            </w:pPr>
            <w:r>
              <w:rPr>
                <w:rFonts w:ascii="仿宋_GB2312" w:hAnsi="仿宋_GB2312" w:cs="仿宋_GB2312" w:eastAsia="仿宋_GB2312"/>
                <w:sz w:val="21"/>
                <w:color w:val="000000"/>
              </w:rPr>
              <w:t>▲4.3、定位方式：激光扫描/双目视觉。</w:t>
            </w:r>
          </w:p>
          <w:p>
            <w:pPr>
              <w:pStyle w:val="null3"/>
              <w:spacing w:before="60" w:after="60"/>
              <w:jc w:val="both"/>
            </w:pPr>
            <w:r>
              <w:rPr>
                <w:rFonts w:ascii="仿宋_GB2312" w:hAnsi="仿宋_GB2312" w:cs="仿宋_GB2312" w:eastAsia="仿宋_GB2312"/>
                <w:sz w:val="21"/>
                <w:color w:val="000000"/>
              </w:rPr>
              <w:t>4.4、激光：功率≤5mW，激光功率可微调，使用的激光源符合IEC 60825-1 2M级或3R级或同等标准。</w:t>
            </w:r>
          </w:p>
          <w:p>
            <w:pPr>
              <w:pStyle w:val="null3"/>
              <w:spacing w:before="60" w:after="60"/>
              <w:jc w:val="both"/>
            </w:pPr>
            <w:r>
              <w:rPr>
                <w:rFonts w:ascii="仿宋_GB2312" w:hAnsi="仿宋_GB2312" w:cs="仿宋_GB2312" w:eastAsia="仿宋_GB2312"/>
                <w:sz w:val="21"/>
                <w:color w:val="000000"/>
              </w:rPr>
              <w:t>4.5、设备具备机器视觉功能，能够自动追踪靶标位置。</w:t>
            </w:r>
          </w:p>
          <w:p>
            <w:pPr>
              <w:pStyle w:val="null3"/>
              <w:spacing w:before="60" w:after="6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6</w:t>
            </w:r>
            <w:r>
              <w:rPr>
                <w:rFonts w:ascii="仿宋_GB2312" w:hAnsi="仿宋_GB2312" w:cs="仿宋_GB2312" w:eastAsia="仿宋_GB2312"/>
                <w:sz w:val="21"/>
                <w:color w:val="000000"/>
              </w:rPr>
              <w:t>、靶标：提供</w:t>
            </w:r>
            <w:r>
              <w:rPr>
                <w:rFonts w:ascii="仿宋_GB2312" w:hAnsi="仿宋_GB2312" w:cs="仿宋_GB2312" w:eastAsia="仿宋_GB2312"/>
                <w:sz w:val="21"/>
                <w:color w:val="000000"/>
              </w:rPr>
              <w:t>≥10个公制靶标；靶标直径为≥6mm，靶标角度支持0°或者90°。</w:t>
            </w:r>
          </w:p>
          <w:p>
            <w:pPr>
              <w:pStyle w:val="null3"/>
              <w:spacing w:before="60" w:after="60"/>
              <w:jc w:val="both"/>
            </w:pPr>
            <w:r>
              <w:rPr>
                <w:rFonts w:ascii="仿宋_GB2312" w:hAnsi="仿宋_GB2312" w:cs="仿宋_GB2312" w:eastAsia="仿宋_GB2312"/>
                <w:sz w:val="21"/>
                <w:color w:val="000000"/>
              </w:rPr>
              <w:t>4.7、定位完成后支持显示每个靶标的偏差值，并在视窗中显示投影设备相对零件模型的空间三维位置关系。</w:t>
            </w:r>
          </w:p>
          <w:p>
            <w:pPr>
              <w:pStyle w:val="null3"/>
              <w:spacing w:before="60" w:after="60"/>
              <w:jc w:val="both"/>
            </w:pPr>
            <w:r>
              <w:rPr>
                <w:rFonts w:ascii="仿宋_GB2312" w:hAnsi="仿宋_GB2312" w:cs="仿宋_GB2312" w:eastAsia="仿宋_GB2312"/>
                <w:sz w:val="21"/>
                <w:color w:val="000000"/>
              </w:rPr>
              <w:t>4.8、支持故障、操作出错等自动信息提示功能。</w:t>
            </w:r>
          </w:p>
          <w:p>
            <w:pPr>
              <w:pStyle w:val="null3"/>
              <w:spacing w:before="60" w:after="60"/>
              <w:jc w:val="both"/>
            </w:pPr>
            <w:r>
              <w:rPr>
                <w:rFonts w:ascii="仿宋_GB2312" w:hAnsi="仿宋_GB2312" w:cs="仿宋_GB2312" w:eastAsia="仿宋_GB2312"/>
                <w:sz w:val="21"/>
                <w:color w:val="000000"/>
              </w:rPr>
              <w:t>4.9、支持多任务管理；支持通过遥控器在工装表面实现菜单操作；具备分段投影、局部精投等功能，激光亮度可手动调节。</w:t>
            </w:r>
          </w:p>
          <w:p>
            <w:pPr>
              <w:pStyle w:val="null3"/>
            </w:pPr>
            <w:r>
              <w:rPr>
                <w:rFonts w:ascii="仿宋_GB2312" w:hAnsi="仿宋_GB2312" w:cs="仿宋_GB2312" w:eastAsia="仿宋_GB2312"/>
                <w:sz w:val="21"/>
                <w:color w:val="000000"/>
              </w:rPr>
              <w:t>4.10、投影格式：支持UG、CATIA或者FiberSIM等常用软件导出的投影文件格式，支持igs、stp、dxf等格式直接导入。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00000"/>
              </w:rPr>
              <w:t>五、智能遥操系统</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5.1</w:t>
            </w:r>
            <w:r>
              <w:rPr>
                <w:rFonts w:ascii="仿宋_GB2312" w:hAnsi="仿宋_GB2312" w:cs="仿宋_GB2312" w:eastAsia="仿宋_GB2312"/>
                <w:sz w:val="21"/>
                <w:color w:val="000000"/>
              </w:rPr>
              <w:t>、智能遥操系统至少包含</w:t>
            </w:r>
            <w:r>
              <w:rPr>
                <w:rFonts w:ascii="仿宋_GB2312" w:hAnsi="仿宋_GB2312" w:cs="仿宋_GB2312" w:eastAsia="仿宋_GB2312"/>
                <w:sz w:val="21"/>
                <w:color w:val="000000"/>
              </w:rPr>
              <w:t>遥操臂</w:t>
            </w:r>
            <w:r>
              <w:rPr>
                <w:rFonts w:ascii="仿宋_GB2312" w:hAnsi="仿宋_GB2312" w:cs="仿宋_GB2312" w:eastAsia="仿宋_GB2312"/>
                <w:sz w:val="21"/>
                <w:color w:val="000000"/>
              </w:rPr>
              <w:t>、结构件、操作手柄和控制器等四个部分。</w:t>
            </w:r>
          </w:p>
          <w:p>
            <w:pPr>
              <w:pStyle w:val="null3"/>
              <w:jc w:val="both"/>
            </w:pPr>
            <w:r>
              <w:rPr>
                <w:rFonts w:ascii="仿宋_GB2312" w:hAnsi="仿宋_GB2312" w:cs="仿宋_GB2312" w:eastAsia="仿宋_GB2312"/>
                <w:sz w:val="21"/>
                <w:color w:val="000000"/>
              </w:rPr>
              <w:t>5.2</w:t>
            </w:r>
            <w:r>
              <w:rPr>
                <w:rFonts w:ascii="仿宋_GB2312" w:hAnsi="仿宋_GB2312" w:cs="仿宋_GB2312" w:eastAsia="仿宋_GB2312"/>
                <w:sz w:val="21"/>
                <w:color w:val="000000"/>
              </w:rPr>
              <w:t>、支持基于以太网的有线遥操架构和</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网络的无线遥操架构。</w:t>
            </w:r>
          </w:p>
          <w:p>
            <w:pPr>
              <w:pStyle w:val="null3"/>
              <w:jc w:val="both"/>
            </w:pPr>
            <w:r>
              <w:rPr>
                <w:rFonts w:ascii="仿宋_GB2312" w:hAnsi="仿宋_GB2312" w:cs="仿宋_GB2312" w:eastAsia="仿宋_GB2312"/>
                <w:sz w:val="21"/>
                <w:color w:val="000000"/>
              </w:rPr>
              <w:t>5.3、</w:t>
            </w:r>
            <w:r>
              <w:rPr>
                <w:rFonts w:ascii="仿宋_GB2312" w:hAnsi="仿宋_GB2312" w:cs="仿宋_GB2312" w:eastAsia="仿宋_GB2312"/>
                <w:sz w:val="21"/>
                <w:color w:val="000000"/>
              </w:rPr>
              <w:t>IP</w:t>
            </w:r>
            <w:r>
              <w:rPr>
                <w:rFonts w:ascii="仿宋_GB2312" w:hAnsi="仿宋_GB2312" w:cs="仿宋_GB2312" w:eastAsia="仿宋_GB2312"/>
                <w:sz w:val="21"/>
                <w:color w:val="000000"/>
              </w:rPr>
              <w:t>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5.4、</w:t>
            </w:r>
            <w:r>
              <w:rPr>
                <w:rFonts w:ascii="仿宋_GB2312" w:hAnsi="仿宋_GB2312" w:cs="仿宋_GB2312" w:eastAsia="仿宋_GB2312"/>
                <w:sz w:val="21"/>
                <w:color w:val="000000"/>
              </w:rPr>
              <w:t>遥操臂</w:t>
            </w:r>
            <w:r>
              <w:rPr>
                <w:rFonts w:ascii="仿宋_GB2312" w:hAnsi="仿宋_GB2312" w:cs="仿宋_GB2312" w:eastAsia="仿宋_GB2312"/>
                <w:sz w:val="21"/>
                <w:color w:val="000000"/>
              </w:rPr>
              <w:t>工作半径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600mm</w:t>
            </w:r>
            <w:r>
              <w:rPr>
                <w:rFonts w:ascii="仿宋_GB2312" w:hAnsi="仿宋_GB2312" w:cs="仿宋_GB2312" w:eastAsia="仿宋_GB2312"/>
                <w:sz w:val="21"/>
                <w:color w:val="000000"/>
              </w:rPr>
              <w:t>，关节舵机数量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5、舵机采用编码器进行位置反馈，编码器分辨率≥12 位；舵机扭矩：</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关节额定扭矩</w:t>
            </w:r>
            <w:r>
              <w:rPr>
                <w:rFonts w:ascii="仿宋_GB2312" w:hAnsi="仿宋_GB2312" w:cs="仿宋_GB2312" w:eastAsia="仿宋_GB2312"/>
                <w:sz w:val="21"/>
                <w:color w:val="000000"/>
              </w:rPr>
              <w:t>≥</w:t>
            </w:r>
            <w:r>
              <w:rPr>
                <w:rFonts w:ascii="仿宋_GB2312" w:hAnsi="仿宋_GB2312" w:cs="仿宋_GB2312" w:eastAsia="仿宋_GB2312"/>
                <w:sz w:val="21"/>
                <w:color w:val="000000"/>
              </w:rPr>
              <w:t>25kg.cm,</w:t>
            </w:r>
            <w:r>
              <w:rPr>
                <w:rFonts w:ascii="仿宋_GB2312" w:hAnsi="仿宋_GB2312" w:cs="仿宋_GB2312" w:eastAsia="仿宋_GB2312"/>
                <w:sz w:val="21"/>
                <w:color w:val="000000"/>
              </w:rPr>
              <w:t>堵转扭矩</w:t>
            </w:r>
            <w:r>
              <w:rPr>
                <w:rFonts w:ascii="仿宋_GB2312" w:hAnsi="仿宋_GB2312" w:cs="仿宋_GB2312" w:eastAsia="仿宋_GB2312"/>
                <w:sz w:val="21"/>
                <w:color w:val="000000"/>
              </w:rPr>
              <w:t>≥</w:t>
            </w:r>
            <w:r>
              <w:rPr>
                <w:rFonts w:ascii="仿宋_GB2312" w:hAnsi="仿宋_GB2312" w:cs="仿宋_GB2312" w:eastAsia="仿宋_GB2312"/>
                <w:sz w:val="21"/>
                <w:color w:val="000000"/>
              </w:rPr>
              <w:t>80kg.cm</w:t>
            </w:r>
            <w:r>
              <w:rPr>
                <w:rFonts w:ascii="仿宋_GB2312" w:hAnsi="仿宋_GB2312" w:cs="仿宋_GB2312" w:eastAsia="仿宋_GB2312"/>
                <w:sz w:val="21"/>
                <w:color w:val="000000"/>
              </w:rPr>
              <w:t>，其他关节额定扭矩</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kg.cm,</w:t>
            </w:r>
            <w:r>
              <w:rPr>
                <w:rFonts w:ascii="仿宋_GB2312" w:hAnsi="仿宋_GB2312" w:cs="仿宋_GB2312" w:eastAsia="仿宋_GB2312"/>
                <w:sz w:val="21"/>
                <w:color w:val="000000"/>
              </w:rPr>
              <w:t>堵转扭矩</w:t>
            </w:r>
            <w:r>
              <w:rPr>
                <w:rFonts w:ascii="仿宋_GB2312" w:hAnsi="仿宋_GB2312" w:cs="仿宋_GB2312" w:eastAsia="仿宋_GB2312"/>
                <w:sz w:val="21"/>
                <w:color w:val="000000"/>
              </w:rPr>
              <w:t>≥</w:t>
            </w:r>
            <w:r>
              <w:rPr>
                <w:rFonts w:ascii="仿宋_GB2312" w:hAnsi="仿宋_GB2312" w:cs="仿宋_GB2312" w:eastAsia="仿宋_GB2312"/>
                <w:sz w:val="21"/>
                <w:color w:val="000000"/>
              </w:rPr>
              <w:t>40kg.cm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6、</w:t>
            </w:r>
            <w:r>
              <w:rPr>
                <w:rFonts w:ascii="仿宋_GB2312" w:hAnsi="仿宋_GB2312" w:cs="仿宋_GB2312" w:eastAsia="仿宋_GB2312"/>
                <w:sz w:val="21"/>
                <w:color w:val="000000"/>
              </w:rPr>
              <w:t>遥操臂运动学参数与</w:t>
            </w:r>
            <w:r>
              <w:rPr>
                <w:rFonts w:ascii="仿宋_GB2312" w:hAnsi="仿宋_GB2312" w:cs="仿宋_GB2312" w:eastAsia="仿宋_GB2312"/>
                <w:sz w:val="21"/>
                <w:color w:val="000000"/>
              </w:rPr>
              <w:t>协作机械臂</w:t>
            </w:r>
            <w:r>
              <w:rPr>
                <w:rFonts w:ascii="仿宋_GB2312" w:hAnsi="仿宋_GB2312" w:cs="仿宋_GB2312" w:eastAsia="仿宋_GB2312"/>
                <w:sz w:val="21"/>
                <w:color w:val="000000"/>
              </w:rPr>
              <w:t>需保持一致</w:t>
            </w:r>
            <w:r>
              <w:rPr>
                <w:rFonts w:ascii="仿宋_GB2312" w:hAnsi="仿宋_GB2312" w:cs="仿宋_GB2312" w:eastAsia="仿宋_GB2312"/>
                <w:sz w:val="21"/>
                <w:color w:val="000000"/>
              </w:rPr>
              <w:t>；控制器最大睿频</w:t>
            </w:r>
            <w:r>
              <w:rPr>
                <w:rFonts w:ascii="仿宋_GB2312" w:hAnsi="仿宋_GB2312" w:cs="仿宋_GB2312" w:eastAsia="仿宋_GB2312"/>
                <w:sz w:val="21"/>
                <w:color w:val="000000"/>
              </w:rPr>
              <w:t>≥</w:t>
            </w:r>
            <w:r>
              <w:rPr>
                <w:rFonts w:ascii="仿宋_GB2312" w:hAnsi="仿宋_GB2312" w:cs="仿宋_GB2312" w:eastAsia="仿宋_GB2312"/>
                <w:sz w:val="21"/>
                <w:color w:val="000000"/>
              </w:rPr>
              <w:t>3.5GHz</w:t>
            </w:r>
            <w:r>
              <w:rPr>
                <w:rFonts w:ascii="仿宋_GB2312" w:hAnsi="仿宋_GB2312" w:cs="仿宋_GB2312" w:eastAsia="仿宋_GB2312"/>
                <w:sz w:val="21"/>
                <w:color w:val="000000"/>
              </w:rPr>
              <w:t>，支持运行主流开源实时操作系统，数据上报频率</w:t>
            </w:r>
            <w:r>
              <w:rPr>
                <w:rFonts w:ascii="仿宋_GB2312" w:hAnsi="仿宋_GB2312" w:cs="仿宋_GB2312" w:eastAsia="仿宋_GB2312"/>
                <w:sz w:val="21"/>
                <w:color w:val="000000"/>
              </w:rPr>
              <w:t>≥70Hz；内部通讯</w:t>
            </w:r>
            <w:r>
              <w:rPr>
                <w:rFonts w:ascii="仿宋_GB2312" w:hAnsi="仿宋_GB2312" w:cs="仿宋_GB2312" w:eastAsia="仿宋_GB2312"/>
                <w:sz w:val="21"/>
                <w:color w:val="000000"/>
              </w:rPr>
              <w:t>至少支持</w:t>
            </w:r>
            <w:r>
              <w:rPr>
                <w:rFonts w:ascii="仿宋_GB2312" w:hAnsi="仿宋_GB2312" w:cs="仿宋_GB2312" w:eastAsia="仿宋_GB2312"/>
                <w:sz w:val="21"/>
                <w:color w:val="000000"/>
              </w:rPr>
              <w:t xml:space="preserve">Modbus-RTU </w:t>
            </w:r>
            <w:r>
              <w:rPr>
                <w:rFonts w:ascii="仿宋_GB2312" w:hAnsi="仿宋_GB2312" w:cs="仿宋_GB2312" w:eastAsia="仿宋_GB2312"/>
                <w:sz w:val="21"/>
                <w:color w:val="000000"/>
              </w:rPr>
              <w:t>和</w:t>
            </w:r>
            <w:r>
              <w:rPr>
                <w:rFonts w:ascii="仿宋_GB2312" w:hAnsi="仿宋_GB2312" w:cs="仿宋_GB2312" w:eastAsia="仿宋_GB2312"/>
                <w:sz w:val="21"/>
                <w:color w:val="000000"/>
              </w:rPr>
              <w:t>Bluetooth</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7、软件至少</w:t>
            </w:r>
            <w:r>
              <w:rPr>
                <w:rFonts w:ascii="仿宋_GB2312" w:hAnsi="仿宋_GB2312" w:cs="仿宋_GB2312" w:eastAsia="仿宋_GB2312"/>
                <w:sz w:val="21"/>
                <w:color w:val="000000"/>
              </w:rPr>
              <w:t>具备快速设定、</w:t>
            </w:r>
            <w:r>
              <w:rPr>
                <w:rFonts w:ascii="仿宋_GB2312" w:hAnsi="仿宋_GB2312" w:cs="仿宋_GB2312" w:eastAsia="仿宋_GB2312"/>
                <w:sz w:val="21"/>
                <w:color w:val="000000"/>
              </w:rPr>
              <w:t>可</w:t>
            </w:r>
            <w:r>
              <w:rPr>
                <w:rFonts w:ascii="仿宋_GB2312" w:hAnsi="仿宋_GB2312" w:cs="仿宋_GB2312" w:eastAsia="仿宋_GB2312"/>
                <w:sz w:val="21"/>
                <w:color w:val="000000"/>
              </w:rPr>
              <w:t>拖拽、</w:t>
            </w:r>
            <w:r>
              <w:rPr>
                <w:rFonts w:ascii="仿宋_GB2312" w:hAnsi="仿宋_GB2312" w:cs="仿宋_GB2312" w:eastAsia="仿宋_GB2312"/>
                <w:sz w:val="21"/>
                <w:color w:val="000000"/>
              </w:rPr>
              <w:t>可</w:t>
            </w:r>
            <w:r>
              <w:rPr>
                <w:rFonts w:ascii="仿宋_GB2312" w:hAnsi="仿宋_GB2312" w:cs="仿宋_GB2312" w:eastAsia="仿宋_GB2312"/>
                <w:sz w:val="21"/>
                <w:color w:val="000000"/>
              </w:rPr>
              <w:t>保持锁定、关节点位运动、主从臂同步联动、底盘</w:t>
            </w:r>
            <w:r>
              <w:rPr>
                <w:rFonts w:ascii="仿宋_GB2312" w:hAnsi="仿宋_GB2312" w:cs="仿宋_GB2312" w:eastAsia="仿宋_GB2312"/>
                <w:sz w:val="21"/>
                <w:color w:val="000000"/>
              </w:rPr>
              <w:t>遥操控制</w:t>
            </w:r>
            <w:r>
              <w:rPr>
                <w:rFonts w:ascii="仿宋_GB2312" w:hAnsi="仿宋_GB2312" w:cs="仿宋_GB2312" w:eastAsia="仿宋_GB2312"/>
                <w:sz w:val="21"/>
                <w:color w:val="000000"/>
              </w:rPr>
              <w:t>、执行器</w:t>
            </w:r>
            <w:r>
              <w:rPr>
                <w:rFonts w:ascii="仿宋_GB2312" w:hAnsi="仿宋_GB2312" w:cs="仿宋_GB2312" w:eastAsia="仿宋_GB2312"/>
                <w:sz w:val="21"/>
                <w:color w:val="000000"/>
              </w:rPr>
              <w:t>控制</w:t>
            </w:r>
            <w:r>
              <w:rPr>
                <w:rFonts w:ascii="仿宋_GB2312" w:hAnsi="仿宋_GB2312" w:cs="仿宋_GB2312" w:eastAsia="仿宋_GB2312"/>
                <w:sz w:val="21"/>
                <w:color w:val="000000"/>
              </w:rPr>
              <w:t>等功能。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color w:val="000000"/>
              </w:rPr>
              <w:t>六、系统资源：</w:t>
            </w:r>
          </w:p>
          <w:p>
            <w:pPr>
              <w:pStyle w:val="null3"/>
              <w:jc w:val="both"/>
            </w:pPr>
            <w:r>
              <w:rPr>
                <w:rFonts w:ascii="仿宋_GB2312" w:hAnsi="仿宋_GB2312" w:cs="仿宋_GB2312" w:eastAsia="仿宋_GB2312"/>
                <w:sz w:val="21"/>
                <w:color w:val="000000"/>
              </w:rPr>
              <w:t>6.1、开发资源及配套文档：提供设备相关驱动程序、核心开发源码及文档说明资料。资源范围包含但不限于ROS驱动程序、设备仿真模型、传感器数据通信节点、激光惯性里程计源代码、SLAM软件源码包等核心开发资源；同时须提供底盘通信协议文档、使用手册及实验指导书等配套资料，确保设备具备完整的二次开发、算法调试、教学实验及功能拓展条件。</w:t>
            </w:r>
          </w:p>
          <w:p>
            <w:pPr>
              <w:pStyle w:val="null3"/>
              <w:jc w:val="both"/>
            </w:pPr>
            <w:r>
              <w:rPr>
                <w:rFonts w:ascii="仿宋_GB2312" w:hAnsi="仿宋_GB2312" w:cs="仿宋_GB2312" w:eastAsia="仿宋_GB2312"/>
                <w:sz w:val="21"/>
                <w:color w:val="000000"/>
              </w:rPr>
              <w:t>▲6.2、多点巡航功能及源码要求：提供移动机器人多点巡航功能及源代码。支持设置巡航点位数量≥5个，单点定位位置精度</w:t>
            </w:r>
            <w:r>
              <w:rPr>
                <w:rFonts w:ascii="仿宋_GB2312" w:hAnsi="仿宋_GB2312" w:cs="仿宋_GB2312" w:eastAsia="仿宋_GB2312"/>
                <w:sz w:val="21"/>
                <w:color w:val="000000"/>
              </w:rPr>
              <w:t>≤±5cm/±5°</w:t>
            </w:r>
            <w:r>
              <w:rPr>
                <w:rFonts w:ascii="仿宋_GB2312" w:hAnsi="仿宋_GB2312" w:cs="仿宋_GB2312" w:eastAsia="仿宋_GB2312"/>
                <w:sz w:val="21"/>
                <w:color w:val="000000"/>
              </w:rPr>
              <w:t>，</w:t>
            </w:r>
            <w:r>
              <w:rPr>
                <w:rFonts w:ascii="仿宋_GB2312" w:hAnsi="仿宋_GB2312" w:cs="仿宋_GB2312" w:eastAsia="仿宋_GB2312"/>
                <w:sz w:val="21"/>
                <w:color w:val="000000"/>
              </w:rPr>
              <w:t>路径规划时间</w:t>
            </w:r>
            <w:r>
              <w:rPr>
                <w:rFonts w:ascii="仿宋_GB2312" w:hAnsi="仿宋_GB2312" w:cs="仿宋_GB2312" w:eastAsia="仿宋_GB2312"/>
                <w:sz w:val="21"/>
                <w:color w:val="000000"/>
              </w:rPr>
              <w:t>≤2s ，任务完成率≥99%</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★6.3、可视化行为树管理软件要求：支持实时查看行为树当前的运行状态及动作节点，至少包括底盘基础运动控制的行为节点、导航控制的行为节点、机械臂控制的行为节点。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6.4、开发环境及数据管理要求：内置开发环境及用户数据管理软件，支持出厂恢复、多开发状态保存与一键恢复，多状态数据相互隔离；单机支持≥3套开发状态存储快速切换，无需虚拟机及容器引擎，运行高效</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6.5、整机交付功能要求:交付时需提供系统整机完整工作流程演示DEMO，至少包括以下几个方面：</w:t>
            </w:r>
          </w:p>
          <w:p>
            <w:pPr>
              <w:pStyle w:val="null3"/>
              <w:jc w:val="both"/>
            </w:pPr>
            <w:r>
              <w:rPr>
                <w:rFonts w:ascii="仿宋_GB2312" w:hAnsi="仿宋_GB2312" w:cs="仿宋_GB2312" w:eastAsia="仿宋_GB2312"/>
                <w:sz w:val="21"/>
                <w:color w:val="000000"/>
              </w:rPr>
              <w:t>1.系统开机启动、工作区域SLAM建图保存，选定起点和任务目标点；</w:t>
            </w:r>
          </w:p>
          <w:p>
            <w:pPr>
              <w:pStyle w:val="null3"/>
              <w:jc w:val="both"/>
            </w:pPr>
            <w:r>
              <w:rPr>
                <w:rFonts w:ascii="仿宋_GB2312" w:hAnsi="仿宋_GB2312" w:cs="仿宋_GB2312" w:eastAsia="仿宋_GB2312"/>
                <w:sz w:val="21"/>
                <w:color w:val="000000"/>
              </w:rPr>
              <w:t>2.机器人根据选定任务点进行自主导航和避障；</w:t>
            </w:r>
          </w:p>
          <w:p>
            <w:pPr>
              <w:pStyle w:val="null3"/>
              <w:jc w:val="both"/>
            </w:pPr>
            <w:r>
              <w:rPr>
                <w:rFonts w:ascii="仿宋_GB2312" w:hAnsi="仿宋_GB2312" w:cs="仿宋_GB2312" w:eastAsia="仿宋_GB2312"/>
                <w:sz w:val="21"/>
                <w:color w:val="000000"/>
              </w:rPr>
              <w:t>3.机械臂执行预先设定轨迹至目标姿态，并完成投影仪的工件投影任务。</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本项需提供投标人承诺函，格式自拟，并加盖投标人公章</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00"/>
            </w:pPr>
            <w:r>
              <w:rPr>
                <w:rFonts w:ascii="仿宋_GB2312" w:hAnsi="仿宋_GB2312" w:cs="仿宋_GB2312" w:eastAsia="仿宋_GB2312"/>
              </w:rPr>
              <w:t>备注：</w:t>
            </w:r>
            <w:r>
              <w:rPr>
                <w:rFonts w:ascii="仿宋_GB2312" w:hAnsi="仿宋_GB2312" w:cs="仿宋_GB2312" w:eastAsia="仿宋_GB2312"/>
              </w:rPr>
              <w:t>标</w:t>
            </w:r>
            <w:r>
              <w:rPr>
                <w:rFonts w:ascii="仿宋_GB2312" w:hAnsi="仿宋_GB2312" w:cs="仿宋_GB2312" w:eastAsia="仿宋_GB2312"/>
                <w:sz w:val="22"/>
              </w:rPr>
              <w:t>★</w:t>
            </w:r>
            <w:r>
              <w:rPr>
                <w:rFonts w:ascii="仿宋_GB2312" w:hAnsi="仿宋_GB2312" w:cs="仿宋_GB2312" w:eastAsia="仿宋_GB2312"/>
              </w:rPr>
              <w:t>项</w:t>
            </w:r>
            <w:r>
              <w:rPr>
                <w:rFonts w:ascii="仿宋_GB2312" w:hAnsi="仿宋_GB2312" w:cs="仿宋_GB2312" w:eastAsia="仿宋_GB2312"/>
              </w:rPr>
              <w:t>为实质性参数</w:t>
            </w:r>
            <w:r>
              <w:rPr>
                <w:rFonts w:ascii="仿宋_GB2312" w:hAnsi="仿宋_GB2312" w:cs="仿宋_GB2312" w:eastAsia="仿宋_GB2312"/>
              </w:rPr>
              <w:t>，</w:t>
            </w:r>
            <w:r>
              <w:rPr>
                <w:rFonts w:ascii="仿宋_GB2312" w:hAnsi="仿宋_GB2312" w:cs="仿宋_GB2312" w:eastAsia="仿宋_GB2312"/>
              </w:rPr>
              <w:t>必须</w:t>
            </w:r>
            <w:r>
              <w:rPr>
                <w:rFonts w:ascii="仿宋_GB2312" w:hAnsi="仿宋_GB2312" w:cs="仿宋_GB2312" w:eastAsia="仿宋_GB2312"/>
              </w:rPr>
              <w:t>提供佐证材料，</w:t>
            </w:r>
            <w:r>
              <w:rPr>
                <w:rFonts w:ascii="仿宋_GB2312" w:hAnsi="仿宋_GB2312" w:cs="仿宋_GB2312" w:eastAsia="仿宋_GB2312"/>
              </w:rPr>
              <w:t>否则视为无效投标。佐证材料可提供</w:t>
            </w:r>
            <w:r>
              <w:rPr>
                <w:rFonts w:ascii="仿宋_GB2312" w:hAnsi="仿宋_GB2312" w:cs="仿宋_GB2312" w:eastAsia="仿宋_GB2312"/>
              </w:rPr>
              <w:t>包括</w:t>
            </w:r>
            <w:r>
              <w:rPr>
                <w:rFonts w:ascii="仿宋_GB2312" w:hAnsi="仿宋_GB2312" w:cs="仿宋_GB2312" w:eastAsia="仿宋_GB2312"/>
              </w:rPr>
              <w:t>但</w:t>
            </w:r>
            <w:r>
              <w:rPr>
                <w:rFonts w:ascii="仿宋_GB2312" w:hAnsi="仿宋_GB2312" w:cs="仿宋_GB2312" w:eastAsia="仿宋_GB2312"/>
              </w:rPr>
              <w:t>不限于</w:t>
            </w:r>
            <w:r>
              <w:rPr>
                <w:rFonts w:ascii="仿宋_GB2312" w:hAnsi="仿宋_GB2312" w:cs="仿宋_GB2312" w:eastAsia="仿宋_GB2312"/>
              </w:rPr>
              <w:t>产品</w:t>
            </w:r>
            <w:r>
              <w:rPr>
                <w:rFonts w:ascii="仿宋_GB2312" w:hAnsi="仿宋_GB2312" w:cs="仿宋_GB2312" w:eastAsia="仿宋_GB2312"/>
              </w:rPr>
              <w:t>说明书</w:t>
            </w:r>
            <w:r>
              <w:rPr>
                <w:rFonts w:ascii="仿宋_GB2312" w:hAnsi="仿宋_GB2312" w:cs="仿宋_GB2312" w:eastAsia="仿宋_GB2312"/>
              </w:rPr>
              <w:t>或产品</w:t>
            </w:r>
            <w:r>
              <w:rPr>
                <w:rFonts w:ascii="仿宋_GB2312" w:hAnsi="仿宋_GB2312" w:cs="仿宋_GB2312" w:eastAsia="仿宋_GB2312"/>
              </w:rPr>
              <w:t>彩页或</w:t>
            </w:r>
            <w:r>
              <w:rPr>
                <w:rFonts w:ascii="仿宋_GB2312" w:hAnsi="仿宋_GB2312" w:cs="仿宋_GB2312" w:eastAsia="仿宋_GB2312"/>
              </w:rPr>
              <w:t>第三方检测报告或技术白皮书或官网截图或</w:t>
            </w:r>
            <w:r>
              <w:rPr>
                <w:rFonts w:ascii="仿宋_GB2312" w:hAnsi="仿宋_GB2312" w:cs="仿宋_GB2312" w:eastAsia="仿宋_GB2312"/>
              </w:rPr>
              <w:t>测试结果等</w:t>
            </w:r>
            <w:r>
              <w:rPr>
                <w:rFonts w:ascii="仿宋_GB2312" w:hAnsi="仿宋_GB2312" w:cs="仿宋_GB2312" w:eastAsia="仿宋_GB2312"/>
              </w:rPr>
              <w:t>任意一种即可</w:t>
            </w:r>
            <w:r>
              <w:rPr>
                <w:rFonts w:ascii="仿宋_GB2312" w:hAnsi="仿宋_GB2312" w:cs="仿宋_GB2312" w:eastAsia="仿宋_GB2312"/>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2.其他要求：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连续运行24小时无故障； 设备参数与投标文件承诺值对比。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1.按甲方要求在交付现场开展产品软硬件使用操作及开发培训。 2.质保期：1年。质保期自甲方在货物质量验收合格之日起计算。质保期内出现任何非人为故意损坏的质量问题，由乙方包修、包换或包退，并承担调换或退货的全部费用。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1.采购标的的安装调试及配套工程、质量保证、售后服务等要求 （1）安装调试要求 安装标准：执行GB50231-2009《机械设备安装工程施工及验收通用规范》； 调试周期：连续24小时无故障运行测试； 人员培训：按甲方要求在交付现场开展产品软硬件使用操作及开发培训。 （2）配套工程 基础施工：无。 （3）质量保证 质保期1年。质保期自甲方在货物质量验收合格之日起计算。质保期内出现任何非人为故意损坏的质量问题，由乙方包修、包换或包退，并承担调换或退货的全部费用。 （4）售后服务 响应时限：设备出现问题1小时内快速电话响应，8小时内给出解决方案。 定期技术回访：质保期内每年至少提供6次客户现场技术回访，质保期满后每年不少于2次技术回访。 2.中标单位应提供纸质投标文件叁份（正本壹份、副本贰份），投标文件需包含目录、无少页、缺页、连续页码（或单独使用打码器打码），书脊处应打印项目名称，建议投标文件双面打印、胶装。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 3.提供具有履行合同所必需的设备和专业技术能力的承诺。 4.税收缴纳证明：提供递交投标文件截止之日前一年内任意一个月的依法缴纳税收的缴税凭证或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业绩.docx 中小企业声明函 履约保证金承诺函.docx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业绩.docx 中小企业声明函 履约保证金承诺函.docx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业绩.docx 中小企业声明函 履约保证金承诺函.docx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业绩.docx 中小企业声明函 履约保证金承诺函.docx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所投产品技术参数清楚、明确，并能逐条响应招标文件第三章“技术参数表”，全部满足招标文件要求，得35分。 （1）▲项（15项）为核心技术参数，全部满足招标文件要求，得21分；每负偏离一项扣1.4分。 备注：核心技术参数须有佐证材料，佐证材料例如：产品说明书或产品彩页或第三方检测报告或技术白皮书或官网截图或测试结果等任意一种，“3.3技术要求”中对佐证材料有具体要求的，按照要求提供佐证材料，不提供或缺漏项不得分。 （2）普通技术参数（除★和▲外其他未标注的参数）（35项），全部满足招标文件要求，得14分；未响应或响应不符合要求或缺漏项视为负偏离，每负偏离一项扣0.4分。 备注：普通技术参数评审以投标人“技术规格响应表”为准，投标人对响应内容真实性负责，如有虚假响应，将依法承担相应责任。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投标人需针对本项目提供完整的项目实施方案，内容包含：①供货组织及进度安排；②对接及运输方案；③安装调试方案；④人员、物力调配方案、应急预案。 二、评审标准 1、完整性：内容全面，对评审内容中的各项要求有详细描述； 2、针对性及可实施性：方案能够紧扣项目实际情况，实施步骤清晰，内容科学合理。 三、赋分依据 ①供货组织及进度安排：每完全满足一个评审标准得0.5分，满分1分； ②对接及运输方案:每完全满足一个评审标准得0.5分，满分1分； ③安装调试及验收方案:每完全满足一个评审标准得0.5分，满分1分； ④人员、物力调配方案、应急预案：每完全满足一个评审标准得0.5分，满分1分。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根据项目实际需求，提供整体技术方案，内容包含：①方案构成及技术优势；②设计图、硬软件配置参数及相关技术细节说明；③系统功能及配套资源。 二、评审标准 1、完整性：内容全面，对评审内容中的各项要求有详细描述； 2、针对性及可实施性：方案能够紧扣项目实际情况，实施步骤清晰，内容科学合理。 三、赋分依据 ①方案构成及技术优势：每完全满足一个评审标准得1分，满分2分； ②设计图、硬软件配置参数及相关技术细节说明:每完全满足一个评审标准得1分，满分2分； ③系统功能及配套资源:每完全满足一个评审标准得1分，满分2分。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根据项目实际需求提供售后服务方案，内容包含：①售后服务范围；②响应时间及方式；③故障处理及补救措施；④培训方案及服务承诺。 二、评审标准 1、完整性：内容全面，对评审内容中的各项要求有详细描述； 2、针对性及可实施性：方案能够紧扣项目实际情况，实施步骤清晰，内容科学合理。 三、赋分依据（满分4分） ①售后服务范围：每完全满足一个评审标准得0.5分，满分1分； ②响应时间及方式:每完全满足一个评审标准得0.5分，满分1分； ③故障处理及补救措施:每完全满足一个评审标准得0.5分，满分1分； ④培训方案及服务承诺:每完全满足一个评审标准得0.5分，满分1分。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提供所投产品（移动机器人本体、协作机械臂、高精度激光投影系统、智能遥操系统）的来源渠道证明文件，要求所投产品来源渠道正规。 投标人为产品制造商的，提供制造商生产承诺书；投标人为经销商的，提供证明材料包括但不限于：产品制造商授权或销售协议或代理协议。 每提供一个产品符合评审要求的证明材料，得0.5分，满分2分；未提供或或证明材料不符合要求的均不得分。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软件著作权或专利</w:t>
            </w:r>
          </w:p>
        </w:tc>
        <w:tc>
          <w:tcPr>
            <w:tcW w:type="dxa" w:w="2492"/>
          </w:tcPr>
          <w:p>
            <w:pPr>
              <w:pStyle w:val="null3"/>
            </w:pPr>
            <w:r>
              <w:rPr>
                <w:rFonts w:ascii="仿宋_GB2312" w:hAnsi="仿宋_GB2312" w:cs="仿宋_GB2312" w:eastAsia="仿宋_GB2312"/>
              </w:rPr>
              <w:t>投标人提供所投核心产品制造商与核心产品相关软件著作权或专利，每提供一份证明材料得1分，满分2分。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提供投标人2023年1月1日至今（以合同签订日期为准）类似项目业绩，每提供一份合格业绩合同得1分，满分5分。 备注：业绩证明以投标文件中所附合同及对应货款发票（任意金额一张）复印件并加盖公章或电子印章为准，以上两种证明材料同时提供方可得分，否则不得分。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2.满足招标文件实质性要求且最终报价最低的供应商的价格为投标基准价，其价格分为满分40分。 3.投标报价得分=（投标基准价/最终投标报价）×40。 4.投标报价不完整的，不进入投标基准价的计算，本项得0分。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