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color w:val="auto"/>
        </w:rPr>
      </w:pPr>
      <w:bookmarkStart w:id="0" w:name="_GoBack"/>
      <w:r>
        <w:rPr>
          <w:rFonts w:hint="eastAsia" w:ascii="仿宋" w:hAnsi="仿宋" w:eastAsia="仿宋" w:cs="仿宋"/>
          <w:color w:val="auto"/>
        </w:rPr>
        <w:t>开标一览表</w:t>
      </w:r>
    </w:p>
    <w:bookmarkEnd w:id="0"/>
    <w:p>
      <w:pPr>
        <w:spacing w:line="560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项目名称：移动式机器人激光投影系统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采购项目编号：HXGJXM2026-ZC-GK1027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641"/>
        <w:gridCol w:w="3385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投标总报价（元）</w:t>
            </w: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交货时间</w:t>
            </w:r>
          </w:p>
        </w:tc>
        <w:tc>
          <w:tcPr>
            <w:tcW w:w="19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质保期</w:t>
            </w:r>
          </w:p>
        </w:tc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小写：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大写：</w:t>
            </w:r>
          </w:p>
          <w:p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备注：表内投标报价以元为单位，最多保留小数点后两位。</w:t>
            </w:r>
          </w:p>
        </w:tc>
      </w:tr>
    </w:tbl>
    <w:p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widowControl w:val="0"/>
        <w:spacing w:line="480" w:lineRule="auto"/>
        <w:ind w:firstLine="496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1．此表中，投标总价应和投标分项报价表的总价相一致。</w:t>
      </w:r>
    </w:p>
    <w:p>
      <w:pPr>
        <w:pStyle w:val="7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2．“大写”栏</w:t>
      </w:r>
      <w:r>
        <w:rPr>
          <w:rFonts w:ascii="仿宋" w:hAnsi="仿宋" w:eastAsia="仿宋" w:cs="仿宋"/>
          <w:sz w:val="24"/>
          <w:szCs w:val="24"/>
          <w:lang w:eastAsia="zh-CN"/>
        </w:rPr>
        <w:t>应</w:t>
      </w:r>
      <w:r>
        <w:rPr>
          <w:rFonts w:ascii="仿宋" w:hAnsi="仿宋" w:eastAsia="仿宋" w:cs="仿宋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2A7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2026-08-03T06:55:34Z</dcterms:created>
  <dc:creator>陆文科</dc:creator>
  <cp:lastModifiedBy>1</cp:lastModifiedBy>
  <dcterms:modified xsi:type="dcterms:W3CDTF">2026-08-03T06:55:58Z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8A7B79AC42FE4ADE9D19CDCB8907A223_12</vt:lpwstr>
  </property>
</Properties>
</file>