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版本号：GR26-ZB-00320260720002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2025年“慈善幸福家园”融合项目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GR26-ZB-003</w:t>
      </w:r>
      <w:r>
        <w:br/>
      </w:r>
      <w:r>
        <w:br/>
      </w:r>
      <w:r>
        <w:br/>
      </w:r>
    </w:p>
    <w:p>
      <w:pPr>
        <w:pStyle w:val="null3"/>
        <w:jc w:val="center"/>
        <w:outlineLvl w:val="2"/>
      </w:pPr>
      <w:r>
        <w:rPr>
          <w:rFonts w:ascii="仿宋_GB2312" w:hAnsi="仿宋_GB2312" w:cs="仿宋_GB2312" w:eastAsia="仿宋_GB2312"/>
          <w:sz w:val="28"/>
          <w:b/>
        </w:rPr>
        <w:t>陕西省民政厅机关</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陕西省民政厅机关</w:t>
      </w:r>
      <w:r>
        <w:rPr>
          <w:rFonts w:ascii="仿宋_GB2312" w:hAnsi="仿宋_GB2312" w:cs="仿宋_GB2312" w:eastAsia="仿宋_GB2312"/>
        </w:rPr>
        <w:t>委托，拟对</w:t>
      </w:r>
      <w:r>
        <w:rPr>
          <w:rFonts w:ascii="仿宋_GB2312" w:hAnsi="仿宋_GB2312" w:cs="仿宋_GB2312" w:eastAsia="仿宋_GB2312"/>
        </w:rPr>
        <w:t>2025年“慈善幸福家园”融合项目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GR26-ZB-003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2025年“慈善幸福家园”融合项目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本项目为陕西省民政厅2025年“慈善幸福家园”融合项目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陕西省民政厅机关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西安市新城区东新街403号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陕西省民政厅机关经办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029-63917507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开户名称：伟江项目管理咨询有限公司</w:t>
            </w:r>
          </w:p>
          <w:p>
            <w:pPr>
              <w:pStyle w:val="null3"/>
            </w:pPr>
            <w:r>
              <w:rPr>
                <w:rFonts w:ascii="仿宋_GB2312" w:hAnsi="仿宋_GB2312" w:cs="仿宋_GB2312" w:eastAsia="仿宋_GB2312"/>
              </w:rPr>
              <w:t>开户银行：兴业银行股份有限公司未央路支行</w:t>
            </w:r>
          </w:p>
          <w:p>
            <w:pPr>
              <w:pStyle w:val="null3"/>
            </w:pPr>
            <w:r>
              <w:rPr>
                <w:rFonts w:ascii="仿宋_GB2312" w:hAnsi="仿宋_GB2312" w:cs="仿宋_GB2312" w:eastAsia="仿宋_GB2312"/>
              </w:rPr>
              <w:t>银行账号：456910100100163145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采购项目的中标（成交）金额作为收费基数，按照国家计委（计价格【2002】1980号）《招标代理服务收费管理暂行办法》规定的服务类收费标准收取。由中标（成交）供应商向采购代理机构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陕西省民政厅机关</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陕西省民政厅机关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陕西省民政厅机关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以最终签订的合同为准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本项目为陕西省民政厅机关2025年“慈善幸福家园”融合项目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20,000,000.00</w:t>
      </w:r>
    </w:p>
    <w:p>
      <w:pPr>
        <w:pStyle w:val="null3"/>
      </w:pPr>
      <w:r>
        <w:rPr>
          <w:rFonts w:ascii="仿宋_GB2312" w:hAnsi="仿宋_GB2312" w:cs="仿宋_GB2312" w:eastAsia="仿宋_GB2312"/>
        </w:rPr>
        <w:t>采购包最高限价（元）: 20,000,000.00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2025年"慈善幸福家园"融合项目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标的名称：2025年"慈善幸福家园"融合项目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为积极响应省委、省政府关于聚焦</w:t>
            </w:r>
            <w:r>
              <w:rPr>
                <w:rFonts w:ascii="仿宋_GB2312" w:hAnsi="仿宋_GB2312" w:cs="仿宋_GB2312" w:eastAsia="仿宋_GB2312"/>
              </w:rPr>
              <w:t>“一老一小”等重点民生领域的工作要求，2025年省级福利彩票公益金预算安排2000万元，用于支持“慈善幸福家园”与农村互助幸福院和社区日间照料中心融合发展项目</w:t>
            </w:r>
            <w:r>
              <w:rPr>
                <w:rFonts w:ascii="仿宋_GB2312" w:hAnsi="仿宋_GB2312" w:cs="仿宋_GB2312" w:eastAsia="仿宋_GB2312"/>
              </w:rPr>
              <w:t>。</w:t>
            </w:r>
          </w:p>
          <w:p>
            <w:pPr>
              <w:pStyle w:val="null3"/>
            </w:pPr>
            <w:r>
              <w:rPr>
                <w:rFonts w:ascii="仿宋_GB2312" w:hAnsi="仿宋_GB2312" w:cs="仿宋_GB2312" w:eastAsia="仿宋_GB2312"/>
              </w:rPr>
              <w:t>二、</w:t>
            </w:r>
            <w:r>
              <w:rPr>
                <w:rFonts w:ascii="仿宋_GB2312" w:hAnsi="仿宋_GB2312" w:cs="仿宋_GB2312" w:eastAsia="仿宋_GB2312"/>
              </w:rPr>
              <w:t>项目主要服务内容</w:t>
            </w:r>
            <w:r>
              <w:rPr>
                <w:rFonts w:ascii="仿宋_GB2312" w:hAnsi="仿宋_GB2312" w:cs="仿宋_GB2312" w:eastAsia="仿宋_GB2312"/>
              </w:rPr>
              <w:t>和目标</w:t>
            </w:r>
          </w:p>
          <w:p>
            <w:pPr>
              <w:pStyle w:val="null3"/>
            </w:pPr>
            <w:r>
              <w:rPr>
                <w:rFonts w:ascii="仿宋_GB2312" w:hAnsi="仿宋_GB2312" w:cs="仿宋_GB2312" w:eastAsia="仿宋_GB2312"/>
              </w:rPr>
              <w:t>负责在全省按照评审流程遴选</w:t>
            </w:r>
            <w:r>
              <w:rPr>
                <w:rFonts w:ascii="仿宋_GB2312" w:hAnsi="仿宋_GB2312" w:cs="仿宋_GB2312" w:eastAsia="仿宋_GB2312"/>
              </w:rPr>
              <w:t>360个与慈善幸福家园融合建设运营工作成效显著的农村互助幸福院或日间照料中心，每个给予5万元补助。</w:t>
            </w:r>
            <w:r>
              <w:rPr>
                <w:rFonts w:ascii="仿宋_GB2312" w:hAnsi="仿宋_GB2312" w:cs="仿宋_GB2312" w:eastAsia="仿宋_GB2312"/>
              </w:rPr>
              <w:t>项目旨</w:t>
            </w:r>
            <w:r>
              <w:rPr>
                <w:rFonts w:ascii="仿宋_GB2312" w:hAnsi="仿宋_GB2312" w:cs="仿宋_GB2312" w:eastAsia="仿宋_GB2312"/>
              </w:rPr>
              <w:t>在</w:t>
            </w:r>
            <w:r>
              <w:rPr>
                <w:rFonts w:ascii="仿宋_GB2312" w:hAnsi="仿宋_GB2312" w:cs="仿宋_GB2312" w:eastAsia="仿宋_GB2312"/>
              </w:rPr>
              <w:t>借助慈善募捐机制不断</w:t>
            </w:r>
            <w:r>
              <w:rPr>
                <w:rFonts w:ascii="仿宋_GB2312" w:hAnsi="仿宋_GB2312" w:cs="仿宋_GB2312" w:eastAsia="仿宋_GB2312"/>
              </w:rPr>
              <w:t>掀动社会慈善资源</w:t>
            </w:r>
            <w:r>
              <w:rPr>
                <w:rFonts w:ascii="仿宋_GB2312" w:hAnsi="仿宋_GB2312" w:cs="仿宋_GB2312" w:eastAsia="仿宋_GB2312"/>
              </w:rPr>
              <w:t>，建立慈善幸福家园与农村互助幸福院</w:t>
            </w:r>
            <w:r>
              <w:rPr>
                <w:rFonts w:ascii="仿宋_GB2312" w:hAnsi="仿宋_GB2312" w:cs="仿宋_GB2312" w:eastAsia="仿宋_GB2312"/>
              </w:rPr>
              <w:t>、</w:t>
            </w:r>
            <w:r>
              <w:rPr>
                <w:rFonts w:ascii="仿宋_GB2312" w:hAnsi="仿宋_GB2312" w:cs="仿宋_GB2312" w:eastAsia="仿宋_GB2312"/>
              </w:rPr>
              <w:t>日间照料中心</w:t>
            </w:r>
            <w:r>
              <w:rPr>
                <w:rFonts w:ascii="仿宋_GB2312" w:hAnsi="仿宋_GB2312" w:cs="仿宋_GB2312" w:eastAsia="仿宋_GB2312"/>
              </w:rPr>
              <w:t>深度融合的运营模式，</w:t>
            </w:r>
            <w:r>
              <w:rPr>
                <w:rFonts w:ascii="仿宋_GB2312" w:hAnsi="仿宋_GB2312" w:cs="仿宋_GB2312" w:eastAsia="仿宋_GB2312"/>
              </w:rPr>
              <w:t>实现持续</w:t>
            </w:r>
            <w:r>
              <w:rPr>
                <w:rFonts w:ascii="仿宋_GB2312" w:hAnsi="仿宋_GB2312" w:cs="仿宋_GB2312" w:eastAsia="仿宋_GB2312"/>
              </w:rPr>
              <w:t>为老年人提供基本餐饮、医养结合、文化娱乐、健身康复等多元化服务</w:t>
            </w:r>
            <w:r>
              <w:rPr>
                <w:rFonts w:ascii="仿宋_GB2312" w:hAnsi="仿宋_GB2312" w:cs="仿宋_GB2312" w:eastAsia="仿宋_GB2312"/>
              </w:rPr>
              <w:t>的目标</w:t>
            </w:r>
            <w:r>
              <w:rPr>
                <w:rFonts w:ascii="仿宋_GB2312" w:hAnsi="仿宋_GB2312" w:cs="仿宋_GB2312" w:eastAsia="仿宋_GB2312"/>
              </w:rPr>
              <w:t>，切实满足其日常生活需求。</w:t>
            </w:r>
            <w:r>
              <w:rPr>
                <w:rFonts w:ascii="仿宋_GB2312" w:hAnsi="仿宋_GB2312" w:cs="仿宋_GB2312" w:eastAsia="仿宋_GB2312"/>
              </w:rPr>
              <w:t>同时，</w:t>
            </w:r>
            <w:r>
              <w:rPr>
                <w:rFonts w:ascii="仿宋_GB2312" w:hAnsi="仿宋_GB2312" w:cs="仿宋_GB2312" w:eastAsia="仿宋_GB2312"/>
              </w:rPr>
              <w:t>形成可复制、可推广的融合运营与管理经验。</w:t>
            </w:r>
          </w:p>
          <w:p>
            <w:pPr>
              <w:pStyle w:val="null3"/>
            </w:pPr>
            <w:r>
              <w:rPr>
                <w:rFonts w:ascii="仿宋_GB2312" w:hAnsi="仿宋_GB2312" w:cs="仿宋_GB2312" w:eastAsia="仿宋_GB2312"/>
              </w:rPr>
              <w:t>三、项目实施要求</w:t>
            </w:r>
          </w:p>
          <w:p>
            <w:pPr>
              <w:pStyle w:val="null3"/>
            </w:pPr>
            <w:r>
              <w:rPr>
                <w:rFonts w:ascii="仿宋_GB2312" w:hAnsi="仿宋_GB2312" w:cs="仿宋_GB2312" w:eastAsia="仿宋_GB2312"/>
              </w:rPr>
              <w:t>主要用于</w:t>
            </w:r>
            <w:r>
              <w:rPr>
                <w:rFonts w:ascii="仿宋_GB2312" w:hAnsi="仿宋_GB2312" w:cs="仿宋_GB2312" w:eastAsia="仿宋_GB2312"/>
              </w:rPr>
              <w:t>农村互助幸福院或日间照料中心的</w:t>
            </w:r>
            <w:r>
              <w:rPr>
                <w:rFonts w:ascii="仿宋_GB2312" w:hAnsi="仿宋_GB2312" w:cs="仿宋_GB2312" w:eastAsia="仿宋_GB2312"/>
              </w:rPr>
              <w:t>日常运营、伙食补助、设施器材维护及其他改善入住老年人生活质量的相关开支。</w:t>
            </w:r>
          </w:p>
          <w:p>
            <w:pPr>
              <w:pStyle w:val="null3"/>
            </w:pPr>
            <w:r>
              <w:rPr>
                <w:rFonts w:ascii="仿宋_GB2312" w:hAnsi="仿宋_GB2312" w:cs="仿宋_GB2312" w:eastAsia="仿宋_GB2312"/>
              </w:rPr>
              <w:t>（一）补助对象。项目补助对象为以村或社区作为运行管理主体的农村互助幸福院及社区日间照料中心。农村互助幸福院须满足《陕西省民政厅关于进一步规范农村互助幸福院管理服务的通知》（陕民发〔</w:t>
            </w:r>
            <w:r>
              <w:rPr>
                <w:rFonts w:ascii="仿宋_GB2312" w:hAnsi="仿宋_GB2312" w:cs="仿宋_GB2312" w:eastAsia="仿宋_GB2312"/>
              </w:rPr>
              <w:t>2023〕37号）的相关要求，且经民政部门定级挂牌达到二类院及以上标准；社区日间照料中心须符合《陕西省城市居家和社区养老服务设施运营管理办法》（陕民发〔2023〕33号）规定，且经民政部门星级评定达到三星级及以上标准。</w:t>
            </w:r>
          </w:p>
          <w:p>
            <w:pPr>
              <w:pStyle w:val="null3"/>
            </w:pPr>
            <w:r>
              <w:rPr>
                <w:rFonts w:ascii="仿宋_GB2312" w:hAnsi="仿宋_GB2312" w:cs="仿宋_GB2312" w:eastAsia="仿宋_GB2312"/>
              </w:rPr>
              <w:t>（二）资金募集。村或社区须在当地慈善组织设立慈善互助金（社区慈善基金），且</w:t>
            </w:r>
            <w:r>
              <w:rPr>
                <w:rFonts w:ascii="仿宋_GB2312" w:hAnsi="仿宋_GB2312" w:cs="仿宋_GB2312" w:eastAsia="仿宋_GB2312"/>
              </w:rPr>
              <w:t>2024-2025期间互助金支出达到5万元以上。申报时需提交互助金（社区慈善基金）设立的相关证明、资金到账及支出凭证，且有相应的使用计划和管理措施。</w:t>
            </w:r>
          </w:p>
          <w:p>
            <w:pPr>
              <w:pStyle w:val="null3"/>
            </w:pPr>
            <w:r>
              <w:rPr>
                <w:rFonts w:ascii="仿宋_GB2312" w:hAnsi="仿宋_GB2312" w:cs="仿宋_GB2312" w:eastAsia="仿宋_GB2312"/>
              </w:rPr>
              <w:t>（三）志愿服务。村或社区应建立完善的志愿服务体系，能够组织志愿者定期为老年人提供陪伴、助餐、助医等志愿服务。须成立村、社区志愿服务队，招募注册志愿者</w:t>
            </w:r>
            <w:r>
              <w:rPr>
                <w:rFonts w:ascii="仿宋_GB2312" w:hAnsi="仿宋_GB2312" w:cs="仿宋_GB2312" w:eastAsia="仿宋_GB2312"/>
              </w:rPr>
              <w:t>10人以上，每年开展志愿服务活动不少于10次，人均志愿服务时长不少于15小时。申报时需提供志愿服务团队名单和活动记录。</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进度款，拟补助村社材料抽查无误且公示后，达到付款条件起10个工作日内，支付合同总金额的30.0%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进度款，项目最终验收合格后，达到付款条件起10个工作日内，支付合同总金额的30.0%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7、投标文件是否响应了招标文件要 求的全部条款、条件和规格要求，并且提供了支持文件，没有重大偏离。</w:t>
            </w:r>
          </w:p>
        </w:tc>
        <w:tc>
          <w:tcPr>
            <w:tcW w:type="dxa" w:w="1661"/>
          </w:tcPr>
          <w:p>
            <w:pPr>
              <w:pStyle w:val="null3"/>
            </w:pPr>
            <w:r>
              <w:rPr>
                <w:rFonts w:ascii="仿宋_GB2312" w:hAnsi="仿宋_GB2312" w:cs="仿宋_GB2312" w:eastAsia="仿宋_GB2312"/>
              </w:rPr>
              <w:t>投标函 投标文件封面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供应商提供2023年1月1日至今类似项目业绩合同（以合同签订时间为准），每提供一个业绩得5分，最高得15分。（评审依据：提供完整的合同扫描件。）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供应商荣誉</w:t>
            </w:r>
          </w:p>
        </w:tc>
        <w:tc>
          <w:tcPr>
            <w:tcW w:type="dxa" w:w="2492"/>
          </w:tcPr>
          <w:p>
            <w:pPr>
              <w:pStyle w:val="null3"/>
            </w:pPr>
            <w:r>
              <w:rPr>
                <w:rFonts w:ascii="仿宋_GB2312" w:hAnsi="仿宋_GB2312" w:cs="仿宋_GB2312" w:eastAsia="仿宋_GB2312"/>
              </w:rPr>
              <w:t>供应商提供2023年1月1日至今类似项目获得政府部门奖项（以证书或文件时间为准），每提供一个国家部门奖项得10分，每提供一个省级部门奖项得5分。最高得15分。（评审依据：提供完整证书或文件扫描件。）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项目方案</w:t>
            </w:r>
          </w:p>
        </w:tc>
        <w:tc>
          <w:tcPr>
            <w:tcW w:type="dxa" w:w="2492"/>
          </w:tcPr>
          <w:p>
            <w:pPr>
              <w:pStyle w:val="null3"/>
            </w:pPr>
            <w:r>
              <w:rPr>
                <w:rFonts w:ascii="仿宋_GB2312" w:hAnsi="仿宋_GB2312" w:cs="仿宋_GB2312" w:eastAsia="仿宋_GB2312"/>
              </w:rPr>
              <w:t>一、评审内容 （1）对服务对象、社会问题的调研是否深入、准确；需求分析是否有数据或事实支撑；问题界定是否清晰； （2）项目总目标、具体目标是否明确、可衡量、可实现；预期产出是否具体、量化； （3）实施步骤分解是否详细；进度安排是否合理、可行；风险防范及应对措施是否具体、有效； （4）资源配置安排是否科学合理；人员分工、经费预算是否贴合项目内容；保障措施是否完善，能够支撑项目顺利落地实施。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上述4项评审内容全部满足评审标准得20分，每有一个评审内容缺项扣5分，每有一项评审内容存在缺陷，扣1分，扣完为止。 说明：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机构能力</w:t>
            </w:r>
          </w:p>
        </w:tc>
        <w:tc>
          <w:tcPr>
            <w:tcW w:type="dxa" w:w="2492"/>
          </w:tcPr>
          <w:p>
            <w:pPr>
              <w:pStyle w:val="null3"/>
            </w:pPr>
            <w:r>
              <w:rPr>
                <w:rFonts w:ascii="仿宋_GB2312" w:hAnsi="仿宋_GB2312" w:cs="仿宋_GB2312" w:eastAsia="仿宋_GB2312"/>
              </w:rPr>
              <w:t>一、评审内容 （1）机构合法性、非营利属性、相关业务范围； （2）机构的财务、项目、档案等管理制度是否健全，能否支持项目规范运行； （3）是否具备调动社会资源支持项目的能力与计划。 （4）过往同类项目执行业绩是否丰富，项目实施成效良好，具备项目落地实操经验。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上述4项评审内容全部满足评审标准得20分，每有一个评审内容缺项扣5分，每有一项评审内容存在缺陷，扣1分，扣完为止。 说明：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执行团队</w:t>
            </w:r>
          </w:p>
        </w:tc>
        <w:tc>
          <w:tcPr>
            <w:tcW w:type="dxa" w:w="2492"/>
          </w:tcPr>
          <w:p>
            <w:pPr>
              <w:pStyle w:val="null3"/>
            </w:pPr>
            <w:r>
              <w:rPr>
                <w:rFonts w:ascii="仿宋_GB2312" w:hAnsi="仿宋_GB2312" w:cs="仿宋_GB2312" w:eastAsia="仿宋_GB2312"/>
              </w:rPr>
              <w:t>1、项目负责人须具有中级社工师及以上职称，满足得5分，不满足不得分； 2、提供不少于 10人及以上执行团队，满足得5分。（每增加1人加1分，最多加10分；团队人员须提供近 6 个月在本单位的社保缴纳证明。）</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 以本次最低有效报价为基准价，其价格分为满分。报价得分=（评审基准价／投标报价）×10%×100。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详见附件：2025 年慈善幸福家园融合项目政府采购合同(模版).docx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